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sz w:val="32"/>
          <w:szCs w:val="32"/>
        </w:rPr>
      </w:pPr>
      <w:r>
        <w:rPr>
          <w:rFonts w:hint="eastAsia" w:ascii="宋体" w:hAnsi="宋体" w:cs="宋体"/>
          <w:color w:val="auto"/>
          <w:sz w:val="32"/>
          <w:szCs w:val="32"/>
        </w:rPr>
        <w:t xml:space="preserve"> </w:t>
      </w:r>
    </w:p>
    <w:p>
      <w:pPr>
        <w:rPr>
          <w:rFonts w:ascii="宋体" w:hAnsi="宋体" w:cs="宋体"/>
          <w:color w:val="auto"/>
          <w:sz w:val="32"/>
          <w:szCs w:val="32"/>
        </w:rPr>
      </w:pPr>
    </w:p>
    <w:p>
      <w:pPr>
        <w:pStyle w:val="65"/>
        <w:rPr>
          <w:color w:val="auto"/>
        </w:rPr>
      </w:pPr>
    </w:p>
    <w:p>
      <w:pPr>
        <w:pStyle w:val="24"/>
        <w:adjustRightInd w:val="0"/>
        <w:snapToGrid w:val="0"/>
        <w:spacing w:line="360" w:lineRule="auto"/>
        <w:jc w:val="center"/>
        <w:rPr>
          <w:rFonts w:hAnsi="宋体" w:cs="宋体"/>
          <w:b/>
          <w:color w:val="auto"/>
          <w:sz w:val="84"/>
          <w:szCs w:val="84"/>
        </w:rPr>
      </w:pPr>
    </w:p>
    <w:p>
      <w:pPr>
        <w:pStyle w:val="24"/>
        <w:adjustRightInd w:val="0"/>
        <w:snapToGrid w:val="0"/>
        <w:spacing w:line="360" w:lineRule="auto"/>
        <w:jc w:val="center"/>
        <w:rPr>
          <w:rFonts w:hAnsi="宋体" w:cs="宋体"/>
          <w:b/>
          <w:color w:val="auto"/>
          <w:sz w:val="84"/>
          <w:szCs w:val="84"/>
        </w:rPr>
      </w:pPr>
      <w:r>
        <w:rPr>
          <w:rFonts w:hint="eastAsia" w:hAnsi="宋体" w:cs="宋体"/>
          <w:b/>
          <w:color w:val="auto"/>
          <w:sz w:val="84"/>
          <w:szCs w:val="84"/>
        </w:rPr>
        <w:t>竞争性磋商文件</w:t>
      </w:r>
    </w:p>
    <w:p>
      <w:pPr>
        <w:pStyle w:val="24"/>
        <w:adjustRightInd w:val="0"/>
        <w:snapToGrid w:val="0"/>
        <w:spacing w:before="156" w:beforeLines="50" w:line="360" w:lineRule="auto"/>
        <w:ind w:left="846" w:leftChars="403" w:firstLine="157" w:firstLineChars="49"/>
        <w:rPr>
          <w:rFonts w:hAnsi="宋体" w:cs="宋体"/>
          <w:b/>
          <w:color w:val="auto"/>
          <w:sz w:val="32"/>
          <w:szCs w:val="32"/>
        </w:rPr>
      </w:pPr>
    </w:p>
    <w:p>
      <w:pPr>
        <w:pStyle w:val="24"/>
        <w:adjustRightInd w:val="0"/>
        <w:snapToGrid w:val="0"/>
        <w:spacing w:before="156" w:beforeLines="50" w:line="360" w:lineRule="auto"/>
        <w:ind w:left="846" w:leftChars="403" w:firstLine="157" w:firstLineChars="49"/>
        <w:rPr>
          <w:rFonts w:hAnsi="宋体" w:cs="宋体"/>
          <w:b/>
          <w:color w:val="auto"/>
          <w:sz w:val="32"/>
          <w:szCs w:val="32"/>
        </w:rPr>
      </w:pPr>
    </w:p>
    <w:p>
      <w:pPr>
        <w:pStyle w:val="24"/>
        <w:adjustRightInd w:val="0"/>
        <w:snapToGrid w:val="0"/>
        <w:spacing w:before="156" w:beforeLines="50" w:line="360" w:lineRule="auto"/>
        <w:ind w:left="846" w:leftChars="403" w:firstLine="157" w:firstLineChars="49"/>
        <w:rPr>
          <w:rFonts w:hAnsi="宋体" w:cs="宋体"/>
          <w:b/>
          <w:color w:val="auto"/>
          <w:sz w:val="32"/>
          <w:szCs w:val="32"/>
        </w:rPr>
      </w:pPr>
    </w:p>
    <w:p>
      <w:pPr>
        <w:pStyle w:val="24"/>
        <w:adjustRightInd w:val="0"/>
        <w:snapToGrid w:val="0"/>
        <w:spacing w:line="360" w:lineRule="auto"/>
        <w:ind w:left="2878" w:leftChars="304" w:hanging="2240" w:hangingChars="700"/>
        <w:jc w:val="both"/>
        <w:rPr>
          <w:rFonts w:hint="eastAsia" w:hAnsi="宋体" w:eastAsia="宋体" w:cs="宋体"/>
          <w:color w:val="auto"/>
          <w:sz w:val="32"/>
          <w:szCs w:val="32"/>
          <w:u w:val="single"/>
          <w:lang w:eastAsia="zh-CN"/>
        </w:rPr>
      </w:pPr>
      <w:r>
        <w:rPr>
          <w:rFonts w:hint="eastAsia" w:hAnsi="宋体" w:cs="宋体"/>
          <w:color w:val="auto"/>
          <w:sz w:val="32"/>
          <w:szCs w:val="32"/>
        </w:rPr>
        <w:t>采购项目名称：</w:t>
      </w:r>
      <w:r>
        <w:rPr>
          <w:rFonts w:hint="eastAsia" w:hAnsi="宋体" w:cs="宋体"/>
          <w:b/>
          <w:bCs/>
          <w:color w:val="auto"/>
          <w:sz w:val="32"/>
          <w:szCs w:val="32"/>
          <w:u w:val="single"/>
          <w:lang w:eastAsia="zh-CN"/>
        </w:rPr>
        <w:t>2024年非公开公司债券主承销商采购服务</w:t>
      </w:r>
    </w:p>
    <w:p>
      <w:pPr>
        <w:pStyle w:val="24"/>
        <w:adjustRightInd w:val="0"/>
        <w:snapToGrid w:val="0"/>
        <w:spacing w:line="360" w:lineRule="auto"/>
        <w:ind w:firstLine="640" w:firstLineChars="200"/>
        <w:rPr>
          <w:rFonts w:hint="eastAsia" w:hAnsi="宋体" w:eastAsia="宋体" w:cs="宋体"/>
          <w:color w:val="auto"/>
          <w:sz w:val="32"/>
          <w:szCs w:val="32"/>
          <w:u w:val="single"/>
          <w:lang w:eastAsia="zh-CN"/>
        </w:rPr>
      </w:pPr>
      <w:r>
        <w:rPr>
          <w:rFonts w:hint="eastAsia" w:hAnsi="宋体" w:cs="宋体"/>
          <w:color w:val="auto"/>
          <w:sz w:val="32"/>
          <w:szCs w:val="32"/>
        </w:rPr>
        <w:t>采   购   人：</w:t>
      </w:r>
      <w:r>
        <w:rPr>
          <w:rFonts w:hint="eastAsia" w:hAnsi="宋体" w:cs="宋体"/>
          <w:b/>
          <w:bCs/>
          <w:color w:val="auto"/>
          <w:sz w:val="32"/>
          <w:szCs w:val="32"/>
          <w:u w:val="single"/>
          <w:lang w:eastAsia="zh-CN"/>
        </w:rPr>
        <w:t>湖南智谷投资发展集团有限公司</w:t>
      </w:r>
    </w:p>
    <w:p>
      <w:pPr>
        <w:pStyle w:val="24"/>
        <w:adjustRightInd w:val="0"/>
        <w:snapToGrid w:val="0"/>
        <w:spacing w:line="360" w:lineRule="auto"/>
        <w:ind w:firstLine="640" w:firstLineChars="200"/>
        <w:rPr>
          <w:rFonts w:hint="default" w:hAnsi="宋体" w:cs="宋体"/>
          <w:b/>
          <w:bCs/>
          <w:color w:val="auto"/>
          <w:sz w:val="32"/>
          <w:szCs w:val="32"/>
          <w:u w:val="single"/>
          <w:lang w:val="en-US" w:eastAsia="zh-CN"/>
        </w:rPr>
      </w:pPr>
      <w:r>
        <w:rPr>
          <w:rFonts w:hint="eastAsia" w:hAnsi="宋体" w:cs="宋体"/>
          <w:color w:val="auto"/>
          <w:sz w:val="32"/>
          <w:szCs w:val="32"/>
        </w:rPr>
        <w:t>委托代理编号：</w:t>
      </w:r>
      <w:r>
        <w:rPr>
          <w:rFonts w:hint="eastAsia" w:hAnsi="宋体" w:cs="宋体"/>
          <w:b/>
          <w:bCs/>
          <w:color w:val="auto"/>
          <w:sz w:val="32"/>
          <w:szCs w:val="32"/>
          <w:u w:val="single"/>
          <w:lang w:eastAsia="zh-CN"/>
        </w:rPr>
        <w:t>HNXQCG2024-015</w:t>
      </w:r>
    </w:p>
    <w:p>
      <w:pPr>
        <w:pStyle w:val="24"/>
        <w:adjustRightInd w:val="0"/>
        <w:snapToGrid w:val="0"/>
        <w:spacing w:line="360" w:lineRule="auto"/>
        <w:ind w:firstLine="640" w:firstLineChars="200"/>
        <w:rPr>
          <w:rFonts w:hint="eastAsia" w:hAnsi="宋体" w:eastAsia="宋体" w:cs="宋体"/>
          <w:b/>
          <w:color w:val="auto"/>
          <w:sz w:val="32"/>
          <w:szCs w:val="32"/>
          <w:lang w:eastAsia="zh-CN"/>
        </w:rPr>
      </w:pPr>
      <w:r>
        <w:rPr>
          <w:rFonts w:hint="eastAsia" w:hAnsi="宋体" w:cs="宋体"/>
          <w:color w:val="auto"/>
          <w:sz w:val="32"/>
          <w:szCs w:val="32"/>
        </w:rPr>
        <w:t>采购代理机构：</w:t>
      </w:r>
      <w:r>
        <w:rPr>
          <w:rFonts w:hint="eastAsia" w:hAnsi="宋体" w:cs="宋体"/>
          <w:b/>
          <w:bCs/>
          <w:color w:val="auto"/>
          <w:sz w:val="32"/>
          <w:szCs w:val="32"/>
          <w:u w:val="single"/>
          <w:lang w:eastAsia="zh-CN"/>
        </w:rPr>
        <w:t>湖南新泉工程咨询有限公司</w:t>
      </w:r>
    </w:p>
    <w:p>
      <w:pPr>
        <w:pStyle w:val="24"/>
        <w:adjustRightInd w:val="0"/>
        <w:snapToGrid w:val="0"/>
        <w:spacing w:before="156" w:beforeLines="50" w:line="360" w:lineRule="auto"/>
        <w:ind w:firstLine="948" w:firstLineChars="295"/>
        <w:rPr>
          <w:rFonts w:hAnsi="宋体" w:cs="宋体"/>
          <w:b/>
          <w:color w:val="auto"/>
          <w:sz w:val="32"/>
          <w:szCs w:val="32"/>
        </w:rPr>
      </w:pPr>
      <w:r>
        <w:rPr>
          <w:rFonts w:hint="eastAsia" w:hAnsi="宋体" w:cs="宋体"/>
          <w:b/>
          <w:color w:val="auto"/>
          <w:sz w:val="32"/>
          <w:szCs w:val="32"/>
        </w:rPr>
        <w:t xml:space="preserve">  </w:t>
      </w:r>
    </w:p>
    <w:p>
      <w:pPr>
        <w:pStyle w:val="24"/>
        <w:adjustRightInd w:val="0"/>
        <w:snapToGrid w:val="0"/>
        <w:spacing w:before="156" w:beforeLines="50" w:line="360" w:lineRule="auto"/>
        <w:ind w:firstLine="948" w:firstLineChars="295"/>
        <w:rPr>
          <w:rFonts w:hAnsi="宋体" w:cs="宋体"/>
          <w:b/>
          <w:color w:val="auto"/>
          <w:sz w:val="32"/>
          <w:szCs w:val="32"/>
        </w:rPr>
      </w:pPr>
    </w:p>
    <w:p>
      <w:pPr>
        <w:pStyle w:val="24"/>
        <w:adjustRightInd w:val="0"/>
        <w:snapToGrid w:val="0"/>
        <w:spacing w:before="156" w:beforeLines="50" w:line="360" w:lineRule="auto"/>
        <w:ind w:firstLine="948" w:firstLineChars="295"/>
        <w:rPr>
          <w:rFonts w:hAnsi="宋体" w:cs="宋体"/>
          <w:b/>
          <w:color w:val="auto"/>
          <w:sz w:val="32"/>
          <w:szCs w:val="32"/>
        </w:rPr>
      </w:pPr>
    </w:p>
    <w:p>
      <w:pPr>
        <w:pStyle w:val="24"/>
        <w:adjustRightInd w:val="0"/>
        <w:snapToGrid w:val="0"/>
        <w:spacing w:line="360" w:lineRule="auto"/>
        <w:ind w:firstLine="361" w:firstLineChars="100"/>
        <w:jc w:val="center"/>
        <w:rPr>
          <w:rFonts w:hAnsi="宋体" w:cs="宋体"/>
          <w:b/>
          <w:color w:val="auto"/>
          <w:sz w:val="36"/>
          <w:szCs w:val="36"/>
        </w:rPr>
        <w:sectPr>
          <w:headerReference r:id="rId3" w:type="default"/>
          <w:footerReference r:id="rId4" w:type="default"/>
          <w:pgSz w:w="11906" w:h="16838"/>
          <w:pgMar w:top="1361" w:right="1361" w:bottom="1361" w:left="1361" w:header="851" w:footer="992" w:gutter="0"/>
          <w:cols w:space="0" w:num="1"/>
          <w:titlePg/>
          <w:docGrid w:type="lines" w:linePitch="312" w:charSpace="0"/>
        </w:sectPr>
      </w:pPr>
      <w:r>
        <w:rPr>
          <w:rFonts w:hint="eastAsia" w:hAnsi="宋体" w:cs="宋体"/>
          <w:b/>
          <w:color w:val="auto"/>
          <w:sz w:val="36"/>
          <w:szCs w:val="36"/>
        </w:rPr>
        <w:t>二〇二</w:t>
      </w:r>
      <w:r>
        <w:rPr>
          <w:rFonts w:hint="eastAsia" w:hAnsi="宋体" w:cs="宋体"/>
          <w:b/>
          <w:color w:val="auto"/>
          <w:sz w:val="36"/>
          <w:szCs w:val="36"/>
          <w:lang w:val="en-US" w:eastAsia="zh-CN"/>
        </w:rPr>
        <w:t>四</w:t>
      </w:r>
      <w:r>
        <w:rPr>
          <w:rFonts w:hint="eastAsia" w:hAnsi="宋体" w:cs="宋体"/>
          <w:b/>
          <w:color w:val="auto"/>
          <w:sz w:val="36"/>
          <w:szCs w:val="36"/>
        </w:rPr>
        <w:t>年</w:t>
      </w:r>
      <w:r>
        <w:rPr>
          <w:rFonts w:hint="eastAsia" w:hAnsi="宋体" w:cs="宋体"/>
          <w:b/>
          <w:color w:val="auto"/>
          <w:sz w:val="36"/>
          <w:szCs w:val="36"/>
          <w:lang w:val="en-US" w:eastAsia="zh-CN"/>
        </w:rPr>
        <w:t>四</w:t>
      </w:r>
      <w:r>
        <w:rPr>
          <w:rFonts w:hint="eastAsia" w:hAnsi="宋体" w:cs="宋体"/>
          <w:b/>
          <w:color w:val="auto"/>
          <w:sz w:val="36"/>
          <w:szCs w:val="36"/>
        </w:rPr>
        <w:t>月</w:t>
      </w:r>
    </w:p>
    <w:p>
      <w:pPr>
        <w:pStyle w:val="24"/>
        <w:adjustRightInd w:val="0"/>
        <w:snapToGrid w:val="0"/>
        <w:spacing w:line="360" w:lineRule="auto"/>
        <w:ind w:firstLine="680" w:firstLineChars="100"/>
        <w:jc w:val="center"/>
        <w:rPr>
          <w:rFonts w:hAnsi="宋体" w:cs="宋体"/>
          <w:color w:val="auto"/>
          <w:spacing w:val="160"/>
          <w:sz w:val="36"/>
          <w:szCs w:val="36"/>
        </w:rPr>
      </w:pPr>
      <w:r>
        <w:rPr>
          <w:rFonts w:hint="eastAsia" w:hAnsi="宋体" w:cs="宋体"/>
          <w:color w:val="auto"/>
          <w:spacing w:val="160"/>
          <w:sz w:val="36"/>
          <w:szCs w:val="36"/>
        </w:rPr>
        <w:t>目录</w:t>
      </w:r>
    </w:p>
    <w:p>
      <w:pPr>
        <w:pStyle w:val="24"/>
        <w:adjustRightInd w:val="0"/>
        <w:snapToGrid w:val="0"/>
        <w:spacing w:line="360" w:lineRule="auto"/>
        <w:rPr>
          <w:rFonts w:hAnsi="宋体" w:cs="宋体"/>
          <w:b/>
          <w:color w:val="auto"/>
          <w:sz w:val="24"/>
          <w:szCs w:val="24"/>
        </w:rPr>
      </w:pPr>
    </w:p>
    <w:p>
      <w:pPr>
        <w:pStyle w:val="24"/>
        <w:adjustRightInd w:val="0"/>
        <w:snapToGrid w:val="0"/>
        <w:spacing w:line="360" w:lineRule="auto"/>
        <w:rPr>
          <w:rFonts w:hAnsi="宋体" w:cs="宋体"/>
          <w:b/>
          <w:color w:val="auto"/>
          <w:sz w:val="24"/>
          <w:szCs w:val="24"/>
        </w:rPr>
      </w:pPr>
      <w:r>
        <w:rPr>
          <w:rFonts w:hint="eastAsia" w:hAnsi="宋体" w:cs="宋体"/>
          <w:b/>
          <w:color w:val="auto"/>
          <w:sz w:val="24"/>
          <w:szCs w:val="24"/>
        </w:rPr>
        <w:t>第一章  磋商邀请</w:t>
      </w:r>
    </w:p>
    <w:p>
      <w:pPr>
        <w:pStyle w:val="24"/>
        <w:adjustRightInd w:val="0"/>
        <w:snapToGrid w:val="0"/>
        <w:spacing w:line="360" w:lineRule="auto"/>
        <w:rPr>
          <w:rFonts w:hAnsi="宋体" w:cs="宋体"/>
          <w:b/>
          <w:color w:val="auto"/>
          <w:sz w:val="24"/>
          <w:szCs w:val="24"/>
        </w:rPr>
      </w:pPr>
      <w:r>
        <w:rPr>
          <w:rFonts w:hint="eastAsia" w:hAnsi="宋体" w:cs="宋体"/>
          <w:b/>
          <w:color w:val="auto"/>
          <w:sz w:val="24"/>
          <w:szCs w:val="24"/>
        </w:rPr>
        <w:t>第二章  磋商须知</w:t>
      </w:r>
    </w:p>
    <w:p>
      <w:pPr>
        <w:tabs>
          <w:tab w:val="left" w:pos="144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磋商须知前附表</w:t>
      </w:r>
    </w:p>
    <w:p>
      <w:pPr>
        <w:tabs>
          <w:tab w:val="left" w:pos="144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磋商须知正文</w:t>
      </w:r>
    </w:p>
    <w:p>
      <w:pPr>
        <w:tabs>
          <w:tab w:val="left" w:pos="1440"/>
        </w:tabs>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一、说明</w:t>
      </w:r>
    </w:p>
    <w:p>
      <w:pPr>
        <w:tabs>
          <w:tab w:val="left" w:pos="1440"/>
        </w:tabs>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二、</w:t>
      </w:r>
      <w:r>
        <w:rPr>
          <w:rFonts w:hint="eastAsia" w:ascii="宋体" w:hAnsi="宋体" w:cs="宋体"/>
          <w:bCs/>
          <w:color w:val="auto"/>
          <w:szCs w:val="21"/>
        </w:rPr>
        <w:t>磋商</w:t>
      </w:r>
      <w:r>
        <w:rPr>
          <w:rFonts w:hint="eastAsia" w:ascii="宋体" w:hAnsi="宋体" w:cs="宋体"/>
          <w:color w:val="auto"/>
          <w:szCs w:val="21"/>
        </w:rPr>
        <w:t>文件</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三、响应文件</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四、响应文件的递交</w:t>
      </w:r>
    </w:p>
    <w:p>
      <w:pPr>
        <w:adjustRightInd w:val="0"/>
        <w:snapToGrid w:val="0"/>
        <w:spacing w:line="360" w:lineRule="auto"/>
        <w:ind w:firstLine="630" w:firstLineChars="300"/>
        <w:rPr>
          <w:rFonts w:ascii="宋体" w:hAnsi="宋体" w:cs="宋体"/>
          <w:bCs/>
          <w:color w:val="auto"/>
          <w:szCs w:val="21"/>
        </w:rPr>
      </w:pPr>
      <w:r>
        <w:rPr>
          <w:rFonts w:hint="eastAsia" w:ascii="宋体" w:hAnsi="宋体" w:cs="宋体"/>
          <w:bCs/>
          <w:color w:val="auto"/>
          <w:szCs w:val="21"/>
        </w:rPr>
        <w:t>五、</w:t>
      </w:r>
      <w:r>
        <w:rPr>
          <w:rFonts w:hint="eastAsia" w:ascii="宋体" w:hAnsi="宋体" w:cs="宋体"/>
          <w:color w:val="auto"/>
          <w:szCs w:val="21"/>
        </w:rPr>
        <w:t>响应文件</w:t>
      </w:r>
      <w:r>
        <w:rPr>
          <w:rFonts w:hint="eastAsia" w:ascii="宋体" w:hAnsi="宋体" w:cs="宋体"/>
          <w:bCs/>
          <w:color w:val="auto"/>
          <w:szCs w:val="21"/>
        </w:rPr>
        <w:t>的</w:t>
      </w:r>
      <w:r>
        <w:rPr>
          <w:rFonts w:hint="eastAsia" w:ascii="宋体" w:hAnsi="宋体" w:cs="宋体"/>
          <w:color w:val="auto"/>
          <w:szCs w:val="21"/>
        </w:rPr>
        <w:t>磋商与评审</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六、成交结果信息公布与授予合同</w:t>
      </w:r>
    </w:p>
    <w:p>
      <w:pPr>
        <w:adjustRightInd w:val="0"/>
        <w:snapToGrid w:val="0"/>
        <w:spacing w:line="360" w:lineRule="auto"/>
        <w:ind w:firstLine="630" w:firstLineChars="300"/>
        <w:jc w:val="left"/>
        <w:rPr>
          <w:rFonts w:ascii="宋体" w:hAnsi="宋体" w:cs="宋体"/>
          <w:color w:val="auto"/>
          <w:szCs w:val="21"/>
        </w:rPr>
      </w:pPr>
      <w:r>
        <w:rPr>
          <w:rFonts w:hint="eastAsia" w:ascii="宋体" w:hAnsi="宋体" w:cs="宋体"/>
          <w:color w:val="auto"/>
          <w:szCs w:val="21"/>
        </w:rPr>
        <w:t>七、其它规定</w:t>
      </w:r>
    </w:p>
    <w:p>
      <w:pPr>
        <w:adjustRightInd w:val="0"/>
        <w:snapToGrid w:val="0"/>
        <w:spacing w:line="360" w:lineRule="auto"/>
        <w:rPr>
          <w:rFonts w:ascii="宋体" w:hAnsi="宋体" w:cs="宋体"/>
          <w:b/>
          <w:color w:val="auto"/>
          <w:sz w:val="24"/>
        </w:rPr>
      </w:pPr>
      <w:r>
        <w:rPr>
          <w:rFonts w:hint="eastAsia" w:ascii="宋体" w:hAnsi="宋体" w:cs="宋体"/>
          <w:b/>
          <w:color w:val="auto"/>
          <w:sz w:val="24"/>
        </w:rPr>
        <w:t>第三章  采购合同格式</w:t>
      </w:r>
    </w:p>
    <w:p>
      <w:pPr>
        <w:adjustRightInd w:val="0"/>
        <w:snapToGrid w:val="0"/>
        <w:spacing w:line="360" w:lineRule="auto"/>
        <w:rPr>
          <w:rFonts w:ascii="宋体" w:hAnsi="宋体" w:cs="宋体"/>
          <w:b/>
          <w:color w:val="auto"/>
          <w:sz w:val="24"/>
        </w:rPr>
      </w:pPr>
      <w:r>
        <w:rPr>
          <w:rFonts w:hint="eastAsia" w:ascii="宋体" w:hAnsi="宋体" w:cs="宋体"/>
          <w:b/>
          <w:color w:val="auto"/>
          <w:sz w:val="24"/>
        </w:rPr>
        <w:t>第四章  采购需求</w:t>
      </w:r>
    </w:p>
    <w:p>
      <w:pPr>
        <w:pStyle w:val="24"/>
        <w:adjustRightInd w:val="0"/>
        <w:snapToGrid w:val="0"/>
        <w:spacing w:line="360" w:lineRule="auto"/>
        <w:rPr>
          <w:rFonts w:hAnsi="宋体" w:cs="宋体"/>
          <w:b/>
          <w:color w:val="auto"/>
          <w:sz w:val="24"/>
          <w:szCs w:val="24"/>
        </w:rPr>
      </w:pPr>
      <w:r>
        <w:rPr>
          <w:rFonts w:hint="eastAsia" w:hAnsi="宋体" w:cs="宋体"/>
          <w:b/>
          <w:color w:val="auto"/>
          <w:sz w:val="24"/>
          <w:szCs w:val="24"/>
        </w:rPr>
        <w:t xml:space="preserve">第五章  </w:t>
      </w:r>
      <w:r>
        <w:rPr>
          <w:rFonts w:hint="eastAsia" w:hAnsi="宋体" w:cs="宋体"/>
          <w:b/>
          <w:color w:val="auto"/>
          <w:sz w:val="24"/>
        </w:rPr>
        <w:t>响应文件组成</w:t>
      </w: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rPr>
          <w:rFonts w:ascii="宋体" w:hAnsi="宋体" w:cs="宋体"/>
          <w:color w:val="auto"/>
          <w:sz w:val="32"/>
          <w:szCs w:val="32"/>
        </w:rPr>
      </w:pPr>
    </w:p>
    <w:p>
      <w:pPr>
        <w:numPr>
          <w:ilvl w:val="0"/>
          <w:numId w:val="1"/>
        </w:numPr>
        <w:ind w:left="3780" w:leftChars="0" w:firstLineChars="0"/>
        <w:jc w:val="left"/>
        <w:rPr>
          <w:rFonts w:hint="eastAsia" w:ascii="宋体" w:hAnsi="宋体" w:cs="宋体"/>
          <w:b/>
          <w:color w:val="auto"/>
          <w:sz w:val="32"/>
          <w:szCs w:val="32"/>
        </w:rPr>
      </w:pPr>
      <w:r>
        <w:rPr>
          <w:rFonts w:hint="eastAsia" w:ascii="宋体" w:hAnsi="宋体" w:cs="宋体"/>
          <w:b/>
          <w:color w:val="auto"/>
          <w:sz w:val="32"/>
          <w:szCs w:val="32"/>
        </w:rPr>
        <w:br w:type="page"/>
      </w:r>
      <w:r>
        <w:rPr>
          <w:rFonts w:hint="eastAsia" w:ascii="宋体" w:hAnsi="宋体" w:cs="宋体"/>
          <w:b/>
          <w:color w:val="auto"/>
          <w:sz w:val="32"/>
          <w:szCs w:val="32"/>
        </w:rPr>
        <w:t xml:space="preserve"> 磋商邀请</w:t>
      </w:r>
    </w:p>
    <w:p>
      <w:pPr>
        <w:pStyle w:val="46"/>
        <w:numPr>
          <w:ilvl w:val="0"/>
          <w:numId w:val="0"/>
        </w:numPr>
      </w:pPr>
    </w:p>
    <w:p>
      <w:pPr>
        <w:spacing w:line="360" w:lineRule="auto"/>
        <w:ind w:firstLine="420" w:firstLineChars="200"/>
        <w:rPr>
          <w:rFonts w:ascii="宋体" w:hAnsi="宋体" w:cs="宋体"/>
          <w:color w:val="auto"/>
          <w:szCs w:val="21"/>
        </w:rPr>
      </w:pPr>
      <w:r>
        <w:rPr>
          <w:rFonts w:hint="eastAsia" w:ascii="宋体" w:hAnsi="宋体" w:cs="宋体"/>
          <w:color w:val="auto"/>
          <w:szCs w:val="21"/>
          <w:u w:val="single"/>
          <w:lang w:eastAsia="zh-CN"/>
        </w:rPr>
        <w:t>湖南新泉工程咨询有限公司</w:t>
      </w:r>
      <w:r>
        <w:rPr>
          <w:rFonts w:hint="eastAsia" w:ascii="宋体" w:hAnsi="宋体" w:cs="宋体"/>
          <w:color w:val="auto"/>
          <w:szCs w:val="21"/>
        </w:rPr>
        <w:t>受</w:t>
      </w:r>
      <w:r>
        <w:rPr>
          <w:rFonts w:hint="eastAsia" w:ascii="宋体" w:hAnsi="宋体" w:cs="宋体"/>
          <w:color w:val="auto"/>
          <w:szCs w:val="21"/>
          <w:u w:val="single"/>
          <w:lang w:eastAsia="zh-CN"/>
        </w:rPr>
        <w:t>湖南智谷投资发展集团有限公司</w:t>
      </w:r>
      <w:r>
        <w:rPr>
          <w:rFonts w:hint="eastAsia" w:ascii="宋体" w:hAnsi="宋体" w:cs="宋体"/>
          <w:color w:val="auto"/>
          <w:szCs w:val="21"/>
        </w:rPr>
        <w:t>的委托，对</w:t>
      </w:r>
      <w:r>
        <w:rPr>
          <w:rFonts w:hint="eastAsia" w:ascii="宋体" w:hAnsi="宋体" w:cs="宋体"/>
          <w:color w:val="auto"/>
          <w:szCs w:val="21"/>
          <w:u w:val="single"/>
          <w:lang w:eastAsia="zh-CN"/>
        </w:rPr>
        <w:t>2024年非公开公司债券主承销商采购服务</w:t>
      </w:r>
      <w:r>
        <w:rPr>
          <w:rFonts w:hint="eastAsia" w:ascii="宋体" w:hAnsi="宋体" w:cs="宋体"/>
          <w:color w:val="auto"/>
          <w:szCs w:val="21"/>
        </w:rPr>
        <w:t>进行竞争性磋商采购，现采用</w:t>
      </w:r>
      <w:r>
        <w:rPr>
          <w:rFonts w:hint="eastAsia" w:ascii="宋体" w:hAnsi="宋体" w:cs="宋体"/>
          <w:color w:val="auto"/>
          <w:szCs w:val="21"/>
          <w:u w:val="single"/>
        </w:rPr>
        <w:t>发布公告</w:t>
      </w:r>
      <w:r>
        <w:rPr>
          <w:rFonts w:hint="eastAsia" w:ascii="宋体" w:hAnsi="宋体" w:cs="宋体"/>
          <w:color w:val="auto"/>
          <w:szCs w:val="21"/>
        </w:rPr>
        <w:t>的方式，邀请符合资格条件的供应商参与竞争性磋商采购活动。</w:t>
      </w:r>
    </w:p>
    <w:p>
      <w:pPr>
        <w:numPr>
          <w:ilvl w:val="0"/>
          <w:numId w:val="2"/>
        </w:numPr>
        <w:spacing w:line="360" w:lineRule="auto"/>
        <w:ind w:firstLine="422" w:firstLineChars="200"/>
        <w:rPr>
          <w:rFonts w:ascii="宋体" w:hAnsi="宋体" w:cs="宋体"/>
          <w:b/>
          <w:color w:val="auto"/>
          <w:szCs w:val="21"/>
        </w:rPr>
      </w:pPr>
      <w:r>
        <w:rPr>
          <w:rFonts w:hint="eastAsia" w:ascii="宋体" w:hAnsi="宋体" w:cs="宋体"/>
          <w:b/>
          <w:color w:val="auto"/>
          <w:szCs w:val="21"/>
        </w:rPr>
        <w:t>采购项目基本概况</w:t>
      </w:r>
    </w:p>
    <w:p>
      <w:pPr>
        <w:numPr>
          <w:ilvl w:val="0"/>
          <w:numId w:val="3"/>
        </w:numPr>
        <w:spacing w:line="360" w:lineRule="auto"/>
        <w:ind w:firstLine="420" w:firstLineChars="200"/>
        <w:rPr>
          <w:rFonts w:ascii="宋体" w:hAnsi="宋体" w:cs="宋体"/>
          <w:color w:val="auto"/>
          <w:szCs w:val="21"/>
        </w:rPr>
      </w:pPr>
      <w:r>
        <w:rPr>
          <w:rFonts w:hint="eastAsia" w:ascii="宋体" w:hAnsi="宋体" w:cs="宋体"/>
          <w:color w:val="auto"/>
          <w:szCs w:val="21"/>
        </w:rPr>
        <w:t>采购项目名称：</w:t>
      </w:r>
      <w:r>
        <w:rPr>
          <w:rFonts w:hint="eastAsia" w:ascii="宋体" w:hAnsi="宋体" w:cs="宋体"/>
          <w:color w:val="auto"/>
          <w:szCs w:val="21"/>
          <w:u w:val="single"/>
          <w:lang w:eastAsia="zh-CN"/>
        </w:rPr>
        <w:t>2024年非公开公司债券主承销商采购服务</w:t>
      </w:r>
    </w:p>
    <w:p>
      <w:pPr>
        <w:numPr>
          <w:ilvl w:val="0"/>
          <w:numId w:val="3"/>
        </w:numPr>
        <w:spacing w:line="360" w:lineRule="auto"/>
        <w:ind w:firstLine="420" w:firstLineChars="200"/>
        <w:rPr>
          <w:rFonts w:ascii="宋体" w:hAnsi="宋体" w:cs="宋体"/>
          <w:color w:val="auto"/>
          <w:szCs w:val="21"/>
        </w:rPr>
      </w:pPr>
      <w:r>
        <w:rPr>
          <w:rFonts w:hint="eastAsia" w:ascii="宋体" w:hAnsi="宋体" w:cs="宋体"/>
          <w:color w:val="auto"/>
          <w:szCs w:val="21"/>
        </w:rPr>
        <w:t>委托代理编号</w:t>
      </w:r>
      <w:r>
        <w:rPr>
          <w:rFonts w:hint="eastAsia" w:ascii="宋体" w:hAnsi="宋体" w:cs="宋体"/>
          <w:color w:val="auto"/>
          <w:szCs w:val="21"/>
          <w:u w:val="none"/>
        </w:rPr>
        <w:t>：</w:t>
      </w:r>
      <w:r>
        <w:rPr>
          <w:rFonts w:hint="eastAsia" w:ascii="宋体" w:hAnsi="宋体" w:cs="宋体"/>
          <w:color w:val="auto"/>
          <w:szCs w:val="21"/>
          <w:u w:val="single"/>
          <w:lang w:val="en-US" w:eastAsia="zh-CN"/>
        </w:rPr>
        <w:t>HNXQCG2024-015</w:t>
      </w:r>
    </w:p>
    <w:p>
      <w:pPr>
        <w:spacing w:line="360" w:lineRule="auto"/>
        <w:ind w:firstLine="420" w:firstLineChars="200"/>
        <w:rPr>
          <w:rFonts w:ascii="宋体" w:hAnsi="宋体" w:cs="宋体"/>
          <w:color w:val="auto"/>
          <w:szCs w:val="21"/>
        </w:rPr>
      </w:pPr>
      <w:r>
        <w:rPr>
          <w:rFonts w:hint="eastAsia" w:ascii="宋体" w:hAnsi="宋体" w:cs="宋体"/>
          <w:color w:val="auto"/>
          <w:szCs w:val="21"/>
        </w:rPr>
        <w:t>3、采购项目标的、数量及简要规格描述或项目基本概况介绍：详见磋商文件“第四章 采购需求”。</w:t>
      </w:r>
    </w:p>
    <w:p>
      <w:pPr>
        <w:spacing w:line="360" w:lineRule="auto"/>
        <w:ind w:firstLine="422" w:firstLineChars="200"/>
        <w:outlineLvl w:val="0"/>
        <w:rPr>
          <w:rFonts w:ascii="宋体" w:hAnsi="宋体" w:cs="宋体"/>
          <w:b/>
          <w:bCs/>
          <w:color w:val="auto"/>
          <w:szCs w:val="21"/>
          <w:u w:val="single"/>
        </w:rPr>
      </w:pPr>
      <w:r>
        <w:rPr>
          <w:rFonts w:hint="eastAsia" w:ascii="宋体" w:hAnsi="宋体" w:cs="宋体"/>
          <w:b/>
          <w:bCs/>
          <w:color w:val="auto"/>
          <w:szCs w:val="21"/>
        </w:rPr>
        <w:t>二、采购项目总预算：人民币</w:t>
      </w:r>
      <w:r>
        <w:rPr>
          <w:rFonts w:hint="eastAsia" w:ascii="宋体" w:hAnsi="宋体" w:cs="宋体"/>
          <w:b/>
          <w:bCs/>
          <w:color w:val="auto"/>
          <w:szCs w:val="21"/>
          <w:u w:val="single"/>
          <w:lang w:val="en-US" w:eastAsia="zh-CN"/>
        </w:rPr>
        <w:t>1950000.00</w:t>
      </w:r>
      <w:r>
        <w:rPr>
          <w:rFonts w:hint="eastAsia" w:ascii="宋体" w:hAnsi="宋体" w:cs="宋体"/>
          <w:b/>
          <w:bCs/>
          <w:color w:val="auto"/>
          <w:szCs w:val="21"/>
          <w:highlight w:val="none"/>
          <w:u w:val="none"/>
        </w:rPr>
        <w:t>元。</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三、供应商资格条件：</w:t>
      </w:r>
    </w:p>
    <w:p>
      <w:pPr>
        <w:spacing w:line="360" w:lineRule="auto"/>
        <w:ind w:firstLine="420" w:firstLineChars="200"/>
        <w:outlineLvl w:val="0"/>
        <w:rPr>
          <w:rFonts w:ascii="宋体" w:hAnsi="宋体" w:cs="宋体"/>
          <w:color w:val="auto"/>
          <w:szCs w:val="21"/>
        </w:rPr>
      </w:pPr>
      <w:r>
        <w:rPr>
          <w:rFonts w:hint="eastAsia" w:ascii="宋体" w:hAnsi="宋体" w:cs="宋体"/>
          <w:bCs/>
          <w:color w:val="auto"/>
          <w:szCs w:val="21"/>
        </w:rPr>
        <w:t>1、供应商基本资格条件：</w:t>
      </w:r>
      <w:r>
        <w:rPr>
          <w:rFonts w:hint="eastAsia" w:ascii="宋体" w:hAnsi="宋体" w:cs="宋体"/>
          <w:color w:val="auto"/>
          <w:szCs w:val="21"/>
        </w:rPr>
        <w:t>符合《中华人民共和国政府采购法》第二十二条规定的供应商条件，并提供以下资格证明文件：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)法人提交企业法人营业执照副本(或者法人登记证书)以及组织机构代码证副本复印件；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w:t>
      </w:r>
      <w:r>
        <w:rPr>
          <w:rFonts w:hint="eastAsia" w:ascii="宋体" w:hAnsi="宋体" w:cs="宋体"/>
          <w:color w:val="auto"/>
          <w:szCs w:val="21"/>
        </w:rPr>
        <w:t>法人提交法定代表人身份证明原件或者法定代表人授权委托书原件及提供被授权代表人在投标单位近三个月内任意一个月的社保证明并附法定代表人身份证明原件，自然人提交身份证复印件</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)按《关于政府采购促进中小企业发展若干措施的通知》长财采购[2022]10号文的规定，</w:t>
      </w:r>
      <w:r>
        <w:rPr>
          <w:rFonts w:hint="eastAsia" w:ascii="宋体" w:hAnsi="宋体" w:cs="宋体"/>
          <w:bCs/>
          <w:color w:val="auto"/>
          <w:szCs w:val="21"/>
          <w:lang w:val="en-US" w:eastAsia="zh-CN"/>
        </w:rPr>
        <w:t>供应商</w:t>
      </w:r>
      <w:r>
        <w:rPr>
          <w:rFonts w:hint="eastAsia" w:ascii="宋体" w:hAnsi="宋体" w:eastAsia="宋体" w:cs="宋体"/>
          <w:bCs/>
          <w:color w:val="auto"/>
          <w:szCs w:val="21"/>
        </w:rPr>
        <w:t>按</w:t>
      </w:r>
      <w:r>
        <w:rPr>
          <w:rFonts w:hint="eastAsia" w:ascii="宋体" w:hAnsi="宋体" w:cs="宋体"/>
          <w:bCs/>
          <w:color w:val="auto"/>
          <w:szCs w:val="21"/>
          <w:lang w:val="en-US" w:eastAsia="zh-CN"/>
        </w:rPr>
        <w:t>磋商</w:t>
      </w:r>
      <w:r>
        <w:rPr>
          <w:rFonts w:hint="eastAsia" w:ascii="宋体" w:hAnsi="宋体" w:eastAsia="宋体" w:cs="宋体"/>
          <w:bCs/>
          <w:color w:val="auto"/>
          <w:szCs w:val="21"/>
        </w:rPr>
        <w:t>文件内格式提供《湖南省政府采购供应商资格承诺函》参与投标，无需再提供财务报告、依法缴纳税收和社会保险费的证明材料、参加政府采购活动前3年内在经营活动中没有重大违法记录的书面声明。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）其他说明：</w:t>
      </w:r>
    </w:p>
    <w:p>
      <w:pPr>
        <w:spacing w:line="360" w:lineRule="auto"/>
        <w:ind w:firstLine="420" w:firstLineChars="200"/>
        <w:outlineLvl w:val="0"/>
        <w:rPr>
          <w:rFonts w:hint="eastAsia" w:ascii="宋体" w:hAnsi="宋体" w:eastAsia="宋体" w:cs="宋体"/>
          <w:bCs/>
          <w:color w:val="auto"/>
          <w:szCs w:val="21"/>
        </w:rPr>
      </w:pPr>
      <w:r>
        <w:rPr>
          <w:rFonts w:hint="default" w:ascii="宋体" w:hAnsi="宋体" w:eastAsia="宋体" w:cs="宋体"/>
          <w:bCs/>
          <w:color w:val="auto"/>
          <w:szCs w:val="21"/>
        </w:rPr>
        <w:t>①</w:t>
      </w:r>
      <w:r>
        <w:rPr>
          <w:rFonts w:hint="eastAsia" w:ascii="宋体" w:hAnsi="宋体" w:eastAsia="宋体" w:cs="宋体"/>
          <w:bCs/>
          <w:color w:val="auto"/>
          <w:szCs w:val="21"/>
        </w:rPr>
        <w:t>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②资格证明文件复印件需加盖供应商公章。</w:t>
      </w:r>
    </w:p>
    <w:p>
      <w:pPr>
        <w:spacing w:line="360" w:lineRule="auto"/>
        <w:ind w:firstLine="420" w:firstLineChars="200"/>
        <w:outlineLvl w:val="0"/>
        <w:rPr>
          <w:rFonts w:hint="eastAsia" w:ascii="宋体" w:hAnsi="宋体" w:eastAsia="宋体" w:cs="宋体"/>
          <w:bCs/>
          <w:color w:val="auto"/>
          <w:szCs w:val="21"/>
          <w:lang w:val="en-US" w:eastAsia="zh-CN"/>
        </w:rPr>
      </w:pPr>
      <w:r>
        <w:rPr>
          <w:rFonts w:hint="eastAsia" w:ascii="宋体" w:hAnsi="宋体" w:eastAsia="宋体" w:cs="宋体"/>
          <w:bCs/>
          <w:color w:val="auto"/>
          <w:szCs w:val="21"/>
        </w:rPr>
        <w:t>备注：以上所提的近三个月是指：</w:t>
      </w:r>
      <w:r>
        <w:rPr>
          <w:rFonts w:hint="eastAsia" w:ascii="宋体" w:hAnsi="宋体" w:eastAsia="宋体" w:cs="宋体"/>
          <w:bCs/>
          <w:color w:val="auto"/>
          <w:szCs w:val="21"/>
          <w:lang w:eastAsia="zh-CN"/>
        </w:rPr>
        <w:t>202</w:t>
      </w:r>
      <w:r>
        <w:rPr>
          <w:rFonts w:hint="eastAsia" w:ascii="宋体" w:hAnsi="宋体" w:cs="宋体"/>
          <w:bCs/>
          <w:color w:val="auto"/>
          <w:szCs w:val="21"/>
          <w:lang w:val="en-US" w:eastAsia="zh-CN"/>
        </w:rPr>
        <w:t>4</w:t>
      </w:r>
      <w:r>
        <w:rPr>
          <w:rFonts w:hint="eastAsia" w:ascii="宋体" w:hAnsi="宋体" w:eastAsia="宋体" w:cs="宋体"/>
          <w:bCs/>
          <w:color w:val="auto"/>
          <w:szCs w:val="21"/>
          <w:lang w:eastAsia="zh-CN"/>
        </w:rPr>
        <w:t>年</w:t>
      </w:r>
      <w:r>
        <w:rPr>
          <w:rFonts w:hint="eastAsia" w:ascii="宋体" w:hAnsi="宋体" w:cs="宋体"/>
          <w:bCs/>
          <w:color w:val="auto"/>
          <w:szCs w:val="21"/>
          <w:lang w:val="en-US" w:eastAsia="zh-CN"/>
        </w:rPr>
        <w:t>1</w:t>
      </w:r>
      <w:r>
        <w:rPr>
          <w:rFonts w:hint="eastAsia" w:ascii="宋体" w:hAnsi="宋体" w:eastAsia="宋体" w:cs="宋体"/>
          <w:bCs/>
          <w:color w:val="auto"/>
          <w:szCs w:val="21"/>
          <w:lang w:eastAsia="zh-CN"/>
        </w:rPr>
        <w:t>月至202</w:t>
      </w:r>
      <w:r>
        <w:rPr>
          <w:rFonts w:hint="eastAsia" w:ascii="宋体" w:hAnsi="宋体" w:cs="宋体"/>
          <w:bCs/>
          <w:color w:val="auto"/>
          <w:szCs w:val="21"/>
          <w:lang w:val="en-US" w:eastAsia="zh-CN"/>
        </w:rPr>
        <w:t>4</w:t>
      </w:r>
      <w:r>
        <w:rPr>
          <w:rFonts w:hint="eastAsia" w:ascii="宋体" w:hAnsi="宋体" w:eastAsia="宋体" w:cs="宋体"/>
          <w:bCs/>
          <w:color w:val="auto"/>
          <w:szCs w:val="21"/>
          <w:lang w:eastAsia="zh-CN"/>
        </w:rPr>
        <w:t>年</w:t>
      </w:r>
      <w:r>
        <w:rPr>
          <w:rFonts w:hint="eastAsia" w:ascii="宋体" w:hAnsi="宋体" w:cs="宋体"/>
          <w:bCs/>
          <w:color w:val="auto"/>
          <w:szCs w:val="21"/>
          <w:lang w:val="en-US" w:eastAsia="zh-CN"/>
        </w:rPr>
        <w:t>3</w:t>
      </w:r>
      <w:r>
        <w:rPr>
          <w:rFonts w:hint="eastAsia" w:ascii="宋体" w:hAnsi="宋体" w:eastAsia="宋体" w:cs="宋体"/>
          <w:bCs/>
          <w:color w:val="auto"/>
          <w:szCs w:val="21"/>
          <w:lang w:eastAsia="zh-CN"/>
        </w:rPr>
        <w:t>月</w:t>
      </w:r>
      <w:r>
        <w:rPr>
          <w:rFonts w:hint="eastAsia" w:ascii="宋体" w:hAnsi="宋体" w:eastAsia="宋体" w:cs="宋体"/>
          <w:bCs/>
          <w:color w:val="auto"/>
          <w:szCs w:val="21"/>
        </w:rPr>
        <w:t>。</w:t>
      </w:r>
    </w:p>
    <w:p>
      <w:pPr>
        <w:adjustRightInd w:val="0"/>
        <w:snapToGrid w:val="0"/>
        <w:spacing w:line="440" w:lineRule="exact"/>
        <w:ind w:firstLine="420"/>
        <w:rPr>
          <w:rFonts w:hint="eastAsia" w:ascii="宋体" w:hAnsi="宋体" w:eastAsia="宋体" w:cs="宋体"/>
          <w:bCs/>
          <w:color w:val="auto"/>
          <w:szCs w:val="21"/>
        </w:rPr>
      </w:pPr>
      <w:r>
        <w:rPr>
          <w:rFonts w:hint="eastAsia" w:ascii="宋体" w:hAnsi="宋体" w:eastAsia="宋体" w:cs="宋体"/>
          <w:bCs/>
          <w:color w:val="auto"/>
          <w:szCs w:val="21"/>
          <w:lang w:val="en-US" w:eastAsia="zh-CN"/>
        </w:rPr>
        <w:t xml:space="preserve"> 2、供应商特定资格条件：</w:t>
      </w:r>
      <w:r>
        <w:rPr>
          <w:rFonts w:hint="eastAsia" w:ascii="宋体" w:hAnsi="宋体" w:eastAsia="宋体" w:cs="宋体"/>
          <w:color w:val="auto"/>
          <w:szCs w:val="21"/>
          <w:highlight w:val="white"/>
        </w:rPr>
        <w:t>供应商</w:t>
      </w:r>
      <w:r>
        <w:rPr>
          <w:rFonts w:hint="eastAsia" w:ascii="宋体" w:hAnsi="宋体" w:eastAsia="宋体" w:cs="宋体"/>
          <w:color w:val="auto"/>
          <w:szCs w:val="21"/>
          <w:highlight w:val="white"/>
          <w:lang w:eastAsia="zh-CN"/>
        </w:rPr>
        <w:t>须具有中国证券监督管理委员会颁发的且在有效期内的《经营证券期货业务许可证》</w:t>
      </w:r>
      <w:r>
        <w:rPr>
          <w:rFonts w:hint="eastAsia" w:ascii="宋体" w:hAnsi="宋体" w:cs="宋体"/>
          <w:bCs/>
          <w:color w:val="auto"/>
          <w:szCs w:val="21"/>
          <w:lang w:val="en-US" w:eastAsia="zh-CN"/>
        </w:rPr>
        <w:t>。</w:t>
      </w:r>
    </w:p>
    <w:p>
      <w:pPr>
        <w:adjustRightInd w:val="0"/>
        <w:snapToGrid w:val="0"/>
        <w:spacing w:line="440" w:lineRule="exact"/>
        <w:ind w:firstLine="420"/>
        <w:rPr>
          <w:rFonts w:hint="eastAsia" w:ascii="宋体" w:hAnsi="宋体" w:eastAsia="宋体" w:cs="宋体"/>
          <w:color w:val="auto"/>
          <w:szCs w:val="21"/>
          <w:lang w:eastAsia="zh-CN"/>
        </w:rPr>
      </w:pPr>
      <w:r>
        <w:rPr>
          <w:rFonts w:hint="eastAsia" w:ascii="宋体" w:hAnsi="宋体" w:cs="宋体"/>
          <w:color w:val="auto"/>
          <w:lang w:val="en-US" w:eastAsia="zh-CN"/>
        </w:rPr>
        <w:t>3</w:t>
      </w:r>
      <w:r>
        <w:rPr>
          <w:rFonts w:hint="eastAsia" w:ascii="宋体" w:hAnsi="宋体" w:cs="宋体"/>
          <w:color w:val="auto"/>
        </w:rPr>
        <w:t>、本项目接受联合体磋商</w:t>
      </w:r>
      <w:r>
        <w:rPr>
          <w:rFonts w:hint="eastAsia" w:ascii="宋体" w:hAnsi="宋体" w:cs="宋体"/>
          <w:color w:val="auto"/>
          <w:lang w:eastAsia="zh-CN"/>
        </w:rPr>
        <w:t>：</w:t>
      </w:r>
      <w:r>
        <w:rPr>
          <w:rFonts w:hint="eastAsia" w:ascii="宋体" w:hAnsi="宋体" w:eastAsia="宋体" w:cs="宋体"/>
          <w:color w:val="auto"/>
          <w:szCs w:val="21"/>
          <w:highlight w:val="white"/>
        </w:rPr>
        <w:t>联合体应当具备下列条件：（1）联合体各方应按</w:t>
      </w:r>
      <w:r>
        <w:rPr>
          <w:rFonts w:hint="eastAsia" w:ascii="宋体" w:hAnsi="宋体" w:cs="宋体"/>
          <w:color w:val="auto"/>
          <w:szCs w:val="21"/>
          <w:highlight w:val="white"/>
          <w:lang w:val="en-US" w:eastAsia="zh-CN"/>
        </w:rPr>
        <w:t>磋商</w:t>
      </w:r>
      <w:r>
        <w:rPr>
          <w:rFonts w:hint="eastAsia" w:ascii="宋体" w:hAnsi="宋体" w:eastAsia="宋体" w:cs="宋体"/>
          <w:color w:val="auto"/>
          <w:szCs w:val="21"/>
          <w:highlight w:val="white"/>
        </w:rPr>
        <w:t>文件提供的格式签订联合体协议书，明确联合体牵头人和各方的权利义务；</w:t>
      </w:r>
      <w:r>
        <w:rPr>
          <w:rFonts w:hint="eastAsia" w:ascii="宋体" w:hAnsi="宋体" w:eastAsia="宋体" w:cs="宋体"/>
          <w:color w:val="auto"/>
          <w:szCs w:val="21"/>
          <w:highlight w:val="white"/>
          <w:lang w:eastAsia="zh-CN"/>
        </w:rPr>
        <w:t>（</w:t>
      </w:r>
      <w:r>
        <w:rPr>
          <w:rFonts w:hint="eastAsia" w:ascii="宋体" w:hAnsi="宋体" w:eastAsia="宋体" w:cs="宋体"/>
          <w:color w:val="auto"/>
          <w:szCs w:val="21"/>
          <w:highlight w:val="white"/>
          <w:lang w:val="en-US" w:eastAsia="zh-CN"/>
        </w:rPr>
        <w:t>2</w:t>
      </w:r>
      <w:r>
        <w:rPr>
          <w:rFonts w:hint="eastAsia" w:ascii="宋体" w:hAnsi="宋体" w:eastAsia="宋体" w:cs="宋体"/>
          <w:color w:val="auto"/>
          <w:szCs w:val="21"/>
          <w:highlight w:val="white"/>
          <w:lang w:eastAsia="zh-CN"/>
        </w:rPr>
        <w:t>）联合体</w:t>
      </w:r>
      <w:r>
        <w:rPr>
          <w:rFonts w:hint="eastAsia" w:ascii="宋体" w:hAnsi="宋体" w:eastAsia="宋体" w:cs="宋体"/>
          <w:color w:val="auto"/>
          <w:szCs w:val="21"/>
          <w:highlight w:val="white"/>
          <w:lang w:val="en-US" w:eastAsia="zh-CN"/>
        </w:rPr>
        <w:t>成员</w:t>
      </w:r>
      <w:r>
        <w:rPr>
          <w:rFonts w:hint="eastAsia" w:ascii="宋体" w:hAnsi="宋体" w:eastAsia="宋体" w:cs="宋体"/>
          <w:color w:val="auto"/>
          <w:szCs w:val="21"/>
          <w:highlight w:val="white"/>
          <w:lang w:eastAsia="zh-CN"/>
        </w:rPr>
        <w:t xml:space="preserve">不超过 </w:t>
      </w:r>
      <w:r>
        <w:rPr>
          <w:rFonts w:hint="eastAsia" w:ascii="宋体" w:hAnsi="宋体" w:eastAsia="宋体" w:cs="宋体"/>
          <w:color w:val="auto"/>
          <w:szCs w:val="21"/>
          <w:highlight w:val="white"/>
          <w:lang w:val="en-US" w:eastAsia="zh-CN"/>
        </w:rPr>
        <w:t>2</w:t>
      </w:r>
      <w:r>
        <w:rPr>
          <w:rFonts w:hint="eastAsia" w:ascii="宋体" w:hAnsi="宋体" w:eastAsia="宋体" w:cs="宋体"/>
          <w:color w:val="auto"/>
          <w:szCs w:val="21"/>
          <w:highlight w:val="white"/>
          <w:lang w:eastAsia="zh-CN"/>
        </w:rPr>
        <w:t xml:space="preserve"> 家；</w:t>
      </w:r>
      <w:r>
        <w:rPr>
          <w:rFonts w:hint="eastAsia" w:ascii="宋体" w:hAnsi="宋体" w:eastAsia="宋体" w:cs="宋体"/>
          <w:color w:val="auto"/>
          <w:szCs w:val="21"/>
          <w:highlight w:val="white"/>
        </w:rPr>
        <w:t>（</w:t>
      </w:r>
      <w:r>
        <w:rPr>
          <w:rFonts w:hint="eastAsia" w:ascii="宋体" w:hAnsi="宋体" w:eastAsia="宋体" w:cs="宋体"/>
          <w:color w:val="auto"/>
          <w:szCs w:val="21"/>
          <w:highlight w:val="white"/>
          <w:lang w:val="en-US" w:eastAsia="zh-CN"/>
        </w:rPr>
        <w:t>3</w:t>
      </w:r>
      <w:r>
        <w:rPr>
          <w:rFonts w:hint="eastAsia" w:ascii="宋体" w:hAnsi="宋体" w:eastAsia="宋体" w:cs="宋体"/>
          <w:color w:val="auto"/>
          <w:szCs w:val="21"/>
          <w:highlight w:val="white"/>
        </w:rPr>
        <w:t>）联合体各方签订联合体协议书后， 不得再单独参加或者与其他投标人组成新的联合体参加同一项目的采购活动</w:t>
      </w:r>
      <w:r>
        <w:rPr>
          <w:rFonts w:hint="eastAsia" w:ascii="宋体" w:hAnsi="宋体" w:eastAsia="宋体" w:cs="宋体"/>
          <w:color w:val="auto"/>
          <w:szCs w:val="21"/>
          <w:highlight w:val="white"/>
          <w:lang w:eastAsia="zh-CN"/>
        </w:rPr>
        <w:t>。</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rPr>
        <w:t xml:space="preserve"> </w:t>
      </w:r>
      <w:r>
        <w:rPr>
          <w:rFonts w:hint="eastAsia" w:ascii="宋体" w:hAnsi="宋体" w:cs="宋体"/>
          <w:b/>
          <w:bCs/>
          <w:color w:val="auto"/>
          <w:szCs w:val="21"/>
        </w:rPr>
        <w:t>四、</w:t>
      </w:r>
      <w:r>
        <w:rPr>
          <w:rFonts w:hint="eastAsia" w:ascii="宋体" w:hAnsi="宋体" w:cs="宋体"/>
          <w:b/>
          <w:color w:val="auto"/>
          <w:szCs w:val="21"/>
        </w:rPr>
        <w:t>获取磋商文件的时间、地点</w:t>
      </w:r>
      <w:r>
        <w:rPr>
          <w:rFonts w:hint="eastAsia" w:ascii="宋体" w:hAnsi="宋体" w:cs="宋体"/>
          <w:b/>
          <w:color w:val="auto"/>
          <w:szCs w:val="21"/>
          <w:highlight w:val="none"/>
        </w:rPr>
        <w:t>、方式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凡有意参加磋商采购活动的，请于</w:t>
      </w: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26</w:t>
      </w:r>
      <w:r>
        <w:rPr>
          <w:rFonts w:hint="eastAsia" w:ascii="宋体" w:hAnsi="宋体" w:cs="宋体"/>
          <w:color w:val="auto"/>
          <w:szCs w:val="21"/>
          <w:highlight w:val="none"/>
        </w:rPr>
        <w:t>日起至</w:t>
      </w: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rPr>
        <w:t>日(节假日除外)，每日上午</w:t>
      </w:r>
      <w:r>
        <w:rPr>
          <w:rFonts w:hint="eastAsia" w:ascii="宋体" w:hAnsi="宋体" w:cs="宋体"/>
          <w:color w:val="auto"/>
          <w:highlight w:val="none"/>
          <w:u w:val="single"/>
        </w:rPr>
        <w:t xml:space="preserve">9:00 </w:t>
      </w:r>
      <w:r>
        <w:rPr>
          <w:rFonts w:hint="eastAsia" w:ascii="宋体" w:hAnsi="宋体" w:cs="宋体"/>
          <w:color w:val="auto"/>
          <w:highlight w:val="none"/>
        </w:rPr>
        <w:t>～</w:t>
      </w:r>
      <w:r>
        <w:rPr>
          <w:rFonts w:hint="eastAsia" w:ascii="宋体" w:hAnsi="宋体" w:cs="宋体"/>
          <w:color w:val="auto"/>
          <w:highlight w:val="none"/>
          <w:u w:val="single"/>
        </w:rPr>
        <w:t xml:space="preserve"> 12:00 </w:t>
      </w:r>
      <w:r>
        <w:rPr>
          <w:rFonts w:hint="eastAsia" w:ascii="宋体" w:hAnsi="宋体" w:cs="宋体"/>
          <w:color w:val="auto"/>
          <w:highlight w:val="none"/>
        </w:rPr>
        <w:t>，下午</w:t>
      </w:r>
      <w:r>
        <w:rPr>
          <w:rFonts w:hint="eastAsia" w:ascii="宋体" w:hAnsi="宋体" w:cs="宋体"/>
          <w:color w:val="auto"/>
          <w:highlight w:val="none"/>
          <w:u w:val="single"/>
        </w:rPr>
        <w:t xml:space="preserve"> 14:</w:t>
      </w:r>
      <w:r>
        <w:rPr>
          <w:rFonts w:hint="eastAsia" w:ascii="宋体" w:hAnsi="宋体" w:cs="宋体"/>
          <w:color w:val="auto"/>
          <w:highlight w:val="none"/>
          <w:u w:val="single"/>
          <w:lang w:val="en-US" w:eastAsia="zh-CN"/>
        </w:rPr>
        <w:t>0</w:t>
      </w:r>
      <w:r>
        <w:rPr>
          <w:rFonts w:hint="eastAsia" w:ascii="宋体" w:hAnsi="宋体" w:cs="宋体"/>
          <w:color w:val="auto"/>
          <w:highlight w:val="none"/>
          <w:u w:val="single"/>
        </w:rPr>
        <w:t xml:space="preserve">0 </w:t>
      </w:r>
      <w:r>
        <w:rPr>
          <w:rFonts w:hint="eastAsia" w:ascii="宋体" w:hAnsi="宋体" w:cs="宋体"/>
          <w:color w:val="auto"/>
          <w:highlight w:val="none"/>
        </w:rPr>
        <w:t>～</w:t>
      </w:r>
      <w:r>
        <w:rPr>
          <w:rFonts w:hint="eastAsia" w:ascii="宋体" w:hAnsi="宋体" w:cs="宋体"/>
          <w:color w:val="auto"/>
          <w:highlight w:val="none"/>
          <w:u w:val="single"/>
        </w:rPr>
        <w:t xml:space="preserve"> 17:00 </w:t>
      </w:r>
      <w:r>
        <w:rPr>
          <w:rFonts w:hint="eastAsia" w:ascii="宋体" w:hAnsi="宋体" w:cs="宋体"/>
          <w:color w:val="auto"/>
          <w:highlight w:val="none"/>
        </w:rPr>
        <w:t>(</w:t>
      </w:r>
      <w:r>
        <w:rPr>
          <w:rFonts w:hint="eastAsia" w:ascii="宋体" w:hAnsi="宋体" w:cs="宋体"/>
          <w:color w:val="auto"/>
          <w:szCs w:val="21"/>
          <w:highlight w:val="none"/>
        </w:rPr>
        <w:t>北京时间)，持法定代表人身份证明或授权委托书(附法定代表人身份证明)、个人身份证等原件到</w:t>
      </w:r>
      <w:r>
        <w:rPr>
          <w:rFonts w:hint="eastAsia" w:ascii="宋体" w:hAnsi="宋体" w:cs="宋体"/>
          <w:color w:val="auto"/>
          <w:szCs w:val="21"/>
          <w:highlight w:val="none"/>
          <w:u w:val="single"/>
          <w:lang w:eastAsia="zh-CN"/>
        </w:rPr>
        <w:t>湖南新泉工程咨询有限公司（长沙市岳麓区潇湘南路一段208号柏宁地王广场北栋5层5002室）</w:t>
      </w:r>
      <w:r>
        <w:rPr>
          <w:rFonts w:hint="eastAsia" w:ascii="宋体" w:hAnsi="宋体" w:cs="宋体"/>
          <w:color w:val="auto"/>
          <w:szCs w:val="21"/>
          <w:highlight w:val="none"/>
        </w:rPr>
        <w:t xml:space="preserve">获取磋商文件。 </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五、响应文件提交的截止时间、开启时间及地点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1、提交首次响应文件的截止时间为</w:t>
      </w: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rPr>
        <w:t>分（北京时间），地点为</w:t>
      </w:r>
      <w:r>
        <w:rPr>
          <w:rFonts w:hint="eastAsia" w:ascii="宋体" w:hAnsi="宋体" w:cs="宋体"/>
          <w:color w:val="auto"/>
          <w:szCs w:val="21"/>
          <w:highlight w:val="none"/>
          <w:u w:val="single"/>
          <w:lang w:eastAsia="zh-CN"/>
        </w:rPr>
        <w:t>湖南新泉工程咨询有限公司（长沙市岳麓区潇湘南路一段208号柏宁地王广场北栋5层5002室）</w:t>
      </w:r>
      <w:r>
        <w:rPr>
          <w:rFonts w:hint="eastAsia" w:ascii="宋体" w:hAnsi="宋体" w:cs="宋体"/>
          <w:color w:val="auto"/>
          <w:szCs w:val="21"/>
          <w:highlight w:val="none"/>
        </w:rPr>
        <w:t>(指定地点)。在截止时间后送达的响应文件为无效文件，采购人、采购代理机构或者磋商小组应当拒收。</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2、首次响应文件的开启时间及地点与提交首次响应文件的截止时间及地点为同一时间及地点。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六、采购项目联系人姓名和电话</w:t>
      </w:r>
    </w:p>
    <w:p>
      <w:pPr>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 购 人：</w:t>
      </w:r>
      <w:r>
        <w:rPr>
          <w:rFonts w:hint="eastAsia" w:ascii="宋体" w:hAnsi="宋体" w:cs="宋体"/>
          <w:color w:val="auto"/>
          <w:szCs w:val="21"/>
          <w:highlight w:val="none"/>
          <w:lang w:eastAsia="zh-CN"/>
        </w:rPr>
        <w:t>湖南智谷投资发展集团有限公司</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地  址：湖南省长沙市岳麓区学士街道学士路336号检验检测产业园A-1栋23楼</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lang w:val="en-US" w:eastAsia="zh-CN"/>
        </w:rPr>
        <w:t>王先生</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联系电话：0731-88096759</w:t>
      </w:r>
    </w:p>
    <w:p>
      <w:pPr>
        <w:rPr>
          <w:rFonts w:hint="eastAsia" w:ascii="宋体" w:hAnsi="宋体" w:cs="宋体"/>
          <w:color w:val="auto"/>
          <w:szCs w:val="21"/>
        </w:rPr>
      </w:pPr>
    </w:p>
    <w:p>
      <w:pPr>
        <w:spacing w:line="360" w:lineRule="auto"/>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采购代理机构：</w:t>
      </w:r>
      <w:r>
        <w:rPr>
          <w:rFonts w:hint="eastAsia" w:ascii="宋体" w:hAnsi="宋体" w:cs="宋体"/>
          <w:color w:val="auto"/>
          <w:szCs w:val="21"/>
          <w:lang w:eastAsia="zh-CN"/>
        </w:rPr>
        <w:t>湖南新泉工程咨询有限公司</w:t>
      </w:r>
    </w:p>
    <w:p>
      <w:pPr>
        <w:spacing w:line="360" w:lineRule="auto"/>
        <w:ind w:firstLine="420" w:firstLineChars="200"/>
        <w:jc w:val="left"/>
        <w:rPr>
          <w:rFonts w:hint="default" w:ascii="宋体" w:hAnsi="宋体" w:eastAsia="宋体" w:cs="宋体"/>
          <w:color w:val="auto"/>
          <w:szCs w:val="21"/>
          <w:lang w:val="en-US" w:eastAsia="zh-CN"/>
        </w:rPr>
      </w:pPr>
      <w:r>
        <w:rPr>
          <w:rFonts w:hint="eastAsia" w:ascii="宋体" w:hAnsi="宋体" w:cs="宋体"/>
          <w:color w:val="auto"/>
          <w:szCs w:val="21"/>
        </w:rPr>
        <w:t>地  址：</w:t>
      </w:r>
      <w:r>
        <w:rPr>
          <w:rFonts w:hint="eastAsia" w:ascii="宋体" w:hAnsi="宋体" w:cs="宋体"/>
          <w:color w:val="auto"/>
          <w:szCs w:val="21"/>
          <w:lang w:val="en-US" w:eastAsia="zh-CN"/>
        </w:rPr>
        <w:t xml:space="preserve"> 长沙市岳麓区潇湘南路一段208号柏宁地王广场北栋5层5002室</w:t>
      </w:r>
    </w:p>
    <w:p>
      <w:pPr>
        <w:spacing w:line="400" w:lineRule="exact"/>
        <w:ind w:firstLine="424" w:firstLineChars="202"/>
        <w:rPr>
          <w:rFonts w:hint="default" w:ascii="宋体" w:hAnsi="宋体" w:eastAsia="宋体" w:cs="宋体"/>
          <w:color w:val="auto"/>
          <w:kern w:val="1"/>
          <w:lang w:val="en-US" w:eastAsia="zh-CN"/>
        </w:rPr>
      </w:pPr>
      <w:r>
        <w:rPr>
          <w:rFonts w:hint="eastAsia" w:ascii="宋体" w:hAnsi="宋体" w:cs="宋体"/>
          <w:color w:val="auto"/>
          <w:kern w:val="1"/>
        </w:rPr>
        <w:t>联系人：</w:t>
      </w:r>
      <w:r>
        <w:rPr>
          <w:rFonts w:hint="eastAsia" w:ascii="宋体" w:hAnsi="宋体" w:cs="宋体"/>
          <w:color w:val="auto"/>
          <w:kern w:val="1"/>
          <w:lang w:val="en-US" w:eastAsia="zh-CN"/>
        </w:rPr>
        <w:t xml:space="preserve"> 何佳、陈珊</w:t>
      </w:r>
    </w:p>
    <w:p>
      <w:pPr>
        <w:spacing w:line="400" w:lineRule="exact"/>
        <w:ind w:firstLine="424" w:firstLineChars="202"/>
        <w:rPr>
          <w:rFonts w:hint="default" w:ascii="宋体" w:hAnsi="宋体" w:cs="宋体"/>
          <w:color w:val="auto"/>
          <w:kern w:val="1"/>
          <w:lang w:val="en-US" w:eastAsia="zh-CN"/>
        </w:rPr>
      </w:pPr>
      <w:r>
        <w:rPr>
          <w:rFonts w:hint="eastAsia" w:ascii="宋体" w:hAnsi="宋体" w:cs="宋体"/>
          <w:color w:val="auto"/>
          <w:kern w:val="1"/>
        </w:rPr>
        <w:t>电  话：</w:t>
      </w:r>
      <w:r>
        <w:rPr>
          <w:rFonts w:hint="eastAsia" w:ascii="宋体" w:hAnsi="宋体" w:cs="宋体"/>
          <w:color w:val="auto"/>
          <w:kern w:val="1"/>
          <w:lang w:val="en-US" w:eastAsia="zh-CN"/>
        </w:rPr>
        <w:t xml:space="preserve"> 0731-85226831</w:t>
      </w:r>
    </w:p>
    <w:p>
      <w:pPr>
        <w:pStyle w:val="46"/>
        <w:rPr>
          <w:rFonts w:hint="eastAsia"/>
          <w:color w:val="auto"/>
          <w:lang w:eastAsia="zh-CN"/>
        </w:rPr>
      </w:pP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监管部门：本项目接受</w:t>
      </w:r>
      <w:r>
        <w:rPr>
          <w:rFonts w:hint="eastAsia" w:ascii="宋体" w:hAnsi="宋体" w:cs="宋体"/>
          <w:color w:val="auto"/>
          <w:szCs w:val="21"/>
          <w:lang w:eastAsia="zh-CN"/>
        </w:rPr>
        <w:t>湖南智谷投资发展集团有限公司</w:t>
      </w:r>
      <w:r>
        <w:rPr>
          <w:rFonts w:hint="eastAsia" w:ascii="宋体" w:hAnsi="宋体" w:cs="宋体"/>
          <w:color w:val="auto"/>
          <w:szCs w:val="21"/>
        </w:rPr>
        <w:t>审计监察中心监督</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电    话：</w:t>
      </w:r>
      <w:r>
        <w:rPr>
          <w:rFonts w:hint="eastAsia" w:ascii="宋体" w:hAnsi="宋体" w:cs="宋体"/>
          <w:color w:val="auto"/>
          <w:szCs w:val="21"/>
          <w:lang w:val="en-US" w:eastAsia="zh-CN"/>
        </w:rPr>
        <w:t>张</w:t>
      </w:r>
      <w:r>
        <w:rPr>
          <w:rFonts w:hint="eastAsia" w:ascii="宋体" w:hAnsi="宋体" w:cs="宋体"/>
          <w:color w:val="auto"/>
          <w:szCs w:val="21"/>
        </w:rPr>
        <w:t>先生</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联 系 人：0731-85581812</w:t>
      </w:r>
    </w:p>
    <w:p>
      <w:pPr>
        <w:spacing w:line="360" w:lineRule="auto"/>
        <w:ind w:firstLine="643" w:firstLineChars="200"/>
        <w:jc w:val="left"/>
        <w:rPr>
          <w:rFonts w:hAnsi="宋体" w:cs="宋体"/>
          <w:b/>
          <w:color w:val="auto"/>
          <w:sz w:val="32"/>
          <w:szCs w:val="32"/>
        </w:rPr>
      </w:pPr>
    </w:p>
    <w:p>
      <w:pPr>
        <w:pStyle w:val="24"/>
        <w:spacing w:line="360" w:lineRule="auto"/>
        <w:ind w:firstLine="643" w:firstLineChars="200"/>
        <w:jc w:val="center"/>
        <w:rPr>
          <w:rFonts w:hAnsi="宋体" w:cs="宋体"/>
          <w:b/>
          <w:color w:val="auto"/>
          <w:sz w:val="32"/>
          <w:szCs w:val="32"/>
        </w:rPr>
        <w:sectPr>
          <w:headerReference r:id="rId5" w:type="first"/>
          <w:footerReference r:id="rId7" w:type="first"/>
          <w:footerReference r:id="rId6" w:type="default"/>
          <w:pgSz w:w="11906" w:h="16838"/>
          <w:pgMar w:top="1361" w:right="1361" w:bottom="1361" w:left="1361" w:header="851" w:footer="992" w:gutter="0"/>
          <w:pgNumType w:start="1"/>
          <w:cols w:space="0" w:num="1"/>
          <w:titlePg/>
          <w:docGrid w:type="lines" w:linePitch="312" w:charSpace="0"/>
        </w:sectPr>
      </w:pPr>
    </w:p>
    <w:p>
      <w:pPr>
        <w:pStyle w:val="24"/>
        <w:jc w:val="center"/>
        <w:rPr>
          <w:rFonts w:hAnsi="宋体" w:cs="宋体"/>
          <w:b/>
          <w:color w:val="auto"/>
          <w:sz w:val="32"/>
          <w:szCs w:val="32"/>
        </w:rPr>
      </w:pPr>
      <w:r>
        <w:rPr>
          <w:rFonts w:hint="eastAsia" w:hAnsi="宋体" w:cs="宋体"/>
          <w:b/>
          <w:color w:val="auto"/>
          <w:sz w:val="32"/>
          <w:szCs w:val="32"/>
        </w:rPr>
        <w:t>第二章 磋商须知</w:t>
      </w:r>
    </w:p>
    <w:p>
      <w:pPr>
        <w:pStyle w:val="24"/>
        <w:rPr>
          <w:rFonts w:hAnsi="宋体" w:cs="宋体"/>
          <w:b/>
          <w:color w:val="auto"/>
          <w:sz w:val="24"/>
          <w:szCs w:val="24"/>
        </w:rPr>
      </w:pPr>
      <w:r>
        <w:rPr>
          <w:rFonts w:hint="eastAsia" w:hAnsi="宋体" w:cs="宋体"/>
          <w:b/>
          <w:color w:val="auto"/>
          <w:sz w:val="24"/>
          <w:szCs w:val="24"/>
        </w:rPr>
        <w:t>磋商须知前附表</w:t>
      </w:r>
    </w:p>
    <w:p>
      <w:pPr>
        <w:pStyle w:val="24"/>
        <w:rPr>
          <w:rFonts w:hAnsi="宋体" w:cs="宋体"/>
          <w:color w:val="auto"/>
        </w:rPr>
      </w:pPr>
      <w:r>
        <w:rPr>
          <w:rFonts w:hint="eastAsia" w:hAnsi="宋体" w:cs="宋体"/>
          <w:color w:val="auto"/>
        </w:rPr>
        <w:t>注： 请在方框□内划√选择，在“条款号”内限选一项。（本项目采用的条款用“■”标示）</w:t>
      </w:r>
    </w:p>
    <w:tbl>
      <w:tblPr>
        <w:tblStyle w:val="47"/>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69"/>
        <w:gridCol w:w="2076"/>
        <w:gridCol w:w="5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995"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条款号</w:t>
            </w:r>
          </w:p>
        </w:tc>
        <w:tc>
          <w:tcPr>
            <w:tcW w:w="1105"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条款名称</w:t>
            </w:r>
          </w:p>
        </w:tc>
        <w:tc>
          <w:tcPr>
            <w:tcW w:w="2899"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编列内容规定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采购项目</w:t>
            </w:r>
          </w:p>
        </w:tc>
        <w:tc>
          <w:tcPr>
            <w:tcW w:w="2899" w:type="pct"/>
            <w:vAlign w:val="center"/>
          </w:tcPr>
          <w:p>
            <w:pPr>
              <w:spacing w:line="320" w:lineRule="exact"/>
              <w:rPr>
                <w:rFonts w:hint="eastAsia" w:ascii="宋体" w:hAnsi="宋体" w:eastAsia="宋体" w:cs="宋体"/>
                <w:color w:val="auto"/>
                <w:szCs w:val="21"/>
                <w:lang w:eastAsia="zh-CN"/>
              </w:rPr>
            </w:pPr>
            <w:r>
              <w:rPr>
                <w:rFonts w:hint="eastAsia" w:ascii="宋体" w:hAnsi="宋体" w:cs="宋体"/>
                <w:color w:val="auto"/>
                <w:szCs w:val="21"/>
                <w:lang w:eastAsia="zh-CN"/>
              </w:rPr>
              <w:t>2024年非公开公司债券主承销商采购服务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采购人</w:t>
            </w:r>
          </w:p>
        </w:tc>
        <w:tc>
          <w:tcPr>
            <w:tcW w:w="2899" w:type="pct"/>
            <w:vAlign w:val="center"/>
          </w:tcPr>
          <w:p>
            <w:pPr>
              <w:adjustRightInd w:val="0"/>
              <w:snapToGrid w:val="0"/>
              <w:spacing w:line="320" w:lineRule="exact"/>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 购 人：</w:t>
            </w:r>
            <w:r>
              <w:rPr>
                <w:rFonts w:hint="eastAsia" w:ascii="宋体" w:hAnsi="宋体" w:cs="宋体"/>
                <w:color w:val="auto"/>
                <w:szCs w:val="21"/>
                <w:highlight w:val="none"/>
                <w:lang w:eastAsia="zh-CN"/>
              </w:rPr>
              <w:t>湖南智谷投资发展集团有限公司</w:t>
            </w:r>
          </w:p>
          <w:p>
            <w:pPr>
              <w:adjustRightInd w:val="0"/>
              <w:snapToGrid w:val="0"/>
              <w:spacing w:line="320" w:lineRule="exact"/>
              <w:jc w:val="left"/>
              <w:rPr>
                <w:rFonts w:hint="eastAsia" w:ascii="宋体" w:hAnsi="宋体" w:cs="宋体"/>
                <w:color w:val="auto"/>
                <w:szCs w:val="21"/>
                <w:highlight w:val="none"/>
              </w:rPr>
            </w:pPr>
            <w:r>
              <w:rPr>
                <w:rFonts w:hint="eastAsia" w:ascii="宋体" w:hAnsi="宋体" w:cs="宋体"/>
                <w:color w:val="auto"/>
                <w:szCs w:val="21"/>
                <w:highlight w:val="none"/>
              </w:rPr>
              <w:t>地  址：湖南省长沙市岳麓区学士街道学士路336号检验检测产业园A-1栋23楼</w:t>
            </w:r>
          </w:p>
          <w:p>
            <w:pPr>
              <w:adjustRightInd w:val="0"/>
              <w:snapToGrid w:val="0"/>
              <w:spacing w:line="320" w:lineRule="exact"/>
              <w:jc w:val="left"/>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王先生</w:t>
            </w:r>
          </w:p>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联系电话：</w:t>
            </w:r>
            <w:r>
              <w:rPr>
                <w:rFonts w:hint="eastAsia" w:ascii="宋体" w:hAnsi="宋体" w:cs="宋体"/>
                <w:color w:val="auto"/>
                <w:szCs w:val="21"/>
              </w:rPr>
              <w:t>0731-88096759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采购代理机构</w:t>
            </w:r>
          </w:p>
        </w:tc>
        <w:tc>
          <w:tcPr>
            <w:tcW w:w="2899" w:type="pct"/>
            <w:vAlign w:val="center"/>
          </w:tcPr>
          <w:p>
            <w:pPr>
              <w:pStyle w:val="24"/>
              <w:spacing w:line="320" w:lineRule="exact"/>
              <w:jc w:val="left"/>
              <w:rPr>
                <w:rFonts w:hint="eastAsia" w:hAnsi="宋体" w:eastAsia="宋体" w:cs="宋体"/>
                <w:color w:val="auto"/>
                <w:lang w:eastAsia="zh-CN"/>
              </w:rPr>
            </w:pPr>
            <w:r>
              <w:rPr>
                <w:rFonts w:hint="eastAsia" w:hAnsi="宋体" w:cs="宋体"/>
                <w:color w:val="auto"/>
              </w:rPr>
              <w:t>名    称：</w:t>
            </w:r>
            <w:r>
              <w:rPr>
                <w:rFonts w:hint="eastAsia" w:hAnsi="宋体" w:cs="宋体"/>
                <w:color w:val="auto"/>
                <w:lang w:eastAsia="zh-CN"/>
              </w:rPr>
              <w:t>湖南新泉工程咨询有限公司</w:t>
            </w:r>
          </w:p>
          <w:p>
            <w:pPr>
              <w:spacing w:line="400" w:lineRule="exact"/>
              <w:rPr>
                <w:rFonts w:hint="eastAsia" w:hAnsi="宋体" w:cs="宋体"/>
                <w:color w:val="auto"/>
                <w:lang w:eastAsia="zh-CN"/>
              </w:rPr>
            </w:pPr>
            <w:r>
              <w:rPr>
                <w:rFonts w:hint="eastAsia" w:hAnsi="宋体" w:cs="宋体"/>
                <w:color w:val="auto"/>
              </w:rPr>
              <w:t>地    址：</w:t>
            </w:r>
            <w:r>
              <w:rPr>
                <w:rFonts w:hint="eastAsia" w:hAnsi="宋体" w:cs="宋体"/>
                <w:color w:val="auto"/>
                <w:lang w:eastAsia="zh-CN"/>
              </w:rPr>
              <w:t>长沙市岳麓区潇湘南路一段208号柏宁地王广场北栋5层5002室</w:t>
            </w:r>
          </w:p>
          <w:p>
            <w:pPr>
              <w:spacing w:line="400" w:lineRule="exact"/>
              <w:rPr>
                <w:rFonts w:hint="eastAsia" w:ascii="宋体" w:hAnsi="宋体" w:eastAsia="宋体" w:cs="宋体"/>
                <w:color w:val="auto"/>
                <w:szCs w:val="21"/>
                <w:lang w:val="en-US" w:eastAsia="zh-CN"/>
              </w:rPr>
            </w:pPr>
            <w:r>
              <w:rPr>
                <w:rFonts w:hint="eastAsia" w:ascii="宋体" w:hAnsi="宋体" w:eastAsia="宋体" w:cs="宋体"/>
                <w:color w:val="auto"/>
                <w:szCs w:val="21"/>
                <w:lang w:eastAsia="zh-CN"/>
              </w:rPr>
              <w:t>联系人：</w:t>
            </w:r>
            <w:r>
              <w:rPr>
                <w:rFonts w:hint="eastAsia" w:ascii="宋体" w:hAnsi="宋体" w:eastAsia="宋体" w:cs="宋体"/>
                <w:color w:val="auto"/>
                <w:szCs w:val="21"/>
                <w:lang w:val="en-US" w:eastAsia="zh-CN"/>
              </w:rPr>
              <w:t xml:space="preserve"> 何佳、陈珊</w:t>
            </w:r>
          </w:p>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lang w:eastAsia="zh-CN"/>
              </w:rPr>
              <w:t>电  话：</w:t>
            </w:r>
            <w:r>
              <w:rPr>
                <w:rFonts w:hint="eastAsia" w:ascii="宋体" w:hAnsi="宋体" w:eastAsia="宋体" w:cs="宋体"/>
                <w:color w:val="auto"/>
                <w:szCs w:val="21"/>
                <w:lang w:val="en-US" w:eastAsia="zh-CN"/>
              </w:rPr>
              <w:t xml:space="preserve"> 0731-85226831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第二章第2.3款</w:t>
            </w:r>
          </w:p>
        </w:tc>
        <w:tc>
          <w:tcPr>
            <w:tcW w:w="1105" w:type="pct"/>
            <w:vAlign w:val="center"/>
          </w:tcPr>
          <w:p>
            <w:pPr>
              <w:adjustRightInd w:val="0"/>
              <w:snapToGrid w:val="0"/>
              <w:spacing w:line="320" w:lineRule="exact"/>
              <w:jc w:val="center"/>
              <w:rPr>
                <w:rFonts w:ascii="宋体" w:hAnsi="宋体" w:cs="宋体"/>
                <w:bCs/>
                <w:color w:val="auto"/>
                <w:szCs w:val="21"/>
              </w:rPr>
            </w:pPr>
            <w:r>
              <w:rPr>
                <w:rFonts w:hint="eastAsia" w:ascii="宋体" w:hAnsi="宋体" w:cs="宋体"/>
                <w:color w:val="auto"/>
                <w:kern w:val="0"/>
                <w:szCs w:val="21"/>
              </w:rPr>
              <w:t>供应商的</w:t>
            </w:r>
            <w:r>
              <w:rPr>
                <w:rFonts w:hint="eastAsia" w:ascii="宋体" w:hAnsi="宋体" w:cs="宋体"/>
                <w:color w:val="auto"/>
                <w:szCs w:val="21"/>
              </w:rPr>
              <w:t>邀请方式</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发布公告</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从省级以上财政部门建立的供应商库中随机抽取</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采购人和评审专家分别书面推荐的方式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第二章第3.1款</w:t>
            </w:r>
          </w:p>
        </w:tc>
        <w:tc>
          <w:tcPr>
            <w:tcW w:w="1105" w:type="pct"/>
            <w:vAlign w:val="center"/>
          </w:tcPr>
          <w:p>
            <w:pPr>
              <w:adjustRightInd w:val="0"/>
              <w:snapToGrid w:val="0"/>
              <w:spacing w:line="320" w:lineRule="exact"/>
              <w:jc w:val="center"/>
              <w:rPr>
                <w:rFonts w:ascii="宋体" w:hAnsi="宋体" w:cs="宋体"/>
                <w:color w:val="auto"/>
                <w:kern w:val="0"/>
                <w:szCs w:val="21"/>
              </w:rPr>
            </w:pPr>
            <w:r>
              <w:rPr>
                <w:rFonts w:hint="eastAsia" w:ascii="宋体" w:hAnsi="宋体" w:cs="宋体"/>
                <w:bCs/>
                <w:color w:val="auto"/>
                <w:szCs w:val="21"/>
                <w:highlight w:val="none"/>
              </w:rPr>
              <w:t>供应商</w:t>
            </w:r>
            <w:r>
              <w:rPr>
                <w:rFonts w:hint="eastAsia" w:ascii="宋体" w:hAnsi="宋体" w:cs="宋体"/>
                <w:color w:val="auto"/>
                <w:szCs w:val="21"/>
                <w:highlight w:val="none"/>
              </w:rPr>
              <w:t>资格条件</w:t>
            </w:r>
          </w:p>
        </w:tc>
        <w:tc>
          <w:tcPr>
            <w:tcW w:w="2899" w:type="pct"/>
            <w:vAlign w:val="center"/>
          </w:tcPr>
          <w:p>
            <w:pPr>
              <w:spacing w:line="32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详见磋商公告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第二章第6.1款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联合体形式</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□不接受</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第二章第6.2款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pacing w:val="-6"/>
                <w:szCs w:val="21"/>
              </w:rPr>
              <w:t>对联合体各方的要求</w:t>
            </w:r>
          </w:p>
        </w:tc>
        <w:tc>
          <w:tcPr>
            <w:tcW w:w="2899" w:type="pct"/>
            <w:vAlign w:val="center"/>
          </w:tcPr>
          <w:p>
            <w:pPr>
              <w:adjustRightInd w:val="0"/>
              <w:snapToGrid w:val="0"/>
              <w:spacing w:line="320" w:lineRule="exact"/>
              <w:rPr>
                <w:rFonts w:hint="default" w:ascii="宋体" w:hAnsi="宋体" w:eastAsia="宋体" w:cs="宋体"/>
                <w:color w:val="auto"/>
                <w:szCs w:val="21"/>
                <w:lang w:val="en-US" w:eastAsia="zh-CN"/>
              </w:rPr>
            </w:pPr>
            <w:r>
              <w:rPr>
                <w:rFonts w:hint="eastAsia" w:ascii="宋体" w:hAnsi="宋体" w:cs="宋体"/>
                <w:color w:val="auto"/>
                <w:szCs w:val="21"/>
              </w:rPr>
              <w:t>本项目接受联合体</w:t>
            </w:r>
            <w:r>
              <w:rPr>
                <w:rFonts w:hint="eastAsia" w:ascii="宋体" w:hAnsi="宋体" w:cs="宋体"/>
                <w:color w:val="auto"/>
                <w:szCs w:val="21"/>
                <w:lang w:eastAsia="zh-CN"/>
              </w:rPr>
              <w:t>，联合体应当具备下列条件：（1）联合体各方应按招标文件提供的格式签订联合体协议书，明确联合体牵头人和各方的权利义务；（</w:t>
            </w:r>
            <w:r>
              <w:rPr>
                <w:rFonts w:hint="eastAsia" w:ascii="宋体" w:hAnsi="宋体" w:cs="宋体"/>
                <w:color w:val="auto"/>
                <w:szCs w:val="21"/>
                <w:lang w:val="en-US" w:eastAsia="zh-CN"/>
              </w:rPr>
              <w:t>2</w:t>
            </w:r>
            <w:r>
              <w:rPr>
                <w:rFonts w:hint="eastAsia" w:ascii="宋体" w:hAnsi="宋体" w:cs="宋体"/>
                <w:color w:val="auto"/>
                <w:szCs w:val="21"/>
                <w:lang w:eastAsia="zh-CN"/>
              </w:rPr>
              <w:t>）联合体</w:t>
            </w:r>
            <w:r>
              <w:rPr>
                <w:rFonts w:hint="eastAsia" w:ascii="宋体" w:hAnsi="宋体" w:cs="宋体"/>
                <w:color w:val="auto"/>
                <w:szCs w:val="21"/>
                <w:lang w:val="en-US" w:eastAsia="zh-CN"/>
              </w:rPr>
              <w:t>成员</w:t>
            </w:r>
            <w:r>
              <w:rPr>
                <w:rFonts w:hint="eastAsia" w:ascii="宋体" w:hAnsi="宋体" w:cs="宋体"/>
                <w:color w:val="auto"/>
                <w:szCs w:val="21"/>
                <w:lang w:eastAsia="zh-CN"/>
              </w:rPr>
              <w:t xml:space="preserve">不超过 </w:t>
            </w:r>
            <w:r>
              <w:rPr>
                <w:rFonts w:hint="eastAsia" w:ascii="宋体" w:hAnsi="宋体" w:cs="宋体"/>
                <w:color w:val="auto"/>
                <w:szCs w:val="21"/>
                <w:lang w:val="en-US" w:eastAsia="zh-CN"/>
              </w:rPr>
              <w:t>2</w:t>
            </w:r>
            <w:r>
              <w:rPr>
                <w:rFonts w:hint="eastAsia" w:ascii="宋体" w:hAnsi="宋体" w:cs="宋体"/>
                <w:color w:val="auto"/>
                <w:szCs w:val="21"/>
                <w:lang w:eastAsia="zh-CN"/>
              </w:rPr>
              <w:t xml:space="preserve"> 家；（</w:t>
            </w:r>
            <w:r>
              <w:rPr>
                <w:rFonts w:hint="eastAsia" w:ascii="宋体" w:hAnsi="宋体" w:cs="宋体"/>
                <w:color w:val="auto"/>
                <w:szCs w:val="21"/>
                <w:lang w:val="en-US" w:eastAsia="zh-CN"/>
              </w:rPr>
              <w:t>3</w:t>
            </w:r>
            <w:r>
              <w:rPr>
                <w:rFonts w:hint="eastAsia" w:ascii="宋体" w:hAnsi="宋体" w:cs="宋体"/>
                <w:color w:val="auto"/>
                <w:szCs w:val="21"/>
                <w:lang w:eastAsia="zh-CN"/>
              </w:rPr>
              <w:t>）联合体各方签订联合体协议书后，不得再单独参加或者与其他投标人组成新的联合体参加同一项目的采购活动。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第二章第7.1款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现场勘察</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采购人不组织</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采购人组织，时间：</w:t>
            </w:r>
            <w:r>
              <w:rPr>
                <w:rFonts w:hint="eastAsia" w:ascii="宋体" w:hAnsi="宋体" w:cs="宋体"/>
                <w:color w:val="auto"/>
                <w:szCs w:val="21"/>
                <w:u w:val="single"/>
              </w:rPr>
              <w:t xml:space="preserve">   </w:t>
            </w:r>
            <w:r>
              <w:rPr>
                <w:rFonts w:hint="eastAsia" w:ascii="宋体" w:hAnsi="宋体" w:cs="宋体"/>
                <w:color w:val="auto"/>
                <w:szCs w:val="21"/>
              </w:rPr>
              <w:t>地点：</w:t>
            </w:r>
            <w:r>
              <w:rPr>
                <w:rFonts w:hint="eastAsia" w:ascii="宋体" w:hAnsi="宋体" w:cs="宋体"/>
                <w:color w:val="auto"/>
                <w:szCs w:val="21"/>
                <w:u w:val="single"/>
              </w:rPr>
              <w:t xml:space="preserve">   </w:t>
            </w:r>
            <w:r>
              <w:rPr>
                <w:rFonts w:hint="eastAsia" w:ascii="宋体" w:hAnsi="宋体" w:cs="宋体"/>
                <w:color w:val="auto"/>
                <w:szCs w:val="21"/>
              </w:rPr>
              <w:t>联系人：</w:t>
            </w:r>
            <w:r>
              <w:rPr>
                <w:rFonts w:hint="eastAsia" w:ascii="宋体" w:hAnsi="宋体" w:cs="宋体"/>
                <w:color w:val="auto"/>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第二章第8.1款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采购进口产品</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第二章第9.1款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政府采购强制采购</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第二章第9.2款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政府采购优先采购</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95" w:type="pct"/>
            <w:vMerge w:val="restart"/>
            <w:tcBorders>
              <w:top w:val="single" w:color="auto" w:sz="4" w:space="0"/>
            </w:tcBorders>
            <w:vAlign w:val="center"/>
          </w:tcPr>
          <w:p>
            <w:pPr>
              <w:spacing w:line="320" w:lineRule="exact"/>
              <w:rPr>
                <w:rFonts w:ascii="宋体" w:hAnsi="宋体" w:cs="宋体"/>
                <w:color w:val="auto"/>
                <w:szCs w:val="21"/>
              </w:rPr>
            </w:pPr>
            <w:r>
              <w:rPr>
                <w:rFonts w:hint="eastAsia" w:ascii="宋体" w:hAnsi="宋体" w:cs="宋体"/>
                <w:color w:val="auto"/>
                <w:szCs w:val="21"/>
              </w:rPr>
              <w:t>第二章第9.6款</w:t>
            </w:r>
          </w:p>
        </w:tc>
        <w:tc>
          <w:tcPr>
            <w:tcW w:w="1105" w:type="pct"/>
            <w:tcBorders>
              <w:top w:val="single" w:color="auto" w:sz="4" w:space="0"/>
              <w:bottom w:val="single" w:color="auto" w:sz="4" w:space="0"/>
            </w:tcBorders>
            <w:vAlign w:val="center"/>
          </w:tcPr>
          <w:p>
            <w:pPr>
              <w:spacing w:line="320" w:lineRule="exact"/>
              <w:jc w:val="center"/>
              <w:rPr>
                <w:rFonts w:ascii="宋体" w:hAnsi="宋体" w:cs="宋体"/>
                <w:color w:val="auto"/>
                <w:szCs w:val="21"/>
              </w:rPr>
            </w:pPr>
            <w:r>
              <w:rPr>
                <w:rFonts w:hint="eastAsia" w:ascii="宋体" w:hAnsi="宋体" w:cs="宋体"/>
                <w:bCs/>
                <w:color w:val="auto"/>
                <w:kern w:val="0"/>
                <w:szCs w:val="21"/>
              </w:rPr>
              <w:t>政府采购支持中小企业融资</w:t>
            </w:r>
          </w:p>
        </w:tc>
        <w:tc>
          <w:tcPr>
            <w:tcW w:w="2899" w:type="pct"/>
            <w:tcBorders>
              <w:top w:val="single" w:color="auto" w:sz="4" w:space="0"/>
              <w:bottom w:val="single" w:color="auto" w:sz="4" w:space="0"/>
            </w:tcBorders>
          </w:tcPr>
          <w:p>
            <w:pPr>
              <w:adjustRightInd w:val="0"/>
              <w:snapToGrid w:val="0"/>
              <w:spacing w:line="320" w:lineRule="exact"/>
              <w:rPr>
                <w:rFonts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995" w:type="pct"/>
            <w:vMerge w:val="continue"/>
            <w:vAlign w:val="center"/>
          </w:tcPr>
          <w:p>
            <w:pPr>
              <w:spacing w:line="320" w:lineRule="exact"/>
              <w:rPr>
                <w:rFonts w:ascii="宋体" w:hAnsi="宋体" w:cs="宋体"/>
                <w:color w:val="auto"/>
                <w:szCs w:val="21"/>
              </w:rPr>
            </w:pPr>
          </w:p>
        </w:tc>
        <w:tc>
          <w:tcPr>
            <w:tcW w:w="1105" w:type="pct"/>
            <w:vAlign w:val="center"/>
          </w:tcPr>
          <w:p>
            <w:pPr>
              <w:spacing w:line="320" w:lineRule="exact"/>
              <w:jc w:val="center"/>
              <w:rPr>
                <w:rFonts w:ascii="宋体" w:hAnsi="宋体" w:cs="宋体"/>
                <w:color w:val="auto"/>
                <w:szCs w:val="21"/>
              </w:rPr>
            </w:pPr>
            <w:r>
              <w:rPr>
                <w:rFonts w:hint="eastAsia" w:ascii="宋体" w:hAnsi="宋体" w:cs="宋体"/>
                <w:bCs/>
                <w:color w:val="auto"/>
                <w:kern w:val="0"/>
                <w:szCs w:val="21"/>
              </w:rPr>
              <w:t>政府采购信用担保</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5000" w:type="pct"/>
            <w:gridSpan w:val="3"/>
            <w:vAlign w:val="center"/>
          </w:tcPr>
          <w:p>
            <w:pPr>
              <w:adjustRightInd w:val="0"/>
              <w:snapToGrid w:val="0"/>
              <w:spacing w:line="320" w:lineRule="exact"/>
              <w:rPr>
                <w:rFonts w:ascii="宋体" w:hAnsi="宋体" w:cs="宋体"/>
                <w:b/>
                <w:color w:val="auto"/>
                <w:szCs w:val="21"/>
              </w:rPr>
            </w:pPr>
            <w:r>
              <w:rPr>
                <w:rFonts w:hint="eastAsia" w:ascii="宋体" w:hAnsi="宋体" w:cs="宋体"/>
                <w:b/>
                <w:color w:val="auto"/>
                <w:szCs w:val="21"/>
              </w:rPr>
              <w:t>二、磋商文件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第二章第10.2款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磋商文件的可能实质性变动内容</w:t>
            </w:r>
          </w:p>
        </w:tc>
        <w:tc>
          <w:tcPr>
            <w:tcW w:w="2899" w:type="pct"/>
            <w:vAlign w:val="center"/>
          </w:tcPr>
          <w:p>
            <w:pPr>
              <w:adjustRightInd w:val="0"/>
              <w:snapToGrid w:val="0"/>
              <w:spacing w:line="320" w:lineRule="exact"/>
              <w:jc w:val="left"/>
              <w:rPr>
                <w:rFonts w:ascii="宋体" w:hAnsi="宋体" w:cs="宋体"/>
                <w:color w:val="auto"/>
                <w:szCs w:val="21"/>
              </w:rPr>
            </w:pPr>
            <w:r>
              <w:rPr>
                <w:rFonts w:hint="eastAsia" w:ascii="宋体" w:hAnsi="宋体" w:cs="宋体"/>
                <w:color w:val="auto"/>
                <w:szCs w:val="21"/>
              </w:rPr>
              <w:t>技术、服务、合同条款可能变动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提供磋商文件期限</w:t>
            </w:r>
          </w:p>
        </w:tc>
        <w:tc>
          <w:tcPr>
            <w:tcW w:w="2899" w:type="pct"/>
            <w:vAlign w:val="center"/>
          </w:tcPr>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26</w:t>
            </w:r>
            <w:r>
              <w:rPr>
                <w:rFonts w:hint="eastAsia" w:ascii="宋体" w:hAnsi="宋体" w:cs="宋体"/>
                <w:color w:val="auto"/>
                <w:szCs w:val="21"/>
                <w:highlight w:val="none"/>
              </w:rPr>
              <w:t>日起至</w:t>
            </w:r>
            <w:r>
              <w:rPr>
                <w:rFonts w:hint="eastAsia" w:ascii="宋体" w:hAnsi="宋体" w:cs="宋体"/>
                <w:color w:val="auto"/>
                <w:szCs w:val="21"/>
                <w:highlight w:val="none"/>
                <w:u w:val="single"/>
                <w:lang w:val="en-US" w:eastAsia="zh-CN"/>
              </w:rPr>
              <w:t xml:space="preserve">2024 </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领取或购买磋商文件时应提供的资料</w:t>
            </w:r>
          </w:p>
        </w:tc>
        <w:tc>
          <w:tcPr>
            <w:tcW w:w="2899" w:type="pct"/>
            <w:vAlign w:val="center"/>
          </w:tcPr>
          <w:p>
            <w:pPr>
              <w:adjustRightInd w:val="0"/>
              <w:snapToGrid w:val="0"/>
              <w:spacing w:line="320" w:lineRule="exact"/>
              <w:jc w:val="left"/>
              <w:rPr>
                <w:rFonts w:ascii="宋体" w:hAnsi="宋体" w:cs="宋体"/>
                <w:color w:val="auto"/>
                <w:szCs w:val="21"/>
                <w:u w:val="single"/>
              </w:rPr>
            </w:pPr>
            <w:r>
              <w:rPr>
                <w:rFonts w:hint="eastAsia" w:ascii="宋体" w:hAnsi="宋体" w:cs="宋体"/>
                <w:color w:val="auto"/>
                <w:szCs w:val="21"/>
              </w:rPr>
              <w:t>法定代表人身份证明或授权委托书(附法定代表人身份证明)、个人身份证等原件到</w:t>
            </w:r>
            <w:r>
              <w:rPr>
                <w:rFonts w:hint="eastAsia" w:ascii="宋体" w:hAnsi="宋体" w:cs="宋体"/>
                <w:color w:val="auto"/>
                <w:szCs w:val="21"/>
                <w:u w:val="single"/>
                <w:lang w:eastAsia="zh-CN"/>
              </w:rPr>
              <w:t>湖南新泉工程咨询有限公司（长沙市岳麓区潇湘南路一段208号柏宁地王广场北栋5层5002室）</w:t>
            </w:r>
            <w:r>
              <w:rPr>
                <w:rFonts w:hint="eastAsia" w:ascii="宋体" w:hAnsi="宋体" w:cs="宋体"/>
                <w:color w:val="auto"/>
                <w:szCs w:val="21"/>
              </w:rPr>
              <w:t>获取磋商文件。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第二章第12.1款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提交首次响应文件的截止时间</w:t>
            </w:r>
          </w:p>
        </w:tc>
        <w:tc>
          <w:tcPr>
            <w:tcW w:w="2899" w:type="pct"/>
            <w:vAlign w:val="center"/>
          </w:tcPr>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9</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rPr>
              <w:t>分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三、响应文件的编写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第二章第16.1款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采购项目预算</w:t>
            </w:r>
          </w:p>
        </w:tc>
        <w:tc>
          <w:tcPr>
            <w:tcW w:w="2899" w:type="pct"/>
            <w:vAlign w:val="center"/>
          </w:tcPr>
          <w:p>
            <w:pPr>
              <w:adjustRightInd w:val="0"/>
              <w:snapToGrid w:val="0"/>
              <w:spacing w:line="320" w:lineRule="exact"/>
              <w:jc w:val="left"/>
              <w:rPr>
                <w:rFonts w:ascii="宋体" w:hAnsi="宋体" w:cs="宋体"/>
                <w:color w:val="auto"/>
                <w:szCs w:val="21"/>
              </w:rPr>
            </w:pPr>
            <w:r>
              <w:rPr>
                <w:rFonts w:hint="eastAsia" w:ascii="宋体" w:hAnsi="宋体" w:cs="宋体"/>
                <w:color w:val="auto"/>
                <w:szCs w:val="21"/>
                <w:highlight w:val="none"/>
                <w:lang w:val="en-US" w:eastAsia="zh-CN"/>
              </w:rPr>
              <w:t>最高限价：1950000.00元</w:t>
            </w:r>
            <w:r>
              <w:rPr>
                <w:rFonts w:hint="eastAsia" w:ascii="宋体" w:hAnsi="宋体" w:eastAsia="宋体" w:cs="宋体"/>
                <w:color w:val="auto"/>
                <w:szCs w:val="21"/>
              </w:rPr>
              <w:t>。</w:t>
            </w:r>
            <w:r>
              <w:rPr>
                <w:rFonts w:hint="eastAsia" w:ascii="宋体" w:hAnsi="宋体" w:cs="宋体"/>
                <w:color w:val="auto"/>
                <w:szCs w:val="21"/>
                <w:highlight w:val="none"/>
                <w:lang w:val="en-US" w:eastAsia="zh-CN"/>
              </w:rPr>
              <w:t>超过最高限价的磋商报价为无效磋商报价，其投标将被予以否决。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第二章第17.3款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非制造商的证明文件</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要求提供：（证明文件复印件须加盖供应商单位公章，否则视为无效响应）</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经销、或代理投标货物、或为投标货物提供售后服务的证明文件。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第二章第18.1款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样品提供及样品提交的时间、地点</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第二章第19.1款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磋商保证金</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w:t>
            </w:r>
            <w:r>
              <w:rPr>
                <w:rFonts w:hint="eastAsia" w:ascii="宋体" w:hAnsi="宋体" w:cs="宋体"/>
                <w:bCs/>
                <w:color w:val="auto"/>
                <w:szCs w:val="21"/>
              </w:rPr>
              <w:t xml:space="preserve">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第二章第20.1款</w:t>
            </w:r>
          </w:p>
        </w:tc>
        <w:tc>
          <w:tcPr>
            <w:tcW w:w="1105" w:type="pct"/>
            <w:vAlign w:val="center"/>
          </w:tcPr>
          <w:p>
            <w:pPr>
              <w:adjustRightInd w:val="0"/>
              <w:snapToGrid w:val="0"/>
              <w:spacing w:line="320" w:lineRule="exact"/>
              <w:jc w:val="center"/>
              <w:rPr>
                <w:rFonts w:ascii="宋体" w:hAnsi="宋体" w:cs="宋体"/>
                <w:bCs/>
                <w:color w:val="auto"/>
                <w:szCs w:val="21"/>
              </w:rPr>
            </w:pPr>
            <w:r>
              <w:rPr>
                <w:rFonts w:hint="eastAsia" w:ascii="宋体" w:hAnsi="宋体" w:cs="宋体"/>
                <w:bCs/>
                <w:color w:val="auto"/>
                <w:szCs w:val="21"/>
              </w:rPr>
              <w:t>响应文件有效期</w:t>
            </w:r>
          </w:p>
        </w:tc>
        <w:tc>
          <w:tcPr>
            <w:tcW w:w="2899" w:type="pct"/>
            <w:vAlign w:val="center"/>
          </w:tcPr>
          <w:p>
            <w:pPr>
              <w:adjustRightInd w:val="0"/>
              <w:snapToGrid w:val="0"/>
              <w:spacing w:line="320" w:lineRule="exact"/>
              <w:rPr>
                <w:rFonts w:ascii="宋体" w:hAnsi="宋体" w:cs="宋体"/>
                <w:bCs/>
                <w:color w:val="auto"/>
                <w:szCs w:val="21"/>
              </w:rPr>
            </w:pPr>
            <w:r>
              <w:rPr>
                <w:rFonts w:hint="eastAsia" w:ascii="宋体" w:hAnsi="宋体" w:cs="宋体"/>
                <w:color w:val="auto"/>
                <w:szCs w:val="21"/>
                <w:u w:val="single"/>
              </w:rPr>
              <w:t xml:space="preserve"> 90 </w:t>
            </w:r>
            <w:r>
              <w:rPr>
                <w:rFonts w:hint="eastAsia" w:ascii="宋体" w:hAnsi="宋体" w:cs="宋体"/>
                <w:color w:val="auto"/>
                <w:szCs w:val="21"/>
              </w:rPr>
              <w:t>日（日历日）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第二章第21.1款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bCs/>
                <w:color w:val="auto"/>
                <w:szCs w:val="21"/>
              </w:rPr>
              <w:t>响应</w:t>
            </w:r>
            <w:r>
              <w:rPr>
                <w:rFonts w:hint="eastAsia" w:ascii="宋体" w:hAnsi="宋体" w:cs="宋体"/>
                <w:color w:val="auto"/>
                <w:szCs w:val="21"/>
              </w:rPr>
              <w:t>文件副本份数</w:t>
            </w:r>
          </w:p>
        </w:tc>
        <w:tc>
          <w:tcPr>
            <w:tcW w:w="2899" w:type="pct"/>
            <w:vAlign w:val="center"/>
          </w:tcPr>
          <w:p>
            <w:pPr>
              <w:adjustRightInd w:val="0"/>
              <w:snapToGrid w:val="0"/>
              <w:spacing w:line="320" w:lineRule="exact"/>
              <w:rPr>
                <w:rFonts w:ascii="宋体" w:hAnsi="宋体" w:cs="宋体"/>
                <w:color w:val="auto"/>
                <w:szCs w:val="21"/>
                <w:u w:val="single"/>
              </w:rPr>
            </w:pPr>
            <w:r>
              <w:rPr>
                <w:rFonts w:hint="eastAsia" w:ascii="宋体" w:hAnsi="宋体" w:cs="宋体"/>
                <w:color w:val="auto"/>
                <w:szCs w:val="21"/>
                <w:u w:val="single"/>
              </w:rPr>
              <w:t xml:space="preserve"> 叁 </w:t>
            </w:r>
            <w:r>
              <w:rPr>
                <w:rFonts w:hint="eastAsia" w:ascii="宋体" w:hAnsi="宋体" w:cs="宋体"/>
                <w:color w:val="auto"/>
                <w:szCs w:val="21"/>
              </w:rPr>
              <w:t>份（正本一份，副本两份），电子文件</w:t>
            </w:r>
            <w:r>
              <w:rPr>
                <w:rFonts w:hint="eastAsia" w:ascii="宋体" w:hAnsi="宋体" w:cs="宋体"/>
                <w:color w:val="auto"/>
                <w:szCs w:val="21"/>
                <w:lang w:val="en-US" w:eastAsia="zh-CN"/>
              </w:rPr>
              <w:t>一</w:t>
            </w:r>
            <w:r>
              <w:rPr>
                <w:rFonts w:hint="eastAsia" w:ascii="宋体" w:hAnsi="宋体" w:cs="宋体"/>
                <w:color w:val="auto"/>
                <w:szCs w:val="21"/>
              </w:rPr>
              <w:t>份（U盘密封包装，与投标文件一起封存。</w:t>
            </w:r>
            <w:r>
              <w:rPr>
                <w:rFonts w:hint="eastAsia" w:ascii="宋体" w:hAnsi="宋体" w:cs="宋体"/>
                <w:b/>
                <w:bCs/>
                <w:color w:val="auto"/>
                <w:szCs w:val="21"/>
              </w:rPr>
              <w:t>电子文件应当为投标文件正本签字盖章后的彩色扫描件版本，格式为JPG或PDF</w:t>
            </w: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5000" w:type="pct"/>
            <w:gridSpan w:val="3"/>
            <w:vAlign w:val="center"/>
          </w:tcPr>
          <w:p>
            <w:pPr>
              <w:adjustRightInd w:val="0"/>
              <w:snapToGrid w:val="0"/>
              <w:spacing w:line="320" w:lineRule="exact"/>
              <w:rPr>
                <w:rFonts w:ascii="宋体" w:hAnsi="宋体" w:cs="宋体"/>
                <w:b/>
                <w:bCs/>
                <w:color w:val="auto"/>
                <w:szCs w:val="21"/>
              </w:rPr>
            </w:pPr>
            <w:r>
              <w:rPr>
                <w:rFonts w:hint="eastAsia" w:ascii="宋体" w:hAnsi="宋体" w:cs="宋体"/>
                <w:b/>
                <w:color w:val="auto"/>
                <w:szCs w:val="21"/>
              </w:rPr>
              <w:t>四、响应文件的递交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第二章第22.2款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封套上应载明的信息</w:t>
            </w:r>
          </w:p>
        </w:tc>
        <w:tc>
          <w:tcPr>
            <w:tcW w:w="2899" w:type="pct"/>
            <w:vAlign w:val="center"/>
          </w:tcPr>
          <w:p>
            <w:pPr>
              <w:adjustRightInd w:val="0"/>
              <w:snapToGrid w:val="0"/>
              <w:spacing w:line="400" w:lineRule="exact"/>
              <w:rPr>
                <w:rFonts w:ascii="宋体" w:hAnsi="宋体" w:cs="宋体"/>
                <w:color w:val="auto"/>
                <w:szCs w:val="21"/>
              </w:rPr>
            </w:pPr>
            <w:r>
              <w:rPr>
                <w:rFonts w:hint="eastAsia" w:ascii="宋体" w:hAnsi="宋体" w:cs="宋体"/>
                <w:color w:val="auto"/>
                <w:szCs w:val="21"/>
                <w:u w:val="single"/>
                <w:lang w:eastAsia="zh-CN"/>
              </w:rPr>
              <w:t>2024年非公开公司债券主承销商采购服务</w:t>
            </w:r>
            <w:r>
              <w:rPr>
                <w:rFonts w:hint="eastAsia" w:ascii="宋体" w:hAnsi="宋体" w:cs="宋体"/>
                <w:color w:val="auto"/>
                <w:szCs w:val="21"/>
              </w:rPr>
              <w:t>响应文件</w:t>
            </w:r>
          </w:p>
          <w:p>
            <w:pPr>
              <w:adjustRightInd w:val="0"/>
              <w:snapToGrid w:val="0"/>
              <w:spacing w:line="400" w:lineRule="exact"/>
              <w:rPr>
                <w:rFonts w:ascii="宋体" w:hAnsi="宋体" w:cs="宋体"/>
                <w:color w:val="auto"/>
                <w:szCs w:val="21"/>
                <w:u w:val="single"/>
              </w:rPr>
            </w:pPr>
            <w:r>
              <w:rPr>
                <w:rFonts w:hint="eastAsia" w:ascii="宋体" w:hAnsi="宋体" w:cs="宋体"/>
                <w:color w:val="auto"/>
                <w:szCs w:val="21"/>
              </w:rPr>
              <w:t>委托代理编号：</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ascii="宋体" w:hAnsi="宋体" w:cs="宋体"/>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p>
          <w:p>
            <w:pPr>
              <w:adjustRightInd w:val="0"/>
              <w:snapToGrid w:val="0"/>
              <w:spacing w:line="400" w:lineRule="exact"/>
              <w:rPr>
                <w:rFonts w:ascii="宋体" w:hAnsi="宋体" w:cs="宋体"/>
                <w:color w:val="auto"/>
                <w:szCs w:val="21"/>
              </w:rPr>
            </w:pPr>
            <w:r>
              <w:rPr>
                <w:rFonts w:hint="eastAsia" w:ascii="宋体" w:hAnsi="宋体" w:cs="宋体"/>
                <w:color w:val="auto"/>
                <w:szCs w:val="21"/>
              </w:rPr>
              <w:t>在</w:t>
            </w:r>
            <w:r>
              <w:rPr>
                <w:rFonts w:hint="eastAsia" w:ascii="宋体" w:hAnsi="宋体" w:cs="宋体"/>
                <w:color w:val="auto"/>
                <w:szCs w:val="21"/>
                <w:u w:val="single"/>
                <w:lang w:val="en-US" w:eastAsia="zh-CN"/>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日（星期</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时</w:t>
            </w:r>
            <w:r>
              <w:rPr>
                <w:rFonts w:hint="eastAsia" w:ascii="宋体" w:hAnsi="宋体" w:cs="宋体"/>
                <w:color w:val="auto"/>
                <w:szCs w:val="21"/>
                <w:u w:val="single"/>
              </w:rPr>
              <w:t xml:space="preserve">   </w:t>
            </w:r>
            <w:r>
              <w:rPr>
                <w:rFonts w:hint="eastAsia" w:ascii="宋体" w:hAnsi="宋体" w:cs="宋体"/>
                <w:color w:val="auto"/>
                <w:szCs w:val="21"/>
              </w:rPr>
              <w:t>分之前不得启封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第二章第24.1款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响应文件的递交地点</w:t>
            </w:r>
          </w:p>
        </w:tc>
        <w:tc>
          <w:tcPr>
            <w:tcW w:w="2899" w:type="pct"/>
            <w:vAlign w:val="center"/>
          </w:tcPr>
          <w:p>
            <w:pPr>
              <w:adjustRightInd w:val="0"/>
              <w:snapToGrid w:val="0"/>
              <w:spacing w:line="320" w:lineRule="exact"/>
              <w:rPr>
                <w:rFonts w:hint="eastAsia" w:ascii="宋体" w:hAnsi="宋体" w:eastAsia="宋体" w:cs="宋体"/>
                <w:bCs/>
                <w:color w:val="auto"/>
                <w:szCs w:val="21"/>
                <w:lang w:eastAsia="zh-CN"/>
              </w:rPr>
            </w:pPr>
            <w:r>
              <w:rPr>
                <w:rFonts w:hint="eastAsia" w:ascii="宋体" w:hAnsi="宋体" w:cs="宋体"/>
                <w:bCs/>
                <w:color w:val="auto"/>
                <w:szCs w:val="21"/>
                <w:lang w:eastAsia="zh-CN"/>
              </w:rPr>
              <w:t>湖南新泉工程咨询有限公司（长沙市岳麓区潇湘南路一段208号柏宁地王广场北栋5层5002室）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bCs/>
                <w:color w:val="auto"/>
                <w:szCs w:val="21"/>
              </w:rPr>
            </w:pPr>
            <w:r>
              <w:rPr>
                <w:rFonts w:hint="eastAsia" w:ascii="宋体" w:hAnsi="宋体" w:cs="宋体"/>
                <w:b/>
                <w:bCs/>
                <w:color w:val="auto"/>
                <w:szCs w:val="21"/>
              </w:rPr>
              <w:t>五、响应文件的磋商与评审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第二章第31.2款</w:t>
            </w:r>
          </w:p>
        </w:tc>
        <w:tc>
          <w:tcPr>
            <w:tcW w:w="1105"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评审因素和标准</w:t>
            </w:r>
          </w:p>
        </w:tc>
        <w:tc>
          <w:tcPr>
            <w:tcW w:w="2899" w:type="pct"/>
            <w:vAlign w:val="center"/>
          </w:tcPr>
          <w:p>
            <w:pPr>
              <w:adjustRightInd w:val="0"/>
              <w:snapToGrid w:val="0"/>
              <w:spacing w:line="320" w:lineRule="exact"/>
              <w:rPr>
                <w:rFonts w:ascii="宋体" w:hAnsi="宋体" w:cs="宋体"/>
                <w:bCs/>
                <w:color w:val="auto"/>
                <w:szCs w:val="21"/>
              </w:rPr>
            </w:pPr>
            <w:r>
              <w:rPr>
                <w:rFonts w:hint="eastAsia" w:ascii="宋体" w:hAnsi="宋体" w:cs="宋体"/>
                <w:b/>
                <w:color w:val="auto"/>
                <w:szCs w:val="21"/>
              </w:rPr>
              <w:t>见附页1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技术、商务、价格</w:t>
            </w:r>
            <w:r>
              <w:rPr>
                <w:rFonts w:hint="eastAsia" w:ascii="宋体" w:hAnsi="宋体" w:cs="宋体"/>
                <w:color w:val="auto"/>
                <w:kern w:val="0"/>
                <w:szCs w:val="21"/>
              </w:rPr>
              <w:t>得分或总得分</w:t>
            </w:r>
            <w:r>
              <w:rPr>
                <w:rFonts w:hint="eastAsia" w:ascii="宋体" w:hAnsi="宋体" w:cs="宋体"/>
                <w:color w:val="auto"/>
                <w:szCs w:val="21"/>
              </w:rPr>
              <w:t>调整</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第二章第31.4款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多处或部分获得政府采购政策优惠的计算方法</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六、成交结果信息公布与授予合同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第二章第37.1款、</w:t>
            </w:r>
          </w:p>
        </w:tc>
        <w:tc>
          <w:tcPr>
            <w:tcW w:w="1105" w:type="pct"/>
            <w:vAlign w:val="center"/>
          </w:tcPr>
          <w:p>
            <w:pPr>
              <w:pStyle w:val="63"/>
              <w:spacing w:line="320" w:lineRule="exact"/>
              <w:ind w:firstLine="0" w:firstLineChars="0"/>
              <w:jc w:val="center"/>
              <w:rPr>
                <w:rFonts w:ascii="宋体" w:hAnsi="宋体" w:cs="宋体"/>
                <w:color w:val="auto"/>
                <w:szCs w:val="21"/>
              </w:rPr>
            </w:pPr>
            <w:r>
              <w:rPr>
                <w:rFonts w:hint="eastAsia" w:ascii="宋体" w:hAnsi="宋体" w:cs="宋体"/>
                <w:color w:val="auto"/>
                <w:szCs w:val="21"/>
              </w:rPr>
              <w:t>发布媒体</w:t>
            </w:r>
          </w:p>
        </w:tc>
        <w:tc>
          <w:tcPr>
            <w:tcW w:w="2899" w:type="pct"/>
            <w:vAlign w:val="center"/>
          </w:tcPr>
          <w:p>
            <w:pPr>
              <w:pStyle w:val="63"/>
              <w:wordWrap w:val="0"/>
              <w:spacing w:line="320" w:lineRule="exact"/>
              <w:ind w:firstLine="0" w:firstLineChars="0"/>
              <w:jc w:val="left"/>
              <w:rPr>
                <w:rFonts w:ascii="宋体" w:hAnsi="宋体" w:cs="宋体"/>
                <w:color w:val="auto"/>
                <w:szCs w:val="21"/>
              </w:rPr>
            </w:pPr>
            <w:r>
              <w:rPr>
                <w:rFonts w:hint="eastAsia" w:ascii="宋体" w:hAnsi="宋体" w:cs="宋体"/>
                <w:color w:val="auto"/>
                <w:szCs w:val="21"/>
              </w:rPr>
              <w:t>中国湖南长沙市政府采购网（http://changs.ccgp-hunan.gov.cn）、</w:t>
            </w:r>
            <w:r>
              <w:rPr>
                <w:rFonts w:hint="eastAsia" w:ascii="宋体" w:hAnsi="宋体" w:cs="宋体"/>
                <w:color w:val="auto"/>
                <w:szCs w:val="21"/>
                <w:lang w:eastAsia="zh-CN"/>
              </w:rPr>
              <w:t>湖南</w:t>
            </w:r>
            <w:r>
              <w:rPr>
                <w:rFonts w:hint="eastAsia" w:ascii="宋体" w:hAnsi="宋体" w:cs="宋体"/>
                <w:color w:val="auto"/>
                <w:szCs w:val="21"/>
                <w:lang w:val="en-US" w:eastAsia="zh-CN"/>
              </w:rPr>
              <w:t>智谷投资发展集团有限</w:t>
            </w:r>
            <w:r>
              <w:rPr>
                <w:rFonts w:hint="eastAsia" w:ascii="宋体" w:hAnsi="宋体" w:cs="宋体"/>
                <w:color w:val="auto"/>
                <w:szCs w:val="21"/>
                <w:lang w:eastAsia="zh-CN"/>
              </w:rPr>
              <w:t>公司</w:t>
            </w:r>
            <w:r>
              <w:rPr>
                <w:rFonts w:hint="eastAsia" w:ascii="宋体" w:hAnsi="宋体" w:cs="宋体"/>
                <w:color w:val="auto"/>
                <w:szCs w:val="21"/>
              </w:rPr>
              <w:t>（www.hnzhigu.cn）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第二章第39.3款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履约担保</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要求提供，履约担保的金额为：</w:t>
            </w:r>
            <w:r>
              <w:rPr>
                <w:rFonts w:hint="eastAsia" w:ascii="宋体" w:hAnsi="宋体" w:cs="宋体"/>
                <w:color w:val="auto"/>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color w:val="auto"/>
                <w:szCs w:val="21"/>
              </w:rPr>
            </w:pPr>
            <w:r>
              <w:rPr>
                <w:rFonts w:hint="eastAsia" w:ascii="宋体" w:hAnsi="宋体" w:cs="宋体"/>
                <w:b/>
                <w:color w:val="auto"/>
                <w:szCs w:val="21"/>
              </w:rPr>
              <w:t>七、其它规定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99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第二章第41.1款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采购代理服务费</w:t>
            </w:r>
          </w:p>
        </w:tc>
        <w:tc>
          <w:tcPr>
            <w:tcW w:w="2899" w:type="pct"/>
            <w:vAlign w:val="center"/>
          </w:tcPr>
          <w:p>
            <w:pPr>
              <w:adjustRightInd w:val="0"/>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经采购人同意，本项目采购代理服务费由中标人在领取中标通知书时参照计价格【2002】1980号文的规定向采购代理机构一次性缴纳。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第二章第42.1款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其它规定</w:t>
            </w:r>
          </w:p>
        </w:tc>
        <w:tc>
          <w:tcPr>
            <w:tcW w:w="2899" w:type="pct"/>
            <w:vAlign w:val="center"/>
          </w:tcPr>
          <w:p>
            <w:pPr>
              <w:pStyle w:val="24"/>
              <w:spacing w:line="320" w:lineRule="exact"/>
              <w:jc w:val="left"/>
              <w:rPr>
                <w:rFonts w:hAnsi="宋体" w:cs="宋体"/>
                <w:color w:val="auto"/>
              </w:rPr>
            </w:pPr>
            <w:r>
              <w:rPr>
                <w:rFonts w:hint="eastAsia" w:hAnsi="宋体" w:cs="宋体"/>
                <w:color w:val="auto"/>
              </w:rPr>
              <w:t>根据《财政部关于在政府采购活动中查询及使用信用记录有关问题的通知》（财库〔2016〕125号）的规定，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4"/>
              <w:spacing w:line="320" w:lineRule="exact"/>
              <w:jc w:val="left"/>
              <w:rPr>
                <w:rFonts w:hAnsi="宋体" w:cs="宋体"/>
                <w:color w:val="auto"/>
              </w:rPr>
            </w:pPr>
            <w:r>
              <w:rPr>
                <w:rFonts w:hint="eastAsia" w:hAnsi="宋体" w:cs="宋体"/>
                <w:color w:val="auto"/>
              </w:rPr>
              <w:t>（1）信用信息查询的查询渠道：“信用中国”网站（www.creditchina.gov.cn）、中国政府采购网（www.ccgp.gov.cn）。</w:t>
            </w:r>
          </w:p>
          <w:p>
            <w:pPr>
              <w:pStyle w:val="24"/>
              <w:spacing w:line="320" w:lineRule="exact"/>
              <w:jc w:val="left"/>
              <w:rPr>
                <w:rFonts w:hAnsi="宋体" w:cs="宋体"/>
                <w:color w:val="auto"/>
              </w:rPr>
            </w:pPr>
            <w:r>
              <w:rPr>
                <w:rFonts w:hint="eastAsia" w:hAnsi="宋体" w:cs="宋体"/>
                <w:color w:val="auto"/>
              </w:rPr>
              <w:t>（2）信用信息查询的截止时点：至本项目提交首次响应文件截止时间止。</w:t>
            </w:r>
          </w:p>
          <w:p>
            <w:pPr>
              <w:pStyle w:val="24"/>
              <w:spacing w:line="320" w:lineRule="exact"/>
              <w:jc w:val="left"/>
              <w:rPr>
                <w:rFonts w:hAnsi="宋体" w:cs="宋体"/>
                <w:color w:val="auto"/>
              </w:rPr>
            </w:pPr>
            <w:r>
              <w:rPr>
                <w:rFonts w:hint="eastAsia" w:hAnsi="宋体" w:cs="宋体"/>
                <w:color w:val="auto"/>
              </w:rPr>
              <w:t>（3）信用信息查询记录的具体方式：采购人或采购代理机构在开启首次响应文件时在规定的查询渠道进行查询。</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（4）信用信息查询记录证据留存的具体方式：查询记录的网上打印件。</w:t>
            </w:r>
          </w:p>
        </w:tc>
      </w:tr>
    </w:tbl>
    <w:p>
      <w:pPr>
        <w:adjustRightInd w:val="0"/>
        <w:snapToGrid w:val="0"/>
        <w:spacing w:line="360" w:lineRule="auto"/>
        <w:rPr>
          <w:rFonts w:ascii="宋体" w:hAnsi="宋体" w:cs="宋体"/>
          <w:color w:val="auto"/>
          <w:kern w:val="0"/>
          <w:szCs w:val="21"/>
        </w:rPr>
        <w:sectPr>
          <w:pgSz w:w="11906" w:h="16838"/>
          <w:pgMar w:top="1361" w:right="1361" w:bottom="1440" w:left="1361" w:header="851" w:footer="992" w:gutter="0"/>
          <w:cols w:space="720" w:num="1"/>
          <w:docGrid w:type="lines" w:linePitch="312" w:charSpace="0"/>
        </w:sectPr>
      </w:pPr>
      <w:r>
        <w:rPr>
          <w:rFonts w:hint="eastAsia" w:ascii="宋体" w:hAnsi="宋体" w:cs="宋体"/>
          <w:b/>
          <w:bCs/>
          <w:color w:val="auto"/>
          <w:szCs w:val="21"/>
        </w:rPr>
        <w:br w:type="page"/>
      </w:r>
    </w:p>
    <w:p>
      <w:pPr>
        <w:rPr>
          <w:rFonts w:ascii="宋体" w:hAnsi="宋体" w:cs="宋体"/>
          <w:b/>
          <w:color w:val="auto"/>
          <w:szCs w:val="21"/>
        </w:rPr>
      </w:pPr>
      <w:r>
        <w:rPr>
          <w:rFonts w:hint="eastAsia" w:ascii="宋体" w:hAnsi="宋体" w:cs="宋体"/>
          <w:b/>
          <w:bCs/>
          <w:color w:val="auto"/>
          <w:szCs w:val="21"/>
        </w:rPr>
        <w:t>附页1</w:t>
      </w:r>
    </w:p>
    <w:p>
      <w:pPr>
        <w:spacing w:line="320" w:lineRule="exact"/>
        <w:ind w:firstLine="281" w:firstLineChars="100"/>
        <w:jc w:val="center"/>
        <w:rPr>
          <w:rFonts w:ascii="宋体" w:hAnsi="宋体" w:cs="宋体"/>
          <w:b/>
          <w:color w:val="auto"/>
          <w:sz w:val="28"/>
          <w:szCs w:val="28"/>
          <w:highlight w:val="yellow"/>
        </w:rPr>
      </w:pPr>
      <w:r>
        <w:rPr>
          <w:rFonts w:hint="eastAsia" w:ascii="宋体" w:hAnsi="宋体" w:cs="宋体"/>
          <w:b/>
          <w:color w:val="auto"/>
          <w:sz w:val="28"/>
          <w:szCs w:val="28"/>
          <w:highlight w:val="none"/>
        </w:rPr>
        <w:t>评审因素和标准</w:t>
      </w:r>
    </w:p>
    <w:tbl>
      <w:tblPr>
        <w:tblStyle w:val="47"/>
        <w:tblpPr w:leftFromText="180" w:rightFromText="180" w:vertAnchor="text" w:horzAnchor="page" w:tblpX="1364" w:tblpY="298"/>
        <w:tblOverlap w:val="never"/>
        <w:tblW w:w="95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51"/>
        <w:gridCol w:w="1051"/>
        <w:gridCol w:w="1152"/>
        <w:gridCol w:w="6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1051" w:type="dxa"/>
            <w:tcBorders>
              <w:top w:val="single" w:color="auto" w:sz="12" w:space="0"/>
              <w:left w:val="single" w:color="auto" w:sz="12" w:space="0"/>
              <w:bottom w:val="single" w:color="auto" w:sz="6" w:space="0"/>
              <w:right w:val="single" w:color="auto" w:sz="6" w:space="0"/>
            </w:tcBorders>
            <w:vAlign w:val="center"/>
          </w:tcPr>
          <w:p>
            <w:pPr>
              <w:ind w:left="626" w:hanging="626"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051" w:type="dxa"/>
            <w:tcBorders>
              <w:top w:val="single" w:color="auto" w:sz="12" w:space="0"/>
              <w:left w:val="single" w:color="auto" w:sz="6" w:space="0"/>
              <w:bottom w:val="single" w:color="auto" w:sz="6" w:space="0"/>
              <w:right w:val="single" w:color="auto" w:sz="6" w:space="0"/>
            </w:tcBorders>
            <w:vAlign w:val="center"/>
          </w:tcPr>
          <w:p>
            <w:pPr>
              <w:ind w:left="626" w:hanging="626"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w:t>
            </w:r>
          </w:p>
          <w:p>
            <w:pPr>
              <w:ind w:left="626" w:hanging="626"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因素</w:t>
            </w:r>
          </w:p>
        </w:tc>
        <w:tc>
          <w:tcPr>
            <w:tcW w:w="7408" w:type="dxa"/>
            <w:gridSpan w:val="2"/>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trPr>
        <w:tc>
          <w:tcPr>
            <w:tcW w:w="1051" w:type="dxa"/>
            <w:vMerge w:val="restart"/>
            <w:tcBorders>
              <w:top w:val="single" w:color="auto" w:sz="6" w:space="0"/>
              <w:left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51" w:type="dxa"/>
            <w:vMerge w:val="restart"/>
            <w:tcBorders>
              <w:top w:val="single" w:color="auto" w:sz="6" w:space="0"/>
              <w:left w:val="single" w:color="auto" w:sz="6"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技术 </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技术</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分</w:t>
            </w:r>
          </w:p>
        </w:tc>
        <w:tc>
          <w:tcPr>
            <w:tcW w:w="1152"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before="96" w:beforeLines="40"/>
              <w:jc w:val="center"/>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整体服务</w:t>
            </w:r>
          </w:p>
          <w:p>
            <w:pPr>
              <w:adjustRightInd w:val="0"/>
              <w:snapToGrid w:val="0"/>
              <w:spacing w:before="96" w:beforeLines="40"/>
              <w:jc w:val="center"/>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方案</w:t>
            </w:r>
          </w:p>
          <w:p>
            <w:pPr>
              <w:adjustRightInd w:val="0"/>
              <w:snapToGrid w:val="0"/>
              <w:spacing w:before="96" w:beforeLines="40"/>
              <w:jc w:val="center"/>
              <w:rPr>
                <w:rFonts w:hint="eastAsia" w:ascii="宋体" w:hAnsi="宋体" w:eastAsia="宋体" w:cs="Times New Roman"/>
                <w:color w:val="auto"/>
                <w:kern w:val="2"/>
                <w:sz w:val="21"/>
                <w:szCs w:val="24"/>
                <w:highlight w:val="none"/>
                <w:lang w:val="en-US" w:eastAsia="zh-CN" w:bidi="ar-SA"/>
              </w:rPr>
            </w:pPr>
            <w:r>
              <w:rPr>
                <w:rFonts w:hint="eastAsia" w:ascii="宋体" w:hAnsi="宋体" w:cs="宋体"/>
                <w:snapToGrid/>
                <w:color w:val="auto"/>
                <w:kern w:val="0"/>
                <w:sz w:val="21"/>
                <w:szCs w:val="24"/>
                <w:lang w:val="en-US" w:eastAsia="zh-CN" w:bidi="ar-SA"/>
              </w:rPr>
              <w:t>（10分）</w:t>
            </w:r>
          </w:p>
        </w:tc>
        <w:tc>
          <w:tcPr>
            <w:tcW w:w="6256" w:type="dxa"/>
            <w:tcBorders>
              <w:top w:val="single" w:color="auto" w:sz="6" w:space="0"/>
              <w:left w:val="single" w:color="auto" w:sz="4" w:space="0"/>
              <w:bottom w:val="single" w:color="auto" w:sz="4" w:space="0"/>
              <w:right w:val="single" w:color="auto" w:sz="12" w:space="0"/>
            </w:tcBorders>
            <w:vAlign w:val="center"/>
          </w:tcPr>
          <w:p>
            <w:pPr>
              <w:widowControl/>
              <w:spacing w:line="320" w:lineRule="exact"/>
              <w:jc w:val="left"/>
              <w:textAlignment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lang w:val="en-US" w:eastAsia="zh-CN"/>
              </w:rPr>
              <w:t>供应商提供整体服务方案，包括但不限于项目发行产品介绍、发行方案、核心条款设计、承销实力、推进措施合理性等，方案完整、可行、贴合实际、有针对性或优于采购需求的计10分；缺漏项扣1分，每有一处不完整、可行性不强、不贴合实际情况、针对性不强的扣1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before="96" w:beforeLines="40"/>
              <w:jc w:val="center"/>
              <w:rPr>
                <w:rFonts w:hint="eastAsia"/>
                <w:lang w:val="en-US" w:eastAsia="zh-CN"/>
              </w:rPr>
            </w:pPr>
            <w:r>
              <w:rPr>
                <w:rFonts w:hint="eastAsia"/>
                <w:lang w:val="en-US" w:eastAsia="zh-CN"/>
              </w:rPr>
              <w:t>销售策略</w:t>
            </w:r>
          </w:p>
          <w:p>
            <w:pPr>
              <w:pStyle w:val="35"/>
              <w:rPr>
                <w:rFonts w:hint="eastAsia"/>
                <w:lang w:val="en-US" w:eastAsia="zh-CN"/>
              </w:rPr>
            </w:pPr>
            <w:r>
              <w:rPr>
                <w:rFonts w:hint="eastAsia" w:ascii="宋体" w:hAnsi="宋体" w:cs="宋体"/>
                <w:snapToGrid/>
                <w:color w:val="auto"/>
                <w:kern w:val="0"/>
                <w:sz w:val="21"/>
                <w:szCs w:val="24"/>
                <w:lang w:val="en-US" w:eastAsia="zh-CN" w:bidi="ar-SA"/>
              </w:rPr>
              <w:t>（10分）</w:t>
            </w:r>
          </w:p>
        </w:tc>
        <w:tc>
          <w:tcPr>
            <w:tcW w:w="6256" w:type="dxa"/>
            <w:tcBorders>
              <w:top w:val="single" w:color="auto" w:sz="6" w:space="0"/>
              <w:left w:val="single" w:color="auto" w:sz="4" w:space="0"/>
              <w:bottom w:val="single" w:color="auto" w:sz="4" w:space="0"/>
              <w:right w:val="single" w:color="auto" w:sz="12" w:space="0"/>
            </w:tcBorders>
            <w:vAlign w:val="center"/>
          </w:tcPr>
          <w:p>
            <w:pPr>
              <w:widowControl/>
              <w:spacing w:line="320" w:lineRule="exact"/>
              <w:jc w:val="left"/>
              <w:textAlignment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lang w:val="en-US" w:eastAsia="zh-CN"/>
              </w:rPr>
              <w:t>供应商提供销售策略，包括但不限于公司债券销售环节优势、策略、后期销售工作安排、职责划分、风险对策等，方案完整、可行、贴合实际、有针对性或优于采购需求的计10分；缺漏项扣1分，每有一处不完整、可行性不强、不贴合实际情况、针对性不强的扣1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adjustRightInd w:val="0"/>
              <w:snapToGrid w:val="0"/>
              <w:spacing w:before="96" w:beforeLines="40"/>
              <w:jc w:val="center"/>
              <w:rPr>
                <w:rFonts w:hint="eastAsia"/>
                <w:lang w:val="en-US" w:eastAsia="zh-CN"/>
              </w:rPr>
            </w:pPr>
            <w:r>
              <w:rPr>
                <w:rFonts w:hint="eastAsia"/>
                <w:lang w:val="en-US" w:eastAsia="zh-CN"/>
              </w:rPr>
              <w:t>售后服务及存续期管理服务方案</w:t>
            </w:r>
          </w:p>
          <w:p>
            <w:pPr>
              <w:pStyle w:val="35"/>
              <w:rPr>
                <w:rFonts w:hint="eastAsia"/>
                <w:lang w:val="en-US" w:eastAsia="zh-CN"/>
              </w:rPr>
            </w:pPr>
            <w:r>
              <w:rPr>
                <w:rFonts w:hint="eastAsia" w:ascii="宋体" w:hAnsi="宋体" w:cs="宋体"/>
                <w:snapToGrid/>
                <w:color w:val="auto"/>
                <w:kern w:val="0"/>
                <w:sz w:val="21"/>
                <w:szCs w:val="24"/>
                <w:lang w:val="en-US" w:eastAsia="zh-CN" w:bidi="ar-SA"/>
              </w:rPr>
              <w:t>（10分）</w:t>
            </w:r>
          </w:p>
        </w:tc>
        <w:tc>
          <w:tcPr>
            <w:tcW w:w="6256" w:type="dxa"/>
            <w:tcBorders>
              <w:top w:val="single" w:color="auto" w:sz="6" w:space="0"/>
              <w:left w:val="single" w:color="auto" w:sz="4" w:space="0"/>
              <w:bottom w:val="single" w:color="auto" w:sz="4" w:space="0"/>
              <w:right w:val="single" w:color="auto" w:sz="12" w:space="0"/>
            </w:tcBorders>
            <w:vAlign w:val="center"/>
          </w:tcPr>
          <w:p>
            <w:pPr>
              <w:widowControl/>
              <w:spacing w:line="320" w:lineRule="exact"/>
              <w:jc w:val="left"/>
              <w:textAlignment w:val="center"/>
              <w:rPr>
                <w:rFonts w:hint="eastAsia" w:ascii="Times New Roman" w:hAnsi="Times New Roman" w:eastAsia="宋体" w:cs="Times New Roman"/>
                <w:bCs/>
                <w:color w:val="auto"/>
                <w:kern w:val="2"/>
                <w:sz w:val="21"/>
                <w:szCs w:val="21"/>
                <w:lang w:val="en-US" w:eastAsia="zh-CN" w:bidi="ar-SA"/>
              </w:rPr>
            </w:pPr>
            <w:r>
              <w:rPr>
                <w:rFonts w:hint="eastAsia" w:ascii="Times New Roman" w:hAnsi="Times New Roman" w:eastAsia="宋体" w:cs="Times New Roman"/>
                <w:bCs/>
                <w:color w:val="auto"/>
                <w:szCs w:val="21"/>
                <w:lang w:val="en-US" w:eastAsia="zh-CN"/>
              </w:rPr>
              <w:t>供应商提供售后服务及存续期管理服务方案，包括但不限于协助发行人在发行后完成每年兑付兑息、各项信息披露、风险排查、售后服务人员等，方案完整、可行、贴合实际、有针对性或优于采购需求的计10分；缺漏项扣1分，每有一处不完整、可行性不强、不贴合实际情况、针对性不强的扣1分，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trPr>
        <w:tc>
          <w:tcPr>
            <w:tcW w:w="1051" w:type="dxa"/>
            <w:vMerge w:val="restart"/>
            <w:tcBorders>
              <w:top w:val="single" w:color="auto" w:sz="4" w:space="0"/>
              <w:left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051" w:type="dxa"/>
            <w:vMerge w:val="restart"/>
            <w:tcBorders>
              <w:top w:val="single" w:color="auto" w:sz="4" w:space="0"/>
              <w:left w:val="single" w:color="auto" w:sz="6"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商务 </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商务</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u w:val="none"/>
                <w:lang w:val="en-US" w:eastAsia="zh-CN"/>
              </w:rPr>
              <w:t>0</w:t>
            </w:r>
            <w:r>
              <w:rPr>
                <w:rFonts w:hint="eastAsia" w:ascii="宋体" w:hAnsi="宋体" w:eastAsia="宋体" w:cs="宋体"/>
                <w:color w:val="auto"/>
                <w:szCs w:val="21"/>
                <w:highlight w:val="none"/>
              </w:rPr>
              <w:t>分</w:t>
            </w:r>
          </w:p>
        </w:tc>
        <w:tc>
          <w:tcPr>
            <w:tcW w:w="1152"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wordWrap/>
              <w:overflowPunct/>
              <w:topLinePunct w:val="0"/>
              <w:bidi w:val="0"/>
              <w:spacing w:line="320" w:lineRule="exact"/>
              <w:jc w:val="center"/>
              <w:textAlignment w:val="center"/>
              <w:rPr>
                <w:rFonts w:hint="eastAsia" w:ascii="宋体" w:hAnsi="宋体" w:eastAsia="宋体" w:cs="宋体"/>
                <w:color w:val="auto"/>
                <w:kern w:val="0"/>
                <w:sz w:val="21"/>
                <w:szCs w:val="24"/>
                <w:lang w:val="en-US" w:eastAsia="zh-CN" w:bidi="ar-SA"/>
              </w:rPr>
            </w:pPr>
            <w:r>
              <w:rPr>
                <w:rFonts w:hint="eastAsia" w:ascii="宋体" w:hAnsi="宋体" w:eastAsia="宋体" w:cs="宋体"/>
                <w:color w:val="auto"/>
                <w:kern w:val="0"/>
                <w:sz w:val="21"/>
                <w:szCs w:val="24"/>
                <w:lang w:val="en-US" w:eastAsia="zh-CN" w:bidi="ar-SA"/>
              </w:rPr>
              <w:t>承销规模排名</w:t>
            </w:r>
          </w:p>
          <w:p>
            <w:pPr>
              <w:keepNext w:val="0"/>
              <w:keepLines w:val="0"/>
              <w:pageBreakBefore w:val="0"/>
              <w:widowControl/>
              <w:wordWrap/>
              <w:overflowPunct/>
              <w:topLinePunct w:val="0"/>
              <w:bidi w:val="0"/>
              <w:spacing w:line="320" w:lineRule="exact"/>
              <w:jc w:val="center"/>
              <w:textAlignment w:val="center"/>
              <w:rPr>
                <w:rFonts w:hint="eastAsia" w:ascii="宋体" w:hAnsi="宋体" w:eastAsia="宋体" w:cs="宋体"/>
                <w:color w:val="auto"/>
                <w:kern w:val="0"/>
                <w:sz w:val="21"/>
                <w:szCs w:val="24"/>
                <w:lang w:val="en-US" w:eastAsia="zh-CN" w:bidi="ar-SA"/>
              </w:rPr>
            </w:pPr>
            <w:r>
              <w:rPr>
                <w:rFonts w:hint="eastAsia" w:ascii="宋体" w:hAnsi="宋体" w:eastAsia="宋体" w:cs="宋体"/>
                <w:color w:val="auto"/>
                <w:kern w:val="0"/>
                <w:sz w:val="21"/>
                <w:szCs w:val="24"/>
                <w:lang w:val="en-US" w:eastAsia="zh-CN" w:bidi="ar-SA"/>
              </w:rPr>
              <w:t>（10分）</w:t>
            </w:r>
          </w:p>
        </w:tc>
        <w:tc>
          <w:tcPr>
            <w:tcW w:w="6256"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wordWrap/>
              <w:overflowPunct/>
              <w:topLinePunct w:val="0"/>
              <w:bidi w:val="0"/>
              <w:spacing w:line="320" w:lineRule="exact"/>
              <w:jc w:val="left"/>
              <w:textAlignment w:val="center"/>
              <w:rPr>
                <w:rFonts w:hint="eastAsia" w:ascii="宋体" w:hAnsi="宋体" w:eastAsia="宋体" w:cs="宋体"/>
                <w:color w:val="auto"/>
                <w:kern w:val="0"/>
                <w:sz w:val="21"/>
                <w:szCs w:val="24"/>
                <w:lang w:val="en-US" w:eastAsia="zh-CN" w:bidi="ar-SA"/>
              </w:rPr>
            </w:pPr>
            <w:r>
              <w:rPr>
                <w:rFonts w:hint="eastAsia" w:ascii="宋体" w:hAnsi="宋体" w:eastAsia="宋体" w:cs="宋体"/>
                <w:color w:val="auto"/>
                <w:kern w:val="0"/>
                <w:sz w:val="21"/>
                <w:szCs w:val="24"/>
                <w:lang w:val="en-US" w:eastAsia="zh-CN" w:bidi="ar-SA"/>
              </w:rPr>
              <w:t>根据供应商所提供的2023年1月1日至2023年12月31日成功发行主承销公司债券金额排序，以供应商总承销金额排名进行评比，排名第1-15名计10分，排名第16-30名计9分，排名第31-45名计8分，其余不计分。</w:t>
            </w:r>
          </w:p>
          <w:p>
            <w:pPr>
              <w:keepNext w:val="0"/>
              <w:keepLines w:val="0"/>
              <w:pageBreakBefore w:val="0"/>
              <w:widowControl/>
              <w:wordWrap/>
              <w:overflowPunct/>
              <w:topLinePunct w:val="0"/>
              <w:bidi w:val="0"/>
              <w:spacing w:line="320" w:lineRule="exact"/>
              <w:jc w:val="left"/>
              <w:textAlignment w:val="center"/>
              <w:rPr>
                <w:rFonts w:hint="eastAsia" w:ascii="宋体" w:hAnsi="宋体" w:eastAsia="宋体" w:cs="宋体"/>
                <w:color w:val="auto"/>
                <w:kern w:val="0"/>
                <w:sz w:val="21"/>
                <w:szCs w:val="24"/>
                <w:lang w:val="en-US" w:eastAsia="zh-CN" w:bidi="ar-SA"/>
              </w:rPr>
            </w:pPr>
            <w:r>
              <w:rPr>
                <w:rFonts w:hint="eastAsia" w:ascii="宋体" w:hAnsi="宋体" w:eastAsia="宋体" w:cs="宋体"/>
                <w:color w:val="auto"/>
                <w:kern w:val="0"/>
                <w:sz w:val="21"/>
                <w:szCs w:val="24"/>
                <w:lang w:val="en-US" w:eastAsia="zh-CN" w:bidi="ar-SA"/>
              </w:rPr>
              <w:t>注：①以Wind统计数据为准，提供Wind数据相关截屏并加盖投标人单位公章，承销金额包含联合主承销、口径合并母子公司。路径：Wind债券一级市场—&gt;债券承销排名（Wind口径），机构类型选择证券，债券分类选择公司债，时间区间选择2023/1/1至2023/12/31，勾选联主实际比例。</w:t>
            </w:r>
          </w:p>
          <w:p>
            <w:pPr>
              <w:keepNext w:val="0"/>
              <w:keepLines w:val="0"/>
              <w:pageBreakBefore w:val="0"/>
              <w:widowControl/>
              <w:wordWrap/>
              <w:overflowPunct/>
              <w:topLinePunct w:val="0"/>
              <w:bidi w:val="0"/>
              <w:spacing w:line="320" w:lineRule="exact"/>
              <w:jc w:val="left"/>
              <w:textAlignment w:val="center"/>
              <w:rPr>
                <w:rFonts w:hint="eastAsia" w:ascii="宋体" w:hAnsi="宋体" w:eastAsia="宋体" w:cs="宋体"/>
                <w:color w:val="auto"/>
                <w:kern w:val="0"/>
                <w:sz w:val="21"/>
                <w:szCs w:val="24"/>
                <w:lang w:val="en-US" w:eastAsia="zh-CN" w:bidi="ar-SA"/>
              </w:rPr>
            </w:pPr>
            <w:r>
              <w:rPr>
                <w:rFonts w:hint="eastAsia" w:ascii="宋体" w:hAnsi="宋体" w:eastAsia="宋体" w:cs="宋体"/>
                <w:color w:val="auto"/>
                <w:kern w:val="0"/>
                <w:sz w:val="21"/>
                <w:szCs w:val="24"/>
                <w:lang w:val="en-US" w:eastAsia="zh-CN" w:bidi="ar-SA"/>
              </w:rPr>
              <w:t>②提供供应商Wind数据统计截图并加盖单位公章，否则不计分。</w:t>
            </w:r>
          </w:p>
          <w:p>
            <w:pPr>
              <w:keepNext w:val="0"/>
              <w:keepLines w:val="0"/>
              <w:pageBreakBefore w:val="0"/>
              <w:widowControl/>
              <w:wordWrap/>
              <w:overflowPunct/>
              <w:topLinePunct w:val="0"/>
              <w:bidi w:val="0"/>
              <w:spacing w:line="320" w:lineRule="exact"/>
              <w:jc w:val="left"/>
              <w:textAlignment w:val="center"/>
              <w:rPr>
                <w:rFonts w:hint="eastAsia" w:ascii="宋体" w:hAnsi="宋体" w:eastAsia="宋体" w:cs="宋体"/>
                <w:color w:val="auto"/>
                <w:kern w:val="0"/>
                <w:sz w:val="21"/>
                <w:szCs w:val="24"/>
                <w:lang w:val="en-US" w:eastAsia="zh-CN" w:bidi="ar-SA"/>
              </w:rPr>
            </w:pPr>
            <w:r>
              <w:rPr>
                <w:rFonts w:hint="default" w:ascii="宋体" w:hAnsi="宋体" w:eastAsia="宋体" w:cs="宋体"/>
                <w:color w:val="auto"/>
                <w:kern w:val="0"/>
                <w:sz w:val="21"/>
                <w:szCs w:val="24"/>
                <w:lang w:val="en-US" w:eastAsia="zh-CN" w:bidi="ar-SA"/>
              </w:rPr>
              <w:t>③</w:t>
            </w:r>
            <w:r>
              <w:rPr>
                <w:rFonts w:hint="eastAsia" w:ascii="宋体" w:hAnsi="宋体" w:eastAsia="宋体" w:cs="宋体"/>
                <w:color w:val="auto"/>
                <w:kern w:val="0"/>
                <w:sz w:val="21"/>
                <w:szCs w:val="24"/>
                <w:lang w:val="en-US" w:eastAsia="zh-CN" w:bidi="ar-SA"/>
              </w:rPr>
              <w:t>以联合体投标的，以牵头方的数据为准。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pStyle w:val="308"/>
              <w:keepNext w:val="0"/>
              <w:keepLines w:val="0"/>
              <w:pageBreakBefore w:val="0"/>
              <w:widowControl/>
              <w:kinsoku w:val="0"/>
              <w:wordWrap/>
              <w:overflowPunct/>
              <w:topLinePunct w:val="0"/>
              <w:autoSpaceDE w:val="0"/>
              <w:autoSpaceDN w:val="0"/>
              <w:bidi w:val="0"/>
              <w:adjustRightInd w:val="0"/>
              <w:snapToGrid w:val="0"/>
              <w:spacing w:line="320" w:lineRule="exact"/>
              <w:ind w:right="0" w:rightChars="0"/>
              <w:jc w:val="center"/>
              <w:textAlignment w:val="baseline"/>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时效性要求</w:t>
            </w:r>
          </w:p>
          <w:p>
            <w:pPr>
              <w:pStyle w:val="308"/>
              <w:keepNext w:val="0"/>
              <w:keepLines w:val="0"/>
              <w:pageBreakBefore w:val="0"/>
              <w:widowControl/>
              <w:kinsoku w:val="0"/>
              <w:wordWrap/>
              <w:overflowPunct/>
              <w:topLinePunct w:val="0"/>
              <w:autoSpaceDE w:val="0"/>
              <w:autoSpaceDN w:val="0"/>
              <w:bidi w:val="0"/>
              <w:adjustRightInd w:val="0"/>
              <w:snapToGrid w:val="0"/>
              <w:spacing w:line="320" w:lineRule="exact"/>
              <w:ind w:right="0" w:rightChars="0"/>
              <w:jc w:val="center"/>
              <w:textAlignment w:val="baseline"/>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（5分）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308"/>
              <w:keepNext w:val="0"/>
              <w:keepLines w:val="0"/>
              <w:pageBreakBefore w:val="0"/>
              <w:widowControl/>
              <w:kinsoku w:val="0"/>
              <w:wordWrap/>
              <w:overflowPunct/>
              <w:topLinePunct w:val="0"/>
              <w:autoSpaceDE w:val="0"/>
              <w:autoSpaceDN w:val="0"/>
              <w:bidi w:val="0"/>
              <w:adjustRightInd w:val="0"/>
              <w:snapToGrid w:val="0"/>
              <w:spacing w:line="320" w:lineRule="exact"/>
              <w:ind w:left="0" w:right="0" w:firstLine="0"/>
              <w:jc w:val="both"/>
              <w:textAlignment w:val="baseline"/>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供应商自提交申报材料之日起，预期取得交易所批文的时间在小于2个月计5分，在小于3个月计3分，在小于4个月计1分，超过4个月不计分。</w:t>
            </w:r>
          </w:p>
          <w:p>
            <w:pPr>
              <w:pStyle w:val="308"/>
              <w:keepNext w:val="0"/>
              <w:keepLines w:val="0"/>
              <w:pageBreakBefore w:val="0"/>
              <w:widowControl/>
              <w:kinsoku w:val="0"/>
              <w:wordWrap/>
              <w:overflowPunct/>
              <w:topLinePunct w:val="0"/>
              <w:autoSpaceDE w:val="0"/>
              <w:autoSpaceDN w:val="0"/>
              <w:bidi w:val="0"/>
              <w:adjustRightInd w:val="0"/>
              <w:snapToGrid w:val="0"/>
              <w:spacing w:line="320" w:lineRule="exact"/>
              <w:ind w:right="0" w:rightChars="0"/>
              <w:jc w:val="both"/>
              <w:textAlignment w:val="baseline"/>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注：提供承诺函并加盖投标单位公章，否则不计分。联合体投标，联合体双方均需提供承诺函，否则不计分。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pStyle w:val="309"/>
              <w:keepNext w:val="0"/>
              <w:keepLines w:val="0"/>
              <w:pageBreakBefore w:val="0"/>
              <w:widowControl/>
              <w:wordWrap/>
              <w:overflowPunct/>
              <w:topLinePunct w:val="0"/>
              <w:bidi w:val="0"/>
              <w:spacing w:line="320" w:lineRule="exact"/>
              <w:jc w:val="center"/>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团队实力（5分）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309"/>
              <w:keepNext w:val="0"/>
              <w:keepLines w:val="0"/>
              <w:pageBreakBefore w:val="0"/>
              <w:widowControl/>
              <w:wordWrap/>
              <w:overflowPunct/>
              <w:topLinePunct w:val="0"/>
              <w:bidi w:val="0"/>
              <w:spacing w:line="320" w:lineRule="exact"/>
              <w:jc w:val="left"/>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1、拟任项目负责人为其总部高层负责人的，计3分；为区域负责人的，计2分。</w:t>
            </w:r>
          </w:p>
          <w:p>
            <w:pPr>
              <w:pStyle w:val="309"/>
              <w:keepNext w:val="0"/>
              <w:keepLines w:val="0"/>
              <w:pageBreakBefore w:val="0"/>
              <w:widowControl/>
              <w:wordWrap/>
              <w:overflowPunct/>
              <w:topLinePunct w:val="0"/>
              <w:bidi w:val="0"/>
              <w:spacing w:line="320" w:lineRule="exact"/>
              <w:jc w:val="left"/>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2、拟派本项目团队成员中具有上海证券交易所或深圳证券交易所从业经验的，计2分。</w:t>
            </w:r>
          </w:p>
          <w:p>
            <w:pPr>
              <w:pStyle w:val="309"/>
              <w:keepNext w:val="0"/>
              <w:keepLines w:val="0"/>
              <w:pageBreakBefore w:val="0"/>
              <w:widowControl/>
              <w:wordWrap/>
              <w:overflowPunct/>
              <w:topLinePunct w:val="0"/>
              <w:bidi w:val="0"/>
              <w:spacing w:line="320" w:lineRule="exact"/>
              <w:jc w:val="left"/>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 xml:space="preserve">注：提供相关证明资料，并加盖投标人单位公章，否则不计分。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wordWrap/>
              <w:overflowPunct/>
              <w:topLinePunct w:val="0"/>
              <w:bidi w:val="0"/>
              <w:spacing w:line="320" w:lineRule="exact"/>
              <w:jc w:val="center"/>
              <w:textAlignment w:val="center"/>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券商分类评价结果（5分）</w:t>
            </w:r>
          </w:p>
        </w:tc>
        <w:tc>
          <w:tcPr>
            <w:tcW w:w="6256"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wordWrap/>
              <w:overflowPunct/>
              <w:topLinePunct w:val="0"/>
              <w:bidi w:val="0"/>
              <w:spacing w:line="320" w:lineRule="exact"/>
              <w:jc w:val="left"/>
              <w:textAlignment w:val="center"/>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根据证监会评比的2023年证券公司分类评价结果，供应商的分类评价为 AA 的，计5分；分类评价为A的，计3分；分类评价为 BBB 的，计2分；分类评价为 BB的，计1分；其余的不计分。</w:t>
            </w:r>
          </w:p>
          <w:p>
            <w:pPr>
              <w:keepNext w:val="0"/>
              <w:keepLines w:val="0"/>
              <w:pageBreakBefore w:val="0"/>
              <w:widowControl/>
              <w:wordWrap/>
              <w:overflowPunct/>
              <w:topLinePunct w:val="0"/>
              <w:bidi w:val="0"/>
              <w:spacing w:line="320" w:lineRule="exact"/>
              <w:jc w:val="left"/>
              <w:textAlignment w:val="center"/>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注：提供说明文件加盖公章或提供《中国证券监督管理委员会发的 2023 年分类结果函》并加盖公章，否则不计分；以联合体投标的，以联合体牵头方的数据为准。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widowControl/>
              <w:wordWrap/>
              <w:overflowPunct/>
              <w:topLinePunct w:val="0"/>
              <w:bidi w:val="0"/>
              <w:spacing w:line="320" w:lineRule="exact"/>
              <w:jc w:val="center"/>
              <w:textAlignment w:val="center"/>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执业能力（5分）</w:t>
            </w:r>
          </w:p>
        </w:tc>
        <w:tc>
          <w:tcPr>
            <w:tcW w:w="6256" w:type="dxa"/>
            <w:tcBorders>
              <w:top w:val="single" w:color="auto" w:sz="4" w:space="0"/>
              <w:left w:val="single" w:color="auto" w:sz="4" w:space="0"/>
              <w:bottom w:val="single" w:color="auto" w:sz="4" w:space="0"/>
              <w:right w:val="single" w:color="auto" w:sz="12" w:space="0"/>
            </w:tcBorders>
            <w:vAlign w:val="center"/>
          </w:tcPr>
          <w:p>
            <w:pPr>
              <w:keepNext w:val="0"/>
              <w:keepLines w:val="0"/>
              <w:pageBreakBefore w:val="0"/>
              <w:widowControl/>
              <w:wordWrap/>
              <w:overflowPunct/>
              <w:topLinePunct w:val="0"/>
              <w:bidi w:val="0"/>
              <w:spacing w:line="320" w:lineRule="exact"/>
              <w:jc w:val="left"/>
              <w:textAlignment w:val="center"/>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供应商在中国证券业协会公布的 2023 年证券公司公司债券业务执业能力评价中评价结果为 A 级的，计5分；B级的，计3分；C级计 1 分。</w:t>
            </w:r>
          </w:p>
          <w:p>
            <w:pPr>
              <w:keepNext w:val="0"/>
              <w:keepLines w:val="0"/>
              <w:pageBreakBefore w:val="0"/>
              <w:widowControl/>
              <w:wordWrap/>
              <w:overflowPunct/>
              <w:topLinePunct w:val="0"/>
              <w:bidi w:val="0"/>
              <w:spacing w:line="320" w:lineRule="exact"/>
              <w:jc w:val="left"/>
              <w:textAlignment w:val="center"/>
              <w:rPr>
                <w:rFonts w:hint="eastAsia" w:ascii="宋体" w:hAnsi="宋体" w:eastAsia="宋体" w:cs="宋体"/>
                <w:snapToGrid/>
                <w:color w:val="auto"/>
                <w:kern w:val="0"/>
                <w:sz w:val="21"/>
                <w:szCs w:val="24"/>
                <w:lang w:val="en-US" w:eastAsia="zh-CN" w:bidi="ar-SA"/>
              </w:rPr>
            </w:pPr>
            <w:r>
              <w:rPr>
                <w:rFonts w:hint="eastAsia" w:ascii="宋体" w:hAnsi="宋体" w:eastAsia="宋体" w:cs="宋体"/>
                <w:snapToGrid/>
                <w:color w:val="auto"/>
                <w:kern w:val="0"/>
                <w:sz w:val="21"/>
                <w:szCs w:val="24"/>
                <w:lang w:val="en-US" w:eastAsia="zh-CN" w:bidi="ar-SA"/>
              </w:rPr>
              <w:t>注：提供中国证券业协会网站查询的网页截图并加盖投标人单位公章，否则不计分；以联合体投标的，以联</w:t>
            </w:r>
            <w:bookmarkStart w:id="8" w:name="_GoBack"/>
            <w:bookmarkEnd w:id="8"/>
            <w:r>
              <w:rPr>
                <w:rFonts w:hint="eastAsia" w:ascii="宋体" w:hAnsi="宋体" w:eastAsia="宋体" w:cs="宋体"/>
                <w:snapToGrid/>
                <w:color w:val="auto"/>
                <w:kern w:val="0"/>
                <w:sz w:val="21"/>
                <w:szCs w:val="24"/>
                <w:lang w:val="en-US" w:eastAsia="zh-CN" w:bidi="ar-SA"/>
              </w:rPr>
              <w:t>合体牵头方的数据为准。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1051" w:type="dxa"/>
            <w:tcBorders>
              <w:top w:val="single" w:color="auto" w:sz="6" w:space="0"/>
              <w:left w:val="single" w:color="auto" w:sz="12" w:space="0"/>
              <w:bottom w:val="single" w:color="auto" w:sz="12" w:space="0"/>
              <w:right w:val="single" w:color="auto" w:sz="6" w:space="0"/>
            </w:tcBorders>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3</w:t>
            </w:r>
          </w:p>
        </w:tc>
        <w:tc>
          <w:tcPr>
            <w:tcW w:w="1051" w:type="dxa"/>
            <w:tcBorders>
              <w:top w:val="single" w:color="auto" w:sz="4" w:space="0"/>
              <w:left w:val="single" w:color="auto" w:sz="6" w:space="0"/>
              <w:bottom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w:t>
            </w:r>
          </w:p>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磋商报价</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lang w:val="en-US" w:eastAsia="zh-CN"/>
              </w:rPr>
              <w:t>0</w:t>
            </w:r>
            <w:r>
              <w:rPr>
                <w:rFonts w:hint="eastAsia" w:ascii="宋体" w:hAnsi="宋体" w:eastAsia="宋体" w:cs="宋体"/>
                <w:color w:val="auto"/>
                <w:szCs w:val="21"/>
                <w:highlight w:val="none"/>
              </w:rPr>
              <w:t>分</w:t>
            </w:r>
          </w:p>
        </w:tc>
        <w:tc>
          <w:tcPr>
            <w:tcW w:w="7408" w:type="dxa"/>
            <w:gridSpan w:val="2"/>
            <w:tcBorders>
              <w:top w:val="single" w:color="auto" w:sz="6" w:space="0"/>
              <w:left w:val="single" w:color="auto" w:sz="6" w:space="0"/>
              <w:bottom w:val="single" w:color="auto" w:sz="12" w:space="0"/>
              <w:right w:val="single" w:color="auto" w:sz="12" w:space="0"/>
            </w:tcBorders>
            <w:vAlign w:val="center"/>
          </w:tcPr>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1、满足磋商文件要求且最后报价最低的供应商的价格为磋商基准价，其价格分为满分。其他供应商的价格分统一按照下列公式计算：</w:t>
            </w:r>
          </w:p>
          <w:p>
            <w:pP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磋商报价得分=（磋商基准价/最后磋商报价）×价格权值×100；</w:t>
            </w:r>
          </w:p>
          <w:p>
            <w:pP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lang w:val="en-US" w:eastAsia="zh-CN"/>
              </w:rPr>
              <w:t>2、价格评审过程中，不得去掉最后报价中的最高报价和最低报价。</w:t>
            </w:r>
          </w:p>
        </w:tc>
      </w:tr>
    </w:tbl>
    <w:p>
      <w:pPr>
        <w:adjustRightInd w:val="0"/>
        <w:snapToGrid w:val="0"/>
        <w:spacing w:line="312" w:lineRule="auto"/>
        <w:rPr>
          <w:rFonts w:hint="eastAsia" w:ascii="宋体" w:hAnsi="宋体" w:eastAsia="宋体" w:cs="宋体"/>
          <w:bCs/>
          <w:color w:val="auto"/>
          <w:sz w:val="20"/>
          <w:szCs w:val="20"/>
        </w:rPr>
      </w:pP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hint="eastAsia" w:ascii="宋体" w:hAnsi="宋体" w:cs="宋体"/>
          <w:b/>
          <w:bCs/>
          <w:color w:val="auto"/>
          <w:sz w:val="24"/>
        </w:rPr>
      </w:pPr>
      <w:r>
        <w:rPr>
          <w:rFonts w:hint="eastAsia" w:ascii="宋体" w:hAnsi="宋体" w:cs="宋体"/>
          <w:color w:val="auto"/>
          <w:highlight w:val="none"/>
          <w:lang w:val="en-US" w:eastAsia="zh-CN"/>
        </w:rPr>
        <w:t>注：供应商参与政府采购应提供真实有效的证明材料，应当诚信守法、公平竞争。如有以提供虚假材料（包括但不限于虚假技术参数响应、虚假制造商产品彩页、虚假业绩、虚假证书等）、隐瞒失信信息等谋取中标的行为，一经发现，将报相关监管部门严肃查处。</w:t>
      </w: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hint="eastAsia" w:ascii="宋体" w:hAnsi="宋体" w:cs="宋体"/>
          <w:b/>
          <w:bCs/>
          <w:color w:val="auto"/>
          <w:sz w:val="24"/>
        </w:rPr>
      </w:pPr>
    </w:p>
    <w:p>
      <w:pPr>
        <w:adjustRightInd w:val="0"/>
        <w:snapToGrid w:val="0"/>
        <w:spacing w:line="360" w:lineRule="auto"/>
        <w:jc w:val="center"/>
        <w:rPr>
          <w:rFonts w:ascii="宋体" w:hAnsi="宋体" w:cs="宋体"/>
          <w:b/>
          <w:bCs/>
          <w:color w:val="auto"/>
          <w:sz w:val="24"/>
        </w:rPr>
      </w:pPr>
      <w:r>
        <w:rPr>
          <w:rFonts w:hint="eastAsia" w:ascii="宋体" w:hAnsi="宋体" w:cs="宋体"/>
          <w:b/>
          <w:bCs/>
          <w:color w:val="auto"/>
          <w:sz w:val="24"/>
        </w:rPr>
        <w:t>磋商须知正文</w:t>
      </w:r>
    </w:p>
    <w:p>
      <w:pPr>
        <w:adjustRightInd w:val="0"/>
        <w:snapToGrid w:val="0"/>
        <w:spacing w:line="360" w:lineRule="auto"/>
        <w:rPr>
          <w:rFonts w:ascii="宋体" w:hAnsi="宋体" w:cs="宋体"/>
          <w:color w:val="auto"/>
          <w:sz w:val="24"/>
        </w:rPr>
      </w:pPr>
      <w:r>
        <w:rPr>
          <w:rFonts w:hint="eastAsia" w:ascii="宋体" w:hAnsi="宋体" w:cs="宋体"/>
          <w:color w:val="auto"/>
          <w:sz w:val="24"/>
        </w:rPr>
        <w:t>一、说明</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1.适用范围</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 本磋商文件仅适用于磋商须知前附表(以下简称</w:t>
      </w:r>
      <w:r>
        <w:rPr>
          <w:rFonts w:hint="eastAsia" w:ascii="宋体" w:hAnsi="宋体" w:cs="宋体"/>
          <w:b/>
          <w:color w:val="auto"/>
          <w:szCs w:val="21"/>
        </w:rPr>
        <w:t>磋商须知前附表)</w:t>
      </w:r>
      <w:r>
        <w:rPr>
          <w:rFonts w:hint="eastAsia" w:ascii="宋体" w:hAnsi="宋体" w:cs="宋体"/>
          <w:color w:val="auto"/>
          <w:szCs w:val="21"/>
        </w:rPr>
        <w:t>中所叙述的采购项目。</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2.定义</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2.1 “采购人”是指依法进行采购的国家机关、事业单位、团体组织。本次采购的采购人名称、地址、电话、联系人见</w:t>
      </w:r>
      <w:r>
        <w:rPr>
          <w:rFonts w:hint="eastAsia" w:ascii="宋体" w:hAnsi="宋体" w:cs="宋体"/>
          <w:b/>
          <w:color w:val="auto"/>
          <w:szCs w:val="21"/>
        </w:rPr>
        <w:t>磋商须知前附表</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2.2 “采购代理机构”是指接受采购人委托，代理采购项目的集中采购机构和其它采购代理机构。本次采购的采购代理机构名称、地址、电话、联系人见</w:t>
      </w:r>
      <w:r>
        <w:rPr>
          <w:rFonts w:hint="eastAsia" w:ascii="宋体" w:hAnsi="宋体" w:cs="宋体"/>
          <w:b/>
          <w:color w:val="auto"/>
          <w:szCs w:val="21"/>
        </w:rPr>
        <w:t>磋商须知前附表。</w:t>
      </w:r>
    </w:p>
    <w:p>
      <w:pPr>
        <w:adjustRightInd w:val="0"/>
        <w:snapToGrid w:val="0"/>
        <w:spacing w:line="360" w:lineRule="auto"/>
        <w:ind w:firstLine="420" w:firstLineChars="200"/>
        <w:rPr>
          <w:rFonts w:ascii="宋体" w:hAnsi="宋体" w:cs="宋体"/>
          <w:bCs/>
          <w:color w:val="auto"/>
          <w:kern w:val="36"/>
          <w:szCs w:val="21"/>
        </w:rPr>
      </w:pPr>
      <w:r>
        <w:rPr>
          <w:rFonts w:hint="eastAsia" w:ascii="宋体" w:hAnsi="宋体" w:cs="宋体"/>
          <w:color w:val="auto"/>
          <w:szCs w:val="21"/>
        </w:rPr>
        <w:t>2.3 “供应商”是指响应磋商文件要求、参加竞争性磋商采购的法人、其它组织或者自然人。本次采购项目</w:t>
      </w:r>
      <w:r>
        <w:rPr>
          <w:rFonts w:hint="eastAsia" w:ascii="宋体" w:hAnsi="宋体" w:cs="宋体"/>
          <w:color w:val="auto"/>
          <w:kern w:val="0"/>
          <w:szCs w:val="21"/>
        </w:rPr>
        <w:t>邀请</w:t>
      </w:r>
      <w:r>
        <w:rPr>
          <w:rFonts w:hint="eastAsia" w:ascii="宋体" w:hAnsi="宋体" w:cs="宋体"/>
          <w:color w:val="auto"/>
          <w:szCs w:val="21"/>
        </w:rPr>
        <w:t>的</w:t>
      </w:r>
      <w:r>
        <w:rPr>
          <w:rFonts w:hint="eastAsia" w:ascii="宋体" w:hAnsi="宋体" w:cs="宋体"/>
          <w:color w:val="auto"/>
          <w:kern w:val="0"/>
          <w:szCs w:val="21"/>
        </w:rPr>
        <w:t>供应商通过</w:t>
      </w:r>
      <w:r>
        <w:rPr>
          <w:rFonts w:hint="eastAsia" w:ascii="宋体" w:hAnsi="宋体" w:cs="宋体"/>
          <w:b/>
          <w:color w:val="auto"/>
          <w:szCs w:val="21"/>
        </w:rPr>
        <w:t>磋商须知前附表</w:t>
      </w:r>
      <w:r>
        <w:rPr>
          <w:rFonts w:hint="eastAsia" w:ascii="宋体" w:hAnsi="宋体" w:cs="宋体"/>
          <w:color w:val="auto"/>
          <w:szCs w:val="21"/>
        </w:rPr>
        <w:t>所述方式</w:t>
      </w:r>
      <w:r>
        <w:rPr>
          <w:rFonts w:hint="eastAsia" w:ascii="宋体" w:hAnsi="宋体" w:cs="宋体"/>
          <w:color w:val="auto"/>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2.4 “磋商小组”是指</w:t>
      </w:r>
      <w:r>
        <w:rPr>
          <w:rFonts w:hint="eastAsia" w:ascii="宋体" w:hAnsi="宋体" w:cs="宋体"/>
          <w:color w:val="auto"/>
          <w:kern w:val="0"/>
          <w:szCs w:val="21"/>
        </w:rPr>
        <w:t>依据财政部</w:t>
      </w:r>
      <w:r>
        <w:rPr>
          <w:rFonts w:hint="eastAsia" w:ascii="宋体" w:hAnsi="宋体" w:cs="宋体"/>
          <w:bCs/>
          <w:color w:val="auto"/>
          <w:kern w:val="36"/>
          <w:szCs w:val="21"/>
        </w:rPr>
        <w:t>《政府采购竞争性磋商采购方式管理暂行办法》有关规定组建，依法依规</w:t>
      </w:r>
      <w:r>
        <w:rPr>
          <w:rFonts w:hint="eastAsia" w:ascii="宋体" w:hAnsi="宋体" w:cs="宋体"/>
          <w:color w:val="auto"/>
          <w:kern w:val="0"/>
          <w:szCs w:val="21"/>
        </w:rPr>
        <w:t>履行其职责和义务的机构。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2.5 “货物”是指各种形态和种类的物品，包括原资料、燃料、设备、产品等，详见《政府采购品目分类目录》(</w:t>
      </w:r>
      <w:r>
        <w:rPr>
          <w:rStyle w:val="51"/>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 “工程”是指建设工程，包括建筑物和构筑物的新建、改建、扩建、装修、拆除、修缮等，详见《政府采购品目分类目录》(</w:t>
      </w:r>
      <w:r>
        <w:rPr>
          <w:rStyle w:val="51"/>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2.7 “服务”是指除货物和工程以外的其它政府采购对象，详见《政府采购品目分类目录》(</w:t>
      </w:r>
      <w:r>
        <w:rPr>
          <w:rStyle w:val="51"/>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3.供应商的资格要求</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3.1 供应商应当符合</w:t>
      </w:r>
      <w:r>
        <w:rPr>
          <w:rFonts w:hint="eastAsia" w:ascii="宋体" w:hAnsi="宋体" w:cs="宋体"/>
          <w:b/>
          <w:color w:val="auto"/>
          <w:szCs w:val="21"/>
        </w:rPr>
        <w:t>磋商须知前附表</w:t>
      </w:r>
      <w:r>
        <w:rPr>
          <w:rFonts w:hint="eastAsia" w:ascii="宋体" w:hAnsi="宋体" w:cs="宋体"/>
          <w:color w:val="auto"/>
          <w:szCs w:val="21"/>
        </w:rPr>
        <w:t>中规定的资格条件要求。</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3.2供应商</w:t>
      </w:r>
      <w:r>
        <w:rPr>
          <w:rFonts w:hint="eastAsia" w:ascii="宋体" w:hAnsi="宋体" w:cs="宋体"/>
          <w:color w:val="auto"/>
        </w:rPr>
        <w:t>为联合体形式的</w:t>
      </w:r>
      <w:r>
        <w:rPr>
          <w:rFonts w:hint="eastAsia" w:ascii="宋体" w:hAnsi="宋体" w:cs="宋体"/>
          <w:color w:val="auto"/>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（3）以联合体形式参加采购活动的，联合体各方不得再单独参加或者与其它供应商另外组成联合体参加同一合同项下的采购活动。</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3.3 供应商不得存在下列情形之一：</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（l）与采购人、采购代理机构存在</w:t>
      </w:r>
      <w:r>
        <w:rPr>
          <w:rFonts w:hint="eastAsia" w:ascii="宋体" w:hAnsi="宋体" w:cs="宋体"/>
          <w:bCs/>
          <w:color w:val="auto"/>
          <w:szCs w:val="21"/>
        </w:rPr>
        <w:t>隶属关系或者其它利害关系</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bCs/>
          <w:color w:val="auto"/>
          <w:szCs w:val="21"/>
        </w:rPr>
        <w:t>受到刑事处罚，或者受到三万元以上的罚款、责令停产停业、在一至三年内禁止参加采购活动、暂扣或者吊销许可证、暂扣或者吊销执照等情形之一的行政处罚，或者存在</w:t>
      </w:r>
      <w:r>
        <w:rPr>
          <w:rFonts w:hint="eastAsia" w:ascii="宋体" w:hAnsi="宋体" w:cs="宋体"/>
          <w:color w:val="auto"/>
          <w:szCs w:val="21"/>
        </w:rPr>
        <w:t>财政部门认定的其它重大违法记录。</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 xml:space="preserve">4.参与磋商的费用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4.1 无论磋商的结果如何，供应商应自行承担所有与竞争性磋商采购活动有关的全部费用。</w:t>
      </w:r>
    </w:p>
    <w:p>
      <w:pPr>
        <w:pStyle w:val="24"/>
        <w:adjustRightInd w:val="0"/>
        <w:snapToGrid w:val="0"/>
        <w:spacing w:line="360" w:lineRule="auto"/>
        <w:rPr>
          <w:rFonts w:hAnsi="宋体" w:cs="宋体"/>
          <w:b/>
          <w:bCs/>
          <w:color w:val="auto"/>
        </w:rPr>
      </w:pPr>
      <w:r>
        <w:rPr>
          <w:rFonts w:hint="eastAsia" w:hAnsi="宋体" w:cs="宋体"/>
          <w:b/>
          <w:color w:val="auto"/>
        </w:rPr>
        <w:t>5．</w:t>
      </w:r>
      <w:r>
        <w:rPr>
          <w:rFonts w:hint="eastAsia" w:hAnsi="宋体" w:cs="宋体"/>
          <w:b/>
          <w:bCs/>
          <w:color w:val="auto"/>
        </w:rPr>
        <w:t>授权委托</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5.1供应商代表为供应商法定代表人的，应具备法定代表人身份证明。供应商代表不是供应商法定代表人的，应具备法定代表人授权书，并附法定代表人身份证明。</w:t>
      </w:r>
    </w:p>
    <w:p>
      <w:pPr>
        <w:pStyle w:val="24"/>
        <w:adjustRightInd w:val="0"/>
        <w:snapToGrid w:val="0"/>
        <w:spacing w:line="360" w:lineRule="auto"/>
        <w:rPr>
          <w:rFonts w:hAnsi="宋体" w:cs="宋体"/>
          <w:b/>
          <w:color w:val="auto"/>
        </w:rPr>
      </w:pPr>
      <w:r>
        <w:rPr>
          <w:rFonts w:hint="eastAsia" w:hAnsi="宋体" w:cs="宋体"/>
          <w:b/>
          <w:color w:val="auto"/>
        </w:rPr>
        <w:t>6．联合体形式</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6.1除</w:t>
      </w:r>
      <w:r>
        <w:rPr>
          <w:rFonts w:hint="eastAsia" w:hAnsi="宋体" w:cs="宋体"/>
          <w:b/>
          <w:color w:val="auto"/>
        </w:rPr>
        <w:t>磋商须知前附表</w:t>
      </w:r>
      <w:r>
        <w:rPr>
          <w:rFonts w:hint="eastAsia" w:hAnsi="宋体" w:cs="宋体"/>
          <w:color w:val="auto"/>
        </w:rPr>
        <w:t>中另有规定，本次谈判采购不接受为联合体形式的供应商。</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6.2供应商</w:t>
      </w:r>
      <w:r>
        <w:rPr>
          <w:rFonts w:hint="eastAsia" w:ascii="宋体" w:hAnsi="宋体" w:cs="宋体"/>
          <w:color w:val="auto"/>
        </w:rPr>
        <w:t>为联合体形式的</w:t>
      </w:r>
      <w:r>
        <w:rPr>
          <w:rFonts w:hint="eastAsia" w:ascii="宋体" w:hAnsi="宋体" w:cs="宋体"/>
          <w:color w:val="auto"/>
          <w:szCs w:val="21"/>
        </w:rPr>
        <w:t>，除应符合本章第3条规定外，还应遵守以下规定：</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（2）联合体各方均应当符合本章第3.1</w:t>
      </w:r>
      <w:r>
        <w:rPr>
          <w:rFonts w:hint="eastAsia" w:ascii="宋体" w:hAnsi="宋体" w:cs="宋体"/>
          <w:color w:val="auto"/>
          <w:kern w:val="0"/>
          <w:szCs w:val="21"/>
          <w:lang w:val="zh-CN"/>
        </w:rPr>
        <w:t>款</w:t>
      </w:r>
      <w:r>
        <w:rPr>
          <w:rFonts w:hint="eastAsia" w:ascii="宋体" w:hAnsi="宋体" w:cs="宋体"/>
          <w:color w:val="auto"/>
          <w:szCs w:val="21"/>
        </w:rPr>
        <w:t>规定的供应商基本资格条件；</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rPr>
        <w:t>除</w:t>
      </w:r>
      <w:r>
        <w:rPr>
          <w:rFonts w:hint="eastAsia" w:ascii="宋体" w:hAnsi="宋体" w:cs="宋体"/>
          <w:b/>
          <w:color w:val="auto"/>
        </w:rPr>
        <w:t>磋商须知前附表</w:t>
      </w:r>
      <w:r>
        <w:rPr>
          <w:rFonts w:hint="eastAsia" w:ascii="宋体" w:hAnsi="宋体" w:cs="宋体"/>
          <w:color w:val="auto"/>
        </w:rPr>
        <w:t>中另有规定，</w:t>
      </w:r>
      <w:r>
        <w:rPr>
          <w:rFonts w:hint="eastAsia" w:ascii="宋体" w:hAnsi="宋体" w:cs="宋体"/>
          <w:color w:val="auto"/>
          <w:szCs w:val="21"/>
        </w:rPr>
        <w:t>联合体双方应当符合本章第3.1</w:t>
      </w:r>
      <w:r>
        <w:rPr>
          <w:rFonts w:hint="eastAsia" w:ascii="宋体" w:hAnsi="宋体" w:cs="宋体"/>
          <w:color w:val="auto"/>
          <w:kern w:val="0"/>
          <w:szCs w:val="21"/>
          <w:lang w:val="zh-CN"/>
        </w:rPr>
        <w:t>款</w:t>
      </w:r>
      <w:r>
        <w:rPr>
          <w:rFonts w:hint="eastAsia" w:ascii="宋体" w:hAnsi="宋体" w:cs="宋体"/>
          <w:color w:val="auto"/>
          <w:szCs w:val="21"/>
        </w:rPr>
        <w:t>规定的供应商特定资格条件；</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szCs w:val="21"/>
        </w:rPr>
        <w:t>（4）</w:t>
      </w:r>
      <w:r>
        <w:rPr>
          <w:rFonts w:hint="eastAsia" w:ascii="宋体" w:hAnsi="宋体" w:cs="宋体"/>
          <w:color w:val="auto"/>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7.现场勘察</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7.1供应商应按</w:t>
      </w:r>
      <w:r>
        <w:rPr>
          <w:rFonts w:hint="eastAsia" w:ascii="宋体" w:hAnsi="宋体" w:cs="宋体"/>
          <w:b/>
          <w:color w:val="auto"/>
        </w:rPr>
        <w:t>磋商须知前附表</w:t>
      </w:r>
      <w:r>
        <w:rPr>
          <w:rFonts w:hint="eastAsia" w:ascii="宋体" w:hAnsi="宋体" w:cs="宋体"/>
          <w:color w:val="auto"/>
        </w:rPr>
        <w:t>中规定</w:t>
      </w:r>
      <w:r>
        <w:rPr>
          <w:rFonts w:hint="eastAsia" w:ascii="宋体" w:hAnsi="宋体" w:cs="宋体"/>
          <w:color w:val="auto"/>
          <w:szCs w:val="21"/>
        </w:rPr>
        <w:t>对采购项目现场和周围环境的现场考察。</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color w:val="auto"/>
          <w:szCs w:val="21"/>
        </w:rPr>
      </w:pPr>
      <w:r>
        <w:rPr>
          <w:rFonts w:hint="eastAsia" w:ascii="宋体" w:hAnsi="宋体" w:cs="宋体"/>
          <w:color w:val="auto"/>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8.采购进口产品</w:t>
      </w:r>
    </w:p>
    <w:p>
      <w:pPr>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8.1除</w:t>
      </w:r>
      <w:r>
        <w:rPr>
          <w:rFonts w:hint="eastAsia" w:ascii="宋体" w:hAnsi="宋体" w:cs="宋体"/>
          <w:b/>
          <w:color w:val="auto"/>
          <w:szCs w:val="21"/>
        </w:rPr>
        <w:t>磋商文件前附表</w:t>
      </w:r>
      <w:r>
        <w:rPr>
          <w:rFonts w:hint="eastAsia" w:ascii="宋体" w:hAnsi="宋体" w:cs="宋体"/>
          <w:color w:val="auto"/>
          <w:szCs w:val="21"/>
        </w:rPr>
        <w:t>另有规定外，本项目</w:t>
      </w:r>
      <w:r>
        <w:rPr>
          <w:rFonts w:hint="eastAsia" w:ascii="宋体" w:hAnsi="宋体" w:cs="宋体"/>
          <w:color w:val="auto"/>
          <w:kern w:val="0"/>
          <w:szCs w:val="21"/>
        </w:rPr>
        <w:t>拒绝进口产品参加</w:t>
      </w:r>
      <w:r>
        <w:rPr>
          <w:rFonts w:hint="eastAsia" w:ascii="宋体" w:hAnsi="宋体" w:cs="宋体"/>
          <w:color w:val="auto"/>
          <w:szCs w:val="21"/>
        </w:rPr>
        <w:t>竞争性磋商采购活动</w:t>
      </w:r>
      <w:r>
        <w:rPr>
          <w:rFonts w:hint="eastAsia" w:ascii="宋体" w:hAnsi="宋体" w:cs="宋体"/>
          <w:color w:val="auto"/>
          <w:kern w:val="0"/>
          <w:szCs w:val="21"/>
        </w:rPr>
        <w:t>。</w:t>
      </w:r>
    </w:p>
    <w:p>
      <w:pPr>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8.2</w:t>
      </w:r>
      <w:r>
        <w:rPr>
          <w:rFonts w:hint="eastAsia" w:ascii="宋体" w:hAnsi="宋体" w:cs="宋体"/>
          <w:color w:val="auto"/>
          <w:szCs w:val="21"/>
        </w:rPr>
        <w:t>本章第7.1</w:t>
      </w:r>
      <w:r>
        <w:rPr>
          <w:rFonts w:hint="eastAsia" w:ascii="宋体" w:hAnsi="宋体" w:cs="宋体"/>
          <w:color w:val="auto"/>
          <w:kern w:val="0"/>
          <w:szCs w:val="21"/>
          <w:lang w:val="zh-CN"/>
        </w:rPr>
        <w:t>款</w:t>
      </w:r>
      <w:r>
        <w:rPr>
          <w:rFonts w:hint="eastAsia" w:ascii="宋体" w:hAnsi="宋体" w:cs="宋体"/>
          <w:color w:val="auto"/>
          <w:szCs w:val="21"/>
        </w:rPr>
        <w:t>规定</w:t>
      </w:r>
      <w:r>
        <w:rPr>
          <w:rFonts w:hint="eastAsia" w:ascii="宋体" w:hAnsi="宋体" w:cs="宋体"/>
          <w:color w:val="auto"/>
          <w:kern w:val="0"/>
          <w:szCs w:val="21"/>
        </w:rPr>
        <w:t>同意购买进口产品的，</w:t>
      </w:r>
      <w:r>
        <w:rPr>
          <w:rFonts w:hint="eastAsia" w:ascii="宋体" w:hAnsi="宋体" w:cs="宋体"/>
          <w:color w:val="auto"/>
          <w:szCs w:val="21"/>
        </w:rPr>
        <w:t>本项目</w:t>
      </w:r>
      <w:r>
        <w:rPr>
          <w:rFonts w:hint="eastAsia" w:ascii="宋体" w:hAnsi="宋体" w:cs="宋体"/>
          <w:color w:val="auto"/>
          <w:kern w:val="0"/>
          <w:szCs w:val="21"/>
          <w:lang w:val="zh-CN"/>
        </w:rPr>
        <w:t>采购活动</w:t>
      </w:r>
      <w:r>
        <w:rPr>
          <w:rFonts w:hint="eastAsia" w:ascii="宋体" w:hAnsi="宋体" w:cs="宋体"/>
          <w:color w:val="auto"/>
          <w:kern w:val="0"/>
          <w:szCs w:val="21"/>
        </w:rPr>
        <w:t>不限制满足</w:t>
      </w:r>
      <w:r>
        <w:rPr>
          <w:rFonts w:hint="eastAsia" w:ascii="宋体" w:hAnsi="宋体" w:cs="宋体"/>
          <w:color w:val="auto"/>
          <w:szCs w:val="21"/>
        </w:rPr>
        <w:t>磋商文件要求</w:t>
      </w:r>
      <w:r>
        <w:rPr>
          <w:rFonts w:hint="eastAsia" w:ascii="宋体" w:hAnsi="宋体" w:cs="宋体"/>
          <w:color w:val="auto"/>
          <w:kern w:val="0"/>
          <w:szCs w:val="21"/>
        </w:rPr>
        <w:t>的国内产品参与</w:t>
      </w:r>
      <w:r>
        <w:rPr>
          <w:rFonts w:hint="eastAsia" w:ascii="宋体" w:hAnsi="宋体" w:cs="宋体"/>
          <w:color w:val="auto"/>
          <w:szCs w:val="21"/>
        </w:rPr>
        <w:t>竞争性磋商</w:t>
      </w:r>
      <w:r>
        <w:rPr>
          <w:rFonts w:hint="eastAsia" w:ascii="宋体" w:hAnsi="宋体" w:cs="宋体"/>
          <w:color w:val="auto"/>
          <w:kern w:val="0"/>
          <w:szCs w:val="21"/>
        </w:rPr>
        <w:t>。</w:t>
      </w:r>
    </w:p>
    <w:p>
      <w:pPr>
        <w:adjustRightInd w:val="0"/>
        <w:snapToGrid w:val="0"/>
        <w:spacing w:line="360" w:lineRule="auto"/>
        <w:jc w:val="left"/>
        <w:rPr>
          <w:rFonts w:ascii="宋体" w:hAnsi="宋体" w:cs="宋体"/>
          <w:b/>
          <w:color w:val="auto"/>
          <w:szCs w:val="21"/>
        </w:rPr>
      </w:pPr>
      <w:r>
        <w:rPr>
          <w:rFonts w:hint="eastAsia" w:ascii="宋体" w:hAnsi="宋体" w:cs="宋体"/>
          <w:b/>
          <w:bCs/>
          <w:color w:val="auto"/>
          <w:szCs w:val="21"/>
        </w:rPr>
        <w:t>9.</w:t>
      </w:r>
      <w:r>
        <w:rPr>
          <w:rFonts w:hint="eastAsia" w:ascii="宋体" w:hAnsi="宋体" w:cs="宋体"/>
          <w:b/>
          <w:color w:val="auto"/>
          <w:szCs w:val="21"/>
        </w:rPr>
        <w:t xml:space="preserve"> 政府采购政策支持（本项目不适用）</w:t>
      </w:r>
    </w:p>
    <w:p>
      <w:pPr>
        <w:adjustRightInd w:val="0"/>
        <w:snapToGrid w:val="0"/>
        <w:spacing w:line="360" w:lineRule="auto"/>
        <w:ind w:left="902" w:hanging="902" w:hangingChars="376"/>
        <w:rPr>
          <w:rFonts w:ascii="宋体" w:hAnsi="宋体" w:cs="宋体"/>
          <w:color w:val="auto"/>
          <w:sz w:val="24"/>
        </w:rPr>
      </w:pPr>
      <w:r>
        <w:rPr>
          <w:rFonts w:hint="eastAsia" w:ascii="宋体" w:hAnsi="宋体" w:cs="宋体"/>
          <w:color w:val="auto"/>
          <w:sz w:val="24"/>
        </w:rPr>
        <w:t>二、磋商文件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10．磋商文件的组成</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10.1 磋商文件由下列文件组成：</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第一章 磋商邀请</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第二章 磋商须知</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第三章 采购合同格式条款</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第四章 采购需求</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第五章 响应文件组成</w:t>
      </w:r>
    </w:p>
    <w:p>
      <w:pPr>
        <w:pStyle w:val="24"/>
        <w:adjustRightInd w:val="0"/>
        <w:snapToGrid w:val="0"/>
        <w:spacing w:line="360" w:lineRule="auto"/>
        <w:ind w:firstLine="420" w:firstLineChars="200"/>
        <w:rPr>
          <w:rFonts w:hAnsi="宋体" w:cs="宋体"/>
          <w:color w:val="auto"/>
          <w:kern w:val="0"/>
        </w:rPr>
      </w:pPr>
      <w:r>
        <w:rPr>
          <w:rFonts w:hint="eastAsia" w:hAnsi="宋体" w:cs="宋体"/>
          <w:color w:val="auto"/>
        </w:rPr>
        <w:t>10.2</w:t>
      </w:r>
      <w:r>
        <w:rPr>
          <w:rFonts w:hint="eastAsia" w:hAnsi="宋体" w:cs="宋体"/>
          <w:color w:val="auto"/>
          <w:kern w:val="0"/>
        </w:rPr>
        <w:t>磋商小组根据与供应商磋商情况可能实质性变动的内容，包括采购需求中的技术、服务要求以及合同条款，</w:t>
      </w:r>
      <w:r>
        <w:rPr>
          <w:rFonts w:hint="eastAsia" w:hAnsi="宋体" w:cs="宋体"/>
          <w:color w:val="auto"/>
        </w:rPr>
        <w:t>在</w:t>
      </w:r>
      <w:r>
        <w:rPr>
          <w:rFonts w:hint="eastAsia" w:hAnsi="宋体" w:cs="宋体"/>
          <w:b/>
          <w:color w:val="auto"/>
        </w:rPr>
        <w:t>磋商须知前附表</w:t>
      </w:r>
      <w:r>
        <w:rPr>
          <w:rFonts w:hint="eastAsia" w:hAnsi="宋体" w:cs="宋体"/>
          <w:color w:val="auto"/>
        </w:rPr>
        <w:t>中明确。</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rPr>
        <w:t>10.3</w:t>
      </w:r>
      <w:r>
        <w:rPr>
          <w:rFonts w:hint="eastAsia" w:ascii="宋体" w:hAnsi="宋体" w:cs="宋体"/>
          <w:color w:val="auto"/>
          <w:szCs w:val="21"/>
        </w:rPr>
        <w:t>供应商应仔细阅读</w:t>
      </w:r>
      <w:r>
        <w:rPr>
          <w:rFonts w:hint="eastAsia" w:ascii="宋体" w:hAnsi="宋体" w:cs="宋体"/>
          <w:bCs/>
          <w:color w:val="auto"/>
          <w:szCs w:val="21"/>
        </w:rPr>
        <w:t>磋商</w:t>
      </w:r>
      <w:r>
        <w:rPr>
          <w:rFonts w:hint="eastAsia" w:ascii="宋体" w:hAnsi="宋体" w:cs="宋体"/>
          <w:color w:val="auto"/>
          <w:szCs w:val="21"/>
        </w:rPr>
        <w:t>文件的全部内容，按照</w:t>
      </w:r>
      <w:r>
        <w:rPr>
          <w:rFonts w:hint="eastAsia" w:ascii="宋体" w:hAnsi="宋体" w:cs="宋体"/>
          <w:bCs/>
          <w:color w:val="auto"/>
          <w:szCs w:val="21"/>
        </w:rPr>
        <w:t>磋商</w:t>
      </w:r>
      <w:r>
        <w:rPr>
          <w:rFonts w:hint="eastAsia" w:ascii="宋体" w:hAnsi="宋体" w:cs="宋体"/>
          <w:color w:val="auto"/>
          <w:szCs w:val="21"/>
        </w:rPr>
        <w:t>文件要求编制响应文件。任何对</w:t>
      </w:r>
      <w:r>
        <w:rPr>
          <w:rFonts w:hint="eastAsia" w:ascii="宋体" w:hAnsi="宋体" w:cs="宋体"/>
          <w:bCs/>
          <w:color w:val="auto"/>
          <w:szCs w:val="21"/>
        </w:rPr>
        <w:t>磋商</w:t>
      </w:r>
      <w:r>
        <w:rPr>
          <w:rFonts w:hint="eastAsia" w:ascii="宋体" w:hAnsi="宋体" w:cs="宋体"/>
          <w:color w:val="auto"/>
          <w:szCs w:val="21"/>
        </w:rPr>
        <w:t>文件的忽略或误解不能作为响应文件存在缺陷或瑕疵的理由，其风险由供应商承担。</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11.</w:t>
      </w:r>
      <w:r>
        <w:rPr>
          <w:rFonts w:hint="eastAsia" w:ascii="宋体" w:hAnsi="宋体" w:cs="宋体"/>
          <w:b/>
          <w:color w:val="auto"/>
        </w:rPr>
        <w:t xml:space="preserve"> </w:t>
      </w:r>
      <w:r>
        <w:rPr>
          <w:rFonts w:hint="eastAsia" w:ascii="宋体" w:hAnsi="宋体" w:cs="宋体"/>
          <w:b/>
          <w:color w:val="auto"/>
          <w:szCs w:val="21"/>
        </w:rPr>
        <w:t>磋商文件的提供期限</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11.1磋商文件的提供期限自开始发出之日起不得少于五个工作日。具体提供期限见</w:t>
      </w:r>
      <w:r>
        <w:rPr>
          <w:rFonts w:hint="eastAsia" w:ascii="宋体" w:hAnsi="宋体" w:cs="宋体"/>
          <w:b/>
          <w:color w:val="auto"/>
          <w:szCs w:val="21"/>
        </w:rPr>
        <w:t>磋商文件前附表</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11.2供应商应持</w:t>
      </w:r>
      <w:r>
        <w:rPr>
          <w:rFonts w:hint="eastAsia" w:ascii="宋体" w:hAnsi="宋体" w:cs="宋体"/>
          <w:b/>
          <w:color w:val="auto"/>
          <w:szCs w:val="21"/>
        </w:rPr>
        <w:t>磋商文件前附表</w:t>
      </w:r>
      <w:r>
        <w:rPr>
          <w:rFonts w:hint="eastAsia" w:ascii="宋体" w:hAnsi="宋体" w:cs="宋体"/>
          <w:color w:val="auto"/>
          <w:szCs w:val="21"/>
        </w:rPr>
        <w:t>规定的资料领取或购买磋商文件。</w:t>
      </w:r>
    </w:p>
    <w:p>
      <w:pPr>
        <w:pStyle w:val="24"/>
        <w:adjustRightInd w:val="0"/>
        <w:snapToGrid w:val="0"/>
        <w:spacing w:line="360" w:lineRule="auto"/>
        <w:rPr>
          <w:rFonts w:hAnsi="宋体" w:cs="宋体"/>
          <w:color w:val="auto"/>
        </w:rPr>
      </w:pPr>
      <w:r>
        <w:rPr>
          <w:rFonts w:hint="eastAsia" w:hAnsi="宋体" w:cs="宋体"/>
          <w:b/>
          <w:color w:val="auto"/>
        </w:rPr>
        <w:t>12.</w:t>
      </w:r>
      <w:r>
        <w:rPr>
          <w:rFonts w:hint="eastAsia" w:hAnsi="宋体" w:cs="宋体"/>
          <w:b/>
          <w:color w:val="auto"/>
          <w:kern w:val="0"/>
        </w:rPr>
        <w:t>提交首次响应文件</w:t>
      </w:r>
      <w:r>
        <w:rPr>
          <w:rFonts w:hint="eastAsia" w:hAnsi="宋体" w:cs="宋体"/>
          <w:b/>
          <w:color w:val="auto"/>
        </w:rPr>
        <w:t>的</w:t>
      </w:r>
      <w:r>
        <w:rPr>
          <w:rFonts w:hint="eastAsia" w:hAnsi="宋体" w:cs="宋体"/>
          <w:b/>
          <w:color w:val="auto"/>
          <w:kern w:val="0"/>
        </w:rPr>
        <w:t>截止</w:t>
      </w:r>
      <w:r>
        <w:rPr>
          <w:rFonts w:hint="eastAsia" w:hAnsi="宋体" w:cs="宋体"/>
          <w:b/>
          <w:color w:val="auto"/>
        </w:rPr>
        <w:t>时间</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12.1</w:t>
      </w:r>
      <w:r>
        <w:rPr>
          <w:rFonts w:hint="eastAsia" w:hAnsi="宋体" w:cs="宋体"/>
          <w:color w:val="auto"/>
          <w:kern w:val="0"/>
        </w:rPr>
        <w:t>供应商提交首次响应文件截止</w:t>
      </w:r>
      <w:r>
        <w:rPr>
          <w:rFonts w:hint="eastAsia" w:hAnsi="宋体" w:cs="宋体"/>
          <w:color w:val="auto"/>
        </w:rPr>
        <w:t>时间见</w:t>
      </w:r>
      <w:r>
        <w:rPr>
          <w:rFonts w:hint="eastAsia" w:hAnsi="宋体" w:cs="宋体"/>
          <w:b/>
          <w:color w:val="auto"/>
        </w:rPr>
        <w:t>磋商须知前附表</w:t>
      </w:r>
      <w:r>
        <w:rPr>
          <w:rFonts w:hint="eastAsia" w:hAnsi="宋体" w:cs="宋体"/>
          <w:color w:val="auto"/>
        </w:rPr>
        <w:t>。</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13.磋商文件的澄清</w:t>
      </w:r>
      <w:r>
        <w:rPr>
          <w:rFonts w:hint="eastAsia" w:ascii="宋体" w:hAnsi="宋体" w:cs="宋体"/>
          <w:b/>
          <w:color w:val="auto"/>
          <w:kern w:val="0"/>
          <w:szCs w:val="21"/>
          <w:lang w:val="zh-CN"/>
        </w:rPr>
        <w:t>或者</w:t>
      </w:r>
      <w:r>
        <w:rPr>
          <w:rFonts w:hint="eastAsia" w:ascii="宋体" w:hAnsi="宋体" w:cs="宋体"/>
          <w:b/>
          <w:bCs/>
          <w:color w:val="auto"/>
          <w:szCs w:val="21"/>
        </w:rPr>
        <w:t>修改</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13.1在</w:t>
      </w:r>
      <w:r>
        <w:rPr>
          <w:rFonts w:hint="eastAsia" w:ascii="宋体" w:hAnsi="宋体" w:cs="宋体"/>
          <w:color w:val="auto"/>
          <w:kern w:val="0"/>
          <w:szCs w:val="21"/>
        </w:rPr>
        <w:t xml:space="preserve">提交首次响应文件截止之日前，采购人、采购代理机构可以对已发出的磋商文件进行必要的澄清或者修改。 </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13.2</w:t>
      </w:r>
      <w:r>
        <w:rPr>
          <w:rFonts w:hint="eastAsia" w:ascii="宋体" w:hAnsi="宋体" w:cs="宋体"/>
          <w:color w:val="auto"/>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13.2</w:t>
      </w:r>
      <w:r>
        <w:rPr>
          <w:rFonts w:hint="eastAsia" w:hAnsi="宋体" w:cs="宋体"/>
          <w:color w:val="auto"/>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color w:val="auto"/>
          <w:sz w:val="24"/>
        </w:rPr>
      </w:pPr>
      <w:r>
        <w:rPr>
          <w:rFonts w:hint="eastAsia" w:ascii="宋体" w:hAnsi="宋体" w:cs="宋体"/>
          <w:color w:val="auto"/>
          <w:sz w:val="24"/>
        </w:rPr>
        <w:t>三、响应文件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14.一般要求</w:t>
      </w:r>
    </w:p>
    <w:p>
      <w:pPr>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 xml:space="preserve">14.2 </w:t>
      </w:r>
      <w:r>
        <w:rPr>
          <w:rFonts w:hint="eastAsia" w:ascii="宋体" w:hAnsi="宋体" w:cs="宋体"/>
          <w:color w:val="auto"/>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4"/>
        <w:adjustRightInd w:val="0"/>
        <w:snapToGrid w:val="0"/>
        <w:spacing w:line="360" w:lineRule="auto"/>
        <w:ind w:firstLine="420" w:firstLineChars="200"/>
        <w:rPr>
          <w:rFonts w:hAnsi="宋体" w:cs="宋体"/>
          <w:color w:val="auto"/>
        </w:rPr>
      </w:pPr>
      <w:r>
        <w:rPr>
          <w:rFonts w:hint="eastAsia" w:hAnsi="宋体" w:cs="宋体"/>
          <w:bCs/>
          <w:color w:val="auto"/>
        </w:rPr>
        <w:t xml:space="preserve">14.3 </w:t>
      </w:r>
      <w:r>
        <w:rPr>
          <w:rFonts w:hint="eastAsia" w:hAnsi="宋体" w:cs="宋体"/>
          <w:color w:val="auto"/>
        </w:rPr>
        <w:t>计量单位应使用我国法定计量单位，未列明时应默认为我国法定计量单位。</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14.4 响应文件应采用书面形式，电报、传真、电子邮件形式的响应文件概不接受。</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14.5 供应商应按磋商文件中提供的响应文件格式填写。</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15.</w:t>
      </w:r>
      <w:r>
        <w:rPr>
          <w:rFonts w:hint="eastAsia" w:ascii="宋体" w:hAnsi="宋体" w:cs="宋体"/>
          <w:b/>
          <w:color w:val="auto"/>
          <w:szCs w:val="21"/>
        </w:rPr>
        <w:t>响应文件</w:t>
      </w:r>
      <w:r>
        <w:rPr>
          <w:rFonts w:hint="eastAsia" w:ascii="宋体" w:hAnsi="宋体" w:cs="宋体"/>
          <w:b/>
          <w:bCs/>
          <w:color w:val="auto"/>
          <w:szCs w:val="21"/>
        </w:rPr>
        <w:t>的组成</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rPr>
        <w:t>15.1 响应文件包括下列内容：</w:t>
      </w:r>
      <w:r>
        <w:rPr>
          <w:rFonts w:hint="eastAsia" w:ascii="宋体" w:hAnsi="宋体" w:cs="宋体"/>
          <w:color w:val="auto"/>
          <w:szCs w:val="21"/>
        </w:rPr>
        <w:t xml:space="preserve"> </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一、磋商响应声明</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二、供应商的资格证明资料</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三、技术方案</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四、拟投入的服务团队</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五、商务评审资料</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六、技术/商务响应与偏离表</w:t>
      </w:r>
    </w:p>
    <w:p>
      <w:pPr>
        <w:adjustRightInd w:val="0"/>
        <w:snapToGrid w:val="0"/>
        <w:spacing w:line="360" w:lineRule="auto"/>
        <w:ind w:firstLine="420" w:firstLineChars="200"/>
        <w:rPr>
          <w:rFonts w:hint="eastAsia" w:ascii="宋体" w:hAnsi="宋体" w:cs="宋体"/>
          <w:color w:val="auto"/>
        </w:rPr>
      </w:pPr>
      <w:r>
        <w:rPr>
          <w:rFonts w:hint="eastAsia" w:ascii="宋体" w:hAnsi="宋体" w:cs="宋体"/>
          <w:color w:val="auto"/>
        </w:rPr>
        <w:t>七、报价一览表</w:t>
      </w:r>
    </w:p>
    <w:p>
      <w:pPr>
        <w:adjustRightInd w:val="0"/>
        <w:snapToGrid w:val="0"/>
        <w:spacing w:line="360" w:lineRule="auto"/>
        <w:ind w:firstLine="420" w:firstLineChars="200"/>
        <w:rPr>
          <w:rFonts w:hint="eastAsia" w:ascii="宋体" w:hAnsi="宋体" w:cs="宋体"/>
          <w:color w:val="auto"/>
          <w:lang w:val="en-US" w:eastAsia="zh-CN"/>
        </w:rPr>
      </w:pPr>
      <w:r>
        <w:rPr>
          <w:rFonts w:hint="eastAsia" w:ascii="宋体" w:hAnsi="宋体" w:cs="宋体"/>
          <w:color w:val="auto"/>
          <w:lang w:val="en-US" w:eastAsia="zh-CN"/>
        </w:rPr>
        <w:t>八、供应商认为需要提供的其它资料</w:t>
      </w:r>
    </w:p>
    <w:p>
      <w:pPr>
        <w:adjustRightInd w:val="0"/>
        <w:snapToGrid w:val="0"/>
        <w:spacing w:line="360" w:lineRule="auto"/>
        <w:ind w:firstLine="420" w:firstLineChars="200"/>
        <w:rPr>
          <w:rFonts w:hint="eastAsia" w:ascii="宋体" w:hAnsi="宋体" w:cs="宋体"/>
          <w:color w:val="auto"/>
          <w:lang w:val="en-US" w:eastAsia="zh-CN"/>
        </w:rPr>
      </w:pPr>
      <w:r>
        <w:rPr>
          <w:rFonts w:hint="eastAsia" w:ascii="宋体" w:hAnsi="宋体" w:cs="宋体"/>
          <w:color w:val="auto"/>
          <w:lang w:val="en-US" w:eastAsia="zh-CN"/>
        </w:rPr>
        <w:t>九、最后报价</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15.2在磋商过程中，</w:t>
      </w:r>
      <w:r>
        <w:rPr>
          <w:rFonts w:hint="eastAsia" w:ascii="宋体" w:hAnsi="宋体" w:cs="宋体"/>
          <w:color w:val="auto"/>
          <w:szCs w:val="21"/>
        </w:rPr>
        <w:t>供应商</w:t>
      </w:r>
      <w:r>
        <w:rPr>
          <w:rFonts w:hint="eastAsia" w:ascii="宋体" w:hAnsi="宋体" w:cs="宋体"/>
          <w:color w:val="auto"/>
        </w:rPr>
        <w:t>根据</w:t>
      </w:r>
      <w:r>
        <w:rPr>
          <w:rFonts w:hint="eastAsia" w:ascii="宋体" w:hAnsi="宋体" w:cs="宋体"/>
          <w:color w:val="auto"/>
          <w:kern w:val="0"/>
          <w:szCs w:val="21"/>
        </w:rPr>
        <w:t>磋商小组</w:t>
      </w:r>
      <w:r>
        <w:rPr>
          <w:rFonts w:hint="eastAsia" w:ascii="宋体" w:hAnsi="宋体" w:cs="宋体"/>
          <w:bCs/>
          <w:color w:val="auto"/>
          <w:szCs w:val="21"/>
        </w:rPr>
        <w:t>书面形式要求</w:t>
      </w:r>
      <w:r>
        <w:rPr>
          <w:rFonts w:hint="eastAsia" w:ascii="宋体" w:hAnsi="宋体" w:cs="宋体"/>
          <w:color w:val="auto"/>
          <w:kern w:val="0"/>
          <w:szCs w:val="21"/>
        </w:rPr>
        <w:t>提交的</w:t>
      </w:r>
      <w:r>
        <w:rPr>
          <w:rFonts w:hint="eastAsia" w:ascii="宋体" w:hAnsi="宋体" w:cs="宋体"/>
          <w:color w:val="auto"/>
        </w:rPr>
        <w:t>最后报价(或者</w:t>
      </w:r>
      <w:r>
        <w:rPr>
          <w:rFonts w:hint="eastAsia" w:ascii="宋体" w:hAnsi="宋体" w:cs="宋体"/>
          <w:bCs/>
          <w:color w:val="auto"/>
          <w:szCs w:val="21"/>
        </w:rPr>
        <w:t>重</w:t>
      </w:r>
      <w:r>
        <w:rPr>
          <w:rFonts w:hint="eastAsia" w:ascii="宋体" w:hAnsi="宋体" w:cs="宋体"/>
          <w:color w:val="auto"/>
          <w:kern w:val="0"/>
          <w:szCs w:val="21"/>
        </w:rPr>
        <w:t>新提交的响应文件和</w:t>
      </w:r>
      <w:r>
        <w:rPr>
          <w:rFonts w:hint="eastAsia" w:ascii="宋体" w:hAnsi="宋体" w:cs="宋体"/>
          <w:color w:val="auto"/>
        </w:rPr>
        <w:t>最后报价)是</w:t>
      </w:r>
      <w:r>
        <w:rPr>
          <w:rFonts w:hint="eastAsia" w:ascii="宋体" w:hAnsi="宋体" w:cs="宋体"/>
          <w:color w:val="auto"/>
          <w:szCs w:val="21"/>
        </w:rPr>
        <w:t>响应文件</w:t>
      </w:r>
      <w:r>
        <w:rPr>
          <w:rFonts w:hint="eastAsia" w:ascii="宋体" w:hAnsi="宋体" w:cs="宋体"/>
          <w:color w:val="auto"/>
        </w:rPr>
        <w:t>的有效组成部分。</w:t>
      </w:r>
    </w:p>
    <w:p>
      <w:pPr>
        <w:adjustRightInd w:val="0"/>
        <w:snapToGrid w:val="0"/>
        <w:spacing w:line="360" w:lineRule="auto"/>
        <w:ind w:firstLine="420" w:firstLineChars="200"/>
        <w:rPr>
          <w:rFonts w:ascii="宋体" w:hAnsi="宋体" w:cs="宋体"/>
          <w:b/>
          <w:color w:val="auto"/>
        </w:rPr>
      </w:pPr>
      <w:r>
        <w:rPr>
          <w:rFonts w:hint="eastAsia" w:ascii="宋体" w:hAnsi="宋体" w:cs="宋体"/>
          <w:color w:val="auto"/>
        </w:rPr>
        <w:t>15.3</w:t>
      </w:r>
      <w:r>
        <w:rPr>
          <w:rFonts w:hint="eastAsia" w:ascii="宋体" w:hAnsi="宋体" w:cs="宋体"/>
          <w:color w:val="auto"/>
          <w:kern w:val="0"/>
          <w:szCs w:val="21"/>
        </w:rPr>
        <w:t>磋商文件规定可能发生实质性变动的，供应商应当在</w:t>
      </w:r>
      <w:r>
        <w:rPr>
          <w:rFonts w:hint="eastAsia" w:ascii="宋体" w:hAnsi="宋体" w:cs="宋体"/>
          <w:color w:val="auto"/>
        </w:rPr>
        <w:t>《技术/商务响应与偏离表》中对应内容注明。</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rPr>
        <w:t>15.4</w:t>
      </w:r>
      <w:r>
        <w:rPr>
          <w:rFonts w:hint="eastAsia" w:ascii="宋体" w:hAnsi="宋体" w:cs="宋体"/>
          <w:color w:val="auto"/>
          <w:szCs w:val="21"/>
        </w:rPr>
        <w:t>根据《政府采购法》第四十二条的规定，供应商无论成交与否，其响应文件不予退还。</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16.报价</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16.1采购项目预算或其计算方法见</w:t>
      </w:r>
      <w:r>
        <w:rPr>
          <w:rFonts w:hint="eastAsia" w:hAnsi="宋体" w:cs="宋体"/>
          <w:b/>
          <w:color w:val="auto"/>
        </w:rPr>
        <w:t>磋商须知前附表</w:t>
      </w:r>
      <w:r>
        <w:rPr>
          <w:rFonts w:hint="eastAsia" w:hAnsi="宋体" w:cs="宋体"/>
          <w:color w:val="auto"/>
        </w:rPr>
        <w:t>。</w:t>
      </w:r>
    </w:p>
    <w:p>
      <w:pPr>
        <w:pStyle w:val="174"/>
        <w:adjustRightInd w:val="0"/>
        <w:snapToGrid w:val="0"/>
        <w:spacing w:line="360" w:lineRule="auto"/>
        <w:ind w:firstLine="420" w:firstLineChars="200"/>
        <w:rPr>
          <w:rFonts w:ascii="宋体" w:hAnsi="宋体" w:cs="宋体"/>
          <w:color w:val="auto"/>
        </w:rPr>
      </w:pPr>
      <w:r>
        <w:rPr>
          <w:rFonts w:hint="eastAsia" w:ascii="宋体" w:hAnsi="宋体" w:cs="宋体"/>
          <w:color w:val="auto"/>
        </w:rPr>
        <w:t>16.2供应商应按第五章 响应文件组成格式填写。</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16.3响应文件中标明的价格在合同执行过程中是固定不变的，不得以任何理由予以变更。以可变动价格提交的报价将被认为是非实质响应而被拒绝。</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16.4</w:t>
      </w:r>
      <w:r>
        <w:rPr>
          <w:rFonts w:hint="eastAsia" w:hAnsi="宋体" w:cs="宋体"/>
          <w:color w:val="auto"/>
          <w:kern w:val="0"/>
          <w:lang w:val="zh-CN"/>
        </w:rPr>
        <w:t>供应商</w:t>
      </w:r>
      <w:r>
        <w:rPr>
          <w:rFonts w:hint="eastAsia" w:hAnsi="宋体" w:cs="宋体"/>
          <w:color w:val="auto"/>
        </w:rPr>
        <w:t>的报价不得超过采购项目预算，采购项目预算或其计算方法见</w:t>
      </w:r>
      <w:r>
        <w:rPr>
          <w:rFonts w:hint="eastAsia" w:hAnsi="宋体" w:cs="宋体"/>
          <w:b/>
          <w:color w:val="auto"/>
        </w:rPr>
        <w:t>磋商须知前附表</w:t>
      </w:r>
      <w:r>
        <w:rPr>
          <w:rFonts w:hint="eastAsia" w:hAnsi="宋体" w:cs="宋体"/>
          <w:color w:val="auto"/>
        </w:rPr>
        <w:t>。</w:t>
      </w:r>
    </w:p>
    <w:p>
      <w:pPr>
        <w:pStyle w:val="24"/>
        <w:adjustRightInd w:val="0"/>
        <w:snapToGrid w:val="0"/>
        <w:spacing w:line="360" w:lineRule="auto"/>
        <w:rPr>
          <w:rFonts w:hAnsi="宋体" w:cs="宋体"/>
          <w:b/>
          <w:color w:val="auto"/>
        </w:rPr>
      </w:pPr>
      <w:r>
        <w:rPr>
          <w:rFonts w:hint="eastAsia" w:hAnsi="宋体" w:cs="宋体"/>
          <w:b/>
          <w:color w:val="auto"/>
        </w:rPr>
        <w:t>17.供应商符合磋商文件规定的证明文件</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17.2如果供应商为联合体，则应提交联合体各方资格证明文件、联合体协议。否则，在评审时将其视为无效响应。</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17.3 除</w:t>
      </w:r>
      <w:r>
        <w:rPr>
          <w:rFonts w:hint="eastAsia" w:ascii="宋体" w:hAnsi="宋体" w:cs="宋体"/>
          <w:b/>
          <w:color w:val="auto"/>
          <w:szCs w:val="21"/>
        </w:rPr>
        <w:t>磋商须知前附表</w:t>
      </w:r>
      <w:r>
        <w:rPr>
          <w:rFonts w:hint="eastAsia" w:ascii="宋体" w:hAnsi="宋体" w:cs="宋体"/>
          <w:color w:val="auto"/>
          <w:szCs w:val="21"/>
        </w:rPr>
        <w:t>另有规定外，供应商提供的货物及服务不是供应商制造或拥有的，则必须提供经销、或代理采购货物、或采购货物提供售后服务的证明文件。</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18．样品提供</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18.1 </w:t>
      </w:r>
      <w:r>
        <w:rPr>
          <w:rFonts w:hint="eastAsia" w:ascii="宋体" w:hAnsi="宋体" w:cs="宋体"/>
          <w:b/>
          <w:color w:val="auto"/>
        </w:rPr>
        <w:t>磋商须知前附表</w:t>
      </w:r>
      <w:r>
        <w:rPr>
          <w:rFonts w:hint="eastAsia" w:ascii="宋体" w:hAnsi="宋体" w:cs="宋体"/>
          <w:color w:val="auto"/>
          <w:szCs w:val="21"/>
        </w:rPr>
        <w:t>规定</w:t>
      </w:r>
      <w:r>
        <w:rPr>
          <w:rFonts w:hint="eastAsia" w:ascii="宋体" w:hAnsi="宋体" w:cs="宋体"/>
          <w:bCs/>
          <w:color w:val="auto"/>
        </w:rPr>
        <w:t>供应商</w:t>
      </w:r>
      <w:r>
        <w:rPr>
          <w:rFonts w:hint="eastAsia" w:ascii="宋体" w:hAnsi="宋体" w:cs="宋体"/>
          <w:color w:val="auto"/>
          <w:szCs w:val="21"/>
        </w:rPr>
        <w:t>在</w:t>
      </w:r>
      <w:r>
        <w:rPr>
          <w:rFonts w:hint="eastAsia" w:ascii="宋体" w:hAnsi="宋体" w:cs="宋体"/>
          <w:color w:val="auto"/>
        </w:rPr>
        <w:t>磋商</w:t>
      </w:r>
      <w:r>
        <w:rPr>
          <w:rFonts w:hint="eastAsia" w:ascii="宋体" w:hAnsi="宋体" w:cs="宋体"/>
          <w:color w:val="auto"/>
          <w:szCs w:val="21"/>
        </w:rPr>
        <w:t>时提供样品的，</w:t>
      </w:r>
      <w:r>
        <w:rPr>
          <w:rFonts w:hint="eastAsia" w:ascii="宋体" w:hAnsi="宋体" w:cs="宋体"/>
          <w:bCs/>
          <w:color w:val="auto"/>
        </w:rPr>
        <w:t>供应商</w:t>
      </w:r>
      <w:r>
        <w:rPr>
          <w:rFonts w:hint="eastAsia" w:ascii="宋体" w:hAnsi="宋体" w:cs="宋体"/>
          <w:color w:val="auto"/>
          <w:szCs w:val="21"/>
        </w:rPr>
        <w:t>有以下情形之一的，在评审时将其视为无效响应。</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（1）未在</w:t>
      </w:r>
      <w:r>
        <w:rPr>
          <w:rFonts w:hint="eastAsia" w:ascii="宋体" w:hAnsi="宋体" w:cs="宋体"/>
          <w:b/>
          <w:color w:val="auto"/>
        </w:rPr>
        <w:t>磋商须知前附表</w:t>
      </w:r>
      <w:r>
        <w:rPr>
          <w:rFonts w:hint="eastAsia" w:ascii="宋体" w:hAnsi="宋体" w:cs="宋体"/>
          <w:color w:val="auto"/>
          <w:szCs w:val="21"/>
        </w:rPr>
        <w:t>规定的提交时间、地点提交的；</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w:t>
      </w:r>
      <w:r>
        <w:rPr>
          <w:rFonts w:hint="eastAsia" w:ascii="宋体" w:hAnsi="宋体" w:cs="宋体"/>
          <w:bCs/>
          <w:color w:val="auto"/>
        </w:rPr>
        <w:t>供应商</w:t>
      </w:r>
      <w:r>
        <w:rPr>
          <w:rFonts w:hint="eastAsia" w:ascii="宋体" w:hAnsi="宋体" w:cs="宋体"/>
          <w:color w:val="auto"/>
          <w:szCs w:val="21"/>
        </w:rPr>
        <w:t>提供的样品与响应文件中提供样品的型号、规格不一致的。</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19.</w:t>
      </w:r>
      <w:r>
        <w:rPr>
          <w:rFonts w:hint="eastAsia" w:ascii="宋体" w:hAnsi="宋体" w:cs="宋体"/>
          <w:color w:val="auto"/>
        </w:rPr>
        <w:t xml:space="preserve"> </w:t>
      </w:r>
      <w:r>
        <w:rPr>
          <w:rFonts w:hint="eastAsia" w:ascii="宋体" w:hAnsi="宋体" w:cs="宋体"/>
          <w:b/>
          <w:bCs/>
          <w:color w:val="auto"/>
          <w:szCs w:val="21"/>
        </w:rPr>
        <w:t>磋商保证金</w:t>
      </w:r>
    </w:p>
    <w:p>
      <w:pPr>
        <w:pStyle w:val="24"/>
        <w:adjustRightInd w:val="0"/>
        <w:snapToGrid w:val="0"/>
        <w:spacing w:line="360" w:lineRule="auto"/>
        <w:ind w:firstLine="420" w:firstLineChars="200"/>
        <w:rPr>
          <w:rFonts w:hAnsi="宋体" w:cs="宋体"/>
          <w:bCs/>
          <w:color w:val="auto"/>
        </w:rPr>
      </w:pPr>
      <w:r>
        <w:rPr>
          <w:rFonts w:hint="eastAsia" w:hAnsi="宋体" w:cs="宋体"/>
          <w:color w:val="auto"/>
        </w:rPr>
        <w:t>19.1</w:t>
      </w:r>
      <w:r>
        <w:rPr>
          <w:rFonts w:hint="eastAsia" w:hAnsi="宋体" w:cs="宋体"/>
          <w:b/>
          <w:color w:val="auto"/>
        </w:rPr>
        <w:t>磋商须知前附表</w:t>
      </w:r>
      <w:r>
        <w:rPr>
          <w:rFonts w:hint="eastAsia" w:hAnsi="宋体" w:cs="宋体"/>
          <w:color w:val="auto"/>
        </w:rPr>
        <w:t>规定交纳磋商</w:t>
      </w:r>
      <w:r>
        <w:rPr>
          <w:rFonts w:hint="eastAsia" w:hAnsi="宋体" w:cs="宋体"/>
          <w:bCs/>
          <w:color w:val="auto"/>
        </w:rPr>
        <w:t>保证金的</w:t>
      </w:r>
      <w:r>
        <w:rPr>
          <w:rFonts w:hint="eastAsia" w:hAnsi="宋体" w:cs="宋体"/>
          <w:color w:val="auto"/>
        </w:rPr>
        <w:t>，应按</w:t>
      </w:r>
      <w:r>
        <w:rPr>
          <w:rFonts w:hint="eastAsia" w:hAnsi="宋体" w:cs="宋体"/>
          <w:b/>
          <w:color w:val="auto"/>
        </w:rPr>
        <w:t>磋商须知前附表</w:t>
      </w:r>
      <w:r>
        <w:rPr>
          <w:rFonts w:hint="eastAsia" w:hAnsi="宋体" w:cs="宋体"/>
          <w:color w:val="auto"/>
        </w:rPr>
        <w:t>规定的磋商</w:t>
      </w:r>
      <w:r>
        <w:rPr>
          <w:rFonts w:hint="eastAsia" w:hAnsi="宋体" w:cs="宋体"/>
          <w:bCs/>
          <w:color w:val="auto"/>
        </w:rPr>
        <w:t>保证金形式交纳，不得以现金方式交纳</w:t>
      </w:r>
      <w:r>
        <w:rPr>
          <w:rFonts w:hint="eastAsia" w:hAnsi="宋体" w:cs="宋体"/>
          <w:color w:val="auto"/>
        </w:rPr>
        <w:t>，在</w:t>
      </w:r>
      <w:r>
        <w:rPr>
          <w:rFonts w:hint="eastAsia" w:hAnsi="宋体" w:cs="宋体"/>
          <w:color w:val="auto"/>
          <w:kern w:val="0"/>
        </w:rPr>
        <w:t>提交首次响应文件截止时间</w:t>
      </w:r>
      <w:r>
        <w:rPr>
          <w:rFonts w:hint="eastAsia" w:hAnsi="宋体" w:cs="宋体"/>
          <w:color w:val="auto"/>
        </w:rPr>
        <w:t>前，</w:t>
      </w:r>
      <w:r>
        <w:rPr>
          <w:rFonts w:hint="eastAsia" w:hAnsi="宋体" w:cs="宋体"/>
          <w:bCs/>
          <w:color w:val="auto"/>
        </w:rPr>
        <w:t>向采购代理机构交纳不超过</w:t>
      </w:r>
      <w:r>
        <w:rPr>
          <w:rFonts w:hint="eastAsia" w:hAnsi="宋体" w:cs="宋体"/>
          <w:color w:val="auto"/>
          <w:kern w:val="0"/>
          <w:lang w:val="zh-CN"/>
        </w:rPr>
        <w:t>采购项目预算2﹪</w:t>
      </w:r>
      <w:r>
        <w:rPr>
          <w:rFonts w:hint="eastAsia" w:hAnsi="宋体" w:cs="宋体"/>
          <w:bCs/>
          <w:color w:val="auto"/>
        </w:rPr>
        <w:t>的磋商保证金(数额采用四舍五入，计算至元)</w:t>
      </w:r>
      <w:r>
        <w:rPr>
          <w:rFonts w:hint="eastAsia" w:hAnsi="宋体" w:cs="宋体"/>
          <w:color w:val="auto"/>
        </w:rPr>
        <w:t>。磋商</w:t>
      </w:r>
      <w:r>
        <w:rPr>
          <w:rFonts w:hint="eastAsia" w:hAnsi="宋体" w:cs="宋体"/>
          <w:bCs/>
          <w:color w:val="auto"/>
        </w:rPr>
        <w:t>保证金有效期应当与</w:t>
      </w:r>
      <w:r>
        <w:rPr>
          <w:rFonts w:hint="eastAsia" w:hAnsi="宋体" w:cs="宋体"/>
          <w:color w:val="auto"/>
        </w:rPr>
        <w:t>本章第20.1</w:t>
      </w:r>
      <w:r>
        <w:rPr>
          <w:rFonts w:hint="eastAsia" w:hAnsi="宋体" w:cs="宋体"/>
          <w:color w:val="auto"/>
          <w:kern w:val="0"/>
          <w:lang w:val="zh-CN"/>
        </w:rPr>
        <w:t>款</w:t>
      </w:r>
      <w:r>
        <w:rPr>
          <w:rFonts w:hint="eastAsia" w:hAnsi="宋体" w:cs="宋体"/>
          <w:color w:val="auto"/>
        </w:rPr>
        <w:t>规定的</w:t>
      </w:r>
      <w:r>
        <w:rPr>
          <w:rFonts w:hint="eastAsia" w:hAnsi="宋体" w:cs="宋体"/>
          <w:bCs/>
          <w:color w:val="auto"/>
        </w:rPr>
        <w:t>响应文件有效期一致。</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19.2</w:t>
      </w:r>
      <w:r>
        <w:rPr>
          <w:rFonts w:hint="eastAsia" w:ascii="宋体" w:hAnsi="宋体" w:cs="宋体"/>
          <w:color w:val="auto"/>
          <w:kern w:val="0"/>
          <w:szCs w:val="21"/>
          <w:lang w:val="zh-CN"/>
        </w:rPr>
        <w:t>供应商为联合体的，可以由联合体中的一方或者共同交纳磋商保证金，其交纳的磋商保证金，对联合体各方均具有约束力。</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19.3供应商未按照磋商文件要求提交磋商保证金的，响应无效。</w:t>
      </w:r>
    </w:p>
    <w:p>
      <w:pPr>
        <w:pStyle w:val="24"/>
        <w:tabs>
          <w:tab w:val="left" w:pos="6300"/>
        </w:tabs>
        <w:adjustRightInd w:val="0"/>
        <w:snapToGrid w:val="0"/>
        <w:spacing w:line="360" w:lineRule="auto"/>
        <w:ind w:firstLine="420" w:firstLineChars="200"/>
        <w:rPr>
          <w:rFonts w:hAnsi="宋体" w:cs="宋体"/>
          <w:color w:val="auto"/>
        </w:rPr>
      </w:pPr>
      <w:r>
        <w:rPr>
          <w:rFonts w:hint="eastAsia" w:hAnsi="宋体" w:cs="宋体"/>
          <w:color w:val="auto"/>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4"/>
        <w:adjustRightInd w:val="0"/>
        <w:snapToGrid w:val="0"/>
        <w:spacing w:line="360" w:lineRule="auto"/>
        <w:ind w:firstLine="420" w:firstLineChars="200"/>
        <w:rPr>
          <w:rFonts w:hAnsi="宋体" w:cs="宋体"/>
          <w:color w:val="auto"/>
          <w:kern w:val="0"/>
        </w:rPr>
      </w:pPr>
      <w:r>
        <w:rPr>
          <w:rFonts w:hint="eastAsia" w:hAnsi="宋体" w:cs="宋体"/>
          <w:color w:val="auto"/>
        </w:rPr>
        <w:t xml:space="preserve">19.5 </w:t>
      </w:r>
      <w:r>
        <w:rPr>
          <w:rFonts w:hint="eastAsia" w:hAnsi="宋体" w:cs="宋体"/>
          <w:color w:val="auto"/>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color w:val="auto"/>
          <w:kern w:val="0"/>
        </w:rPr>
      </w:pPr>
      <w:r>
        <w:rPr>
          <w:rFonts w:hint="eastAsia" w:ascii="宋体" w:hAnsi="宋体" w:cs="宋体"/>
          <w:color w:val="auto"/>
          <w:kern w:val="0"/>
        </w:rPr>
        <w:t>（2）供应商在响应文件中提供虚假资料的；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rPr>
        <w:t>（3）</w:t>
      </w:r>
      <w:r>
        <w:rPr>
          <w:rFonts w:hint="eastAsia" w:ascii="宋体" w:hAnsi="宋体" w:cs="宋体"/>
          <w:color w:val="auto"/>
        </w:rPr>
        <w:t>确定成交结果后，无正当理由放弃成交资格的；</w:t>
      </w:r>
    </w:p>
    <w:p>
      <w:pPr>
        <w:widowControl/>
        <w:adjustRightInd w:val="0"/>
        <w:snapToGrid w:val="0"/>
        <w:spacing w:line="360" w:lineRule="auto"/>
        <w:ind w:firstLine="525" w:firstLineChars="250"/>
        <w:jc w:val="left"/>
        <w:rPr>
          <w:rFonts w:ascii="宋体" w:hAnsi="宋体" w:cs="宋体"/>
          <w:color w:val="auto"/>
          <w:kern w:val="0"/>
          <w:szCs w:val="21"/>
        </w:rPr>
      </w:pPr>
      <w:r>
        <w:rPr>
          <w:rFonts w:hint="eastAsia" w:ascii="宋体" w:hAnsi="宋体" w:cs="宋体"/>
          <w:color w:val="auto"/>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（6）磋商文件规定的其它情形。</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20.</w:t>
      </w:r>
      <w:r>
        <w:rPr>
          <w:rFonts w:hint="eastAsia" w:ascii="宋体" w:hAnsi="宋体" w:cs="宋体"/>
          <w:color w:val="auto"/>
          <w:szCs w:val="21"/>
        </w:rPr>
        <w:t xml:space="preserve"> </w:t>
      </w:r>
      <w:r>
        <w:rPr>
          <w:rFonts w:hint="eastAsia" w:ascii="宋体" w:hAnsi="宋体" w:cs="宋体"/>
          <w:b/>
          <w:color w:val="auto"/>
        </w:rPr>
        <w:t>响应文件</w:t>
      </w:r>
      <w:r>
        <w:rPr>
          <w:rFonts w:hint="eastAsia" w:ascii="宋体" w:hAnsi="宋体" w:cs="宋体"/>
          <w:b/>
          <w:color w:val="auto"/>
          <w:szCs w:val="21"/>
        </w:rPr>
        <w:t>有效期</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20.1响应文件</w:t>
      </w:r>
      <w:r>
        <w:rPr>
          <w:rFonts w:hint="eastAsia" w:ascii="宋体" w:hAnsi="宋体" w:cs="宋体"/>
          <w:color w:val="auto"/>
          <w:szCs w:val="21"/>
        </w:rPr>
        <w:t>有效期见</w:t>
      </w:r>
      <w:r>
        <w:rPr>
          <w:rFonts w:hint="eastAsia" w:ascii="宋体" w:hAnsi="宋体" w:cs="宋体"/>
          <w:b/>
          <w:color w:val="auto"/>
        </w:rPr>
        <w:t>磋商须知前附表</w:t>
      </w:r>
      <w:r>
        <w:rPr>
          <w:rFonts w:hint="eastAsia" w:ascii="宋体" w:hAnsi="宋体" w:cs="宋体"/>
          <w:color w:val="auto"/>
          <w:szCs w:val="21"/>
        </w:rPr>
        <w:t>，在此期间</w:t>
      </w:r>
      <w:r>
        <w:rPr>
          <w:rFonts w:hint="eastAsia" w:ascii="宋体" w:hAnsi="宋体" w:cs="宋体"/>
          <w:color w:val="auto"/>
        </w:rPr>
        <w:t>响应</w:t>
      </w:r>
      <w:r>
        <w:rPr>
          <w:rFonts w:hint="eastAsia" w:ascii="宋体" w:hAnsi="宋体" w:cs="宋体"/>
          <w:color w:val="auto"/>
          <w:szCs w:val="21"/>
        </w:rPr>
        <w:t>文件对供应商具有法律约束力，</w:t>
      </w:r>
      <w:r>
        <w:rPr>
          <w:rFonts w:hint="eastAsia" w:ascii="宋体" w:hAnsi="宋体" w:cs="宋体"/>
          <w:color w:val="auto"/>
        </w:rPr>
        <w:t>从</w:t>
      </w:r>
      <w:r>
        <w:rPr>
          <w:rFonts w:hint="eastAsia" w:ascii="宋体" w:hAnsi="宋体" w:cs="宋体"/>
          <w:color w:val="auto"/>
          <w:kern w:val="0"/>
          <w:szCs w:val="21"/>
        </w:rPr>
        <w:t>提交首次响应文件截止时间</w:t>
      </w:r>
      <w:r>
        <w:rPr>
          <w:rFonts w:hint="eastAsia" w:ascii="宋体" w:hAnsi="宋体" w:cs="宋体"/>
          <w:color w:val="auto"/>
        </w:rPr>
        <w:t>之日起计算。响应文件有效期不足的将被视为无效响应。</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21.响应文件的签署及规定</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21.1响应文件的正本和副本应装订成册，正本一份，副本份数见</w:t>
      </w:r>
      <w:r>
        <w:rPr>
          <w:rFonts w:hint="eastAsia" w:hAnsi="宋体" w:cs="宋体"/>
          <w:b/>
          <w:color w:val="auto"/>
        </w:rPr>
        <w:t>磋商须知前附表</w:t>
      </w:r>
      <w:r>
        <w:rPr>
          <w:rFonts w:hint="eastAsia" w:hAnsi="宋体" w:cs="宋体"/>
          <w:color w:val="auto"/>
        </w:rPr>
        <w:t>。正本和副本的封面上应标记“正本”或“副本”的字样，当正本和副本有差异时，以正本为准。</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21.2 响应文件正本和副本应按磋商文件要求签章处盖单位章和由法定代表人或其委托代理人签字；任何加行、涂改、增删，应有法定代表人或其委托代理人在旁边签字。否则，将导致响应文件无效。</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21.3 在磋商过程中，供应商按磋商文件规定和磋商小组要求</w:t>
      </w:r>
      <w:r>
        <w:rPr>
          <w:rFonts w:hint="eastAsia" w:hAnsi="宋体" w:cs="宋体"/>
          <w:bCs/>
          <w:color w:val="auto"/>
        </w:rPr>
        <w:t>重</w:t>
      </w:r>
      <w:r>
        <w:rPr>
          <w:rFonts w:hint="eastAsia" w:hAnsi="宋体" w:cs="宋体"/>
          <w:color w:val="auto"/>
          <w:kern w:val="0"/>
        </w:rPr>
        <w:t>新提交的响应文件</w:t>
      </w:r>
      <w:r>
        <w:rPr>
          <w:rFonts w:hint="eastAsia" w:hAnsi="宋体" w:cs="宋体"/>
          <w:color w:val="auto"/>
        </w:rPr>
        <w:t>，一式两份，可打印或用不退色墨水书写，但需经法定代表人或其委托代理人签字，</w:t>
      </w:r>
      <w:r>
        <w:rPr>
          <w:rFonts w:hint="eastAsia" w:hAnsi="宋体" w:cs="宋体"/>
          <w:color w:val="auto"/>
          <w:kern w:val="0"/>
        </w:rPr>
        <w:t>或者加盖供应商单位章</w:t>
      </w:r>
      <w:r>
        <w:rPr>
          <w:rFonts w:hint="eastAsia" w:hAnsi="宋体" w:cs="宋体"/>
          <w:color w:val="auto"/>
        </w:rPr>
        <w:t>。否则，将导致响应文件无效。</w:t>
      </w:r>
    </w:p>
    <w:p>
      <w:pPr>
        <w:adjustRightInd w:val="0"/>
        <w:snapToGrid w:val="0"/>
        <w:spacing w:line="360" w:lineRule="auto"/>
        <w:rPr>
          <w:rFonts w:ascii="宋体" w:hAnsi="宋体" w:cs="宋体"/>
          <w:color w:val="auto"/>
          <w:sz w:val="24"/>
        </w:rPr>
      </w:pPr>
      <w:r>
        <w:rPr>
          <w:rFonts w:hint="eastAsia" w:ascii="宋体" w:hAnsi="宋体" w:cs="宋体"/>
          <w:color w:val="auto"/>
          <w:sz w:val="24"/>
        </w:rPr>
        <w:t>四、响应文件的递交</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22.</w:t>
      </w:r>
      <w:r>
        <w:rPr>
          <w:rFonts w:hint="eastAsia" w:ascii="宋体" w:hAnsi="宋体" w:cs="宋体"/>
          <w:b/>
          <w:color w:val="auto"/>
          <w:szCs w:val="21"/>
        </w:rPr>
        <w:t>响应文件</w:t>
      </w:r>
      <w:r>
        <w:rPr>
          <w:rFonts w:hint="eastAsia" w:ascii="宋体" w:hAnsi="宋体" w:cs="宋体"/>
          <w:b/>
          <w:bCs/>
          <w:color w:val="auto"/>
          <w:szCs w:val="21"/>
        </w:rPr>
        <w:t>的密封和标记</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22.2响应文件封套上应写明的内容见</w:t>
      </w:r>
      <w:r>
        <w:rPr>
          <w:rFonts w:hint="eastAsia" w:ascii="宋体" w:hAnsi="宋体" w:cs="宋体"/>
          <w:b/>
          <w:color w:val="auto"/>
          <w:szCs w:val="21"/>
        </w:rPr>
        <w:t>磋商须知前附表。</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22.3响应文件如果未按上述规定密封和加写标记，采购人或采购代理机构将拒绝接收。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23.响应文件的</w:t>
      </w:r>
      <w:r>
        <w:rPr>
          <w:rFonts w:hint="eastAsia" w:ascii="宋体" w:hAnsi="宋体" w:cs="宋体"/>
          <w:b/>
          <w:color w:val="auto"/>
          <w:kern w:val="0"/>
          <w:szCs w:val="21"/>
          <w:lang w:val="zh-CN"/>
        </w:rPr>
        <w:t>补充、修改或者撤回</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23.1</w:t>
      </w:r>
      <w:r>
        <w:rPr>
          <w:rFonts w:hint="eastAsia" w:hAnsi="宋体" w:cs="宋体"/>
          <w:color w:val="auto"/>
          <w:kern w:val="0"/>
        </w:rPr>
        <w:t>供应商在提交首次响应文件截止时间前，可以对所提交的首次响应文件进行补充、修改或者撤回，并书面通知采购人、采购代理机构。</w:t>
      </w:r>
      <w:r>
        <w:rPr>
          <w:rFonts w:hint="eastAsia" w:hAnsi="宋体" w:cs="宋体"/>
          <w:color w:val="auto"/>
        </w:rPr>
        <w:t>该通知应有供应商法定代表人或其委托代理人签字。</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23.2</w:t>
      </w:r>
      <w:r>
        <w:rPr>
          <w:rFonts w:hint="eastAsia" w:hAnsi="宋体" w:cs="宋体"/>
          <w:color w:val="auto"/>
          <w:kern w:val="0"/>
          <w:lang w:val="zh-CN"/>
        </w:rPr>
        <w:t>补充、修改的内容与响应文件不一致时，以补充、修改的内容为准。</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24.响应文件的递交与接收</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24.1 供应商应在</w:t>
      </w:r>
      <w:r>
        <w:rPr>
          <w:rFonts w:hint="eastAsia" w:ascii="宋体" w:hAnsi="宋体" w:cs="宋体"/>
          <w:color w:val="auto"/>
          <w:kern w:val="0"/>
          <w:szCs w:val="21"/>
        </w:rPr>
        <w:t>提交首次响应文件截止时间</w:t>
      </w:r>
      <w:r>
        <w:rPr>
          <w:rFonts w:hint="eastAsia" w:ascii="宋体" w:hAnsi="宋体" w:cs="宋体"/>
          <w:color w:val="auto"/>
          <w:szCs w:val="21"/>
        </w:rPr>
        <w:t>前，将响应文件送达</w:t>
      </w:r>
      <w:r>
        <w:rPr>
          <w:rFonts w:hint="eastAsia" w:ascii="宋体" w:hAnsi="宋体" w:cs="宋体"/>
          <w:b/>
          <w:color w:val="auto"/>
          <w:szCs w:val="21"/>
        </w:rPr>
        <w:t>磋商须知前附表</w:t>
      </w:r>
      <w:r>
        <w:rPr>
          <w:rFonts w:hint="eastAsia" w:ascii="宋体" w:hAnsi="宋体" w:cs="宋体"/>
          <w:color w:val="auto"/>
          <w:szCs w:val="21"/>
        </w:rPr>
        <w:t>中指定的地点。</w:t>
      </w:r>
      <w:r>
        <w:rPr>
          <w:rFonts w:hint="eastAsia" w:ascii="宋体" w:hAnsi="宋体" w:cs="宋体"/>
          <w:color w:val="auto"/>
          <w:kern w:val="0"/>
        </w:rPr>
        <w:t>在截止时间后送达的响应文件，采购人、采购代理机构或者磋商小组应当拒收。</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24.2</w:t>
      </w:r>
      <w:r>
        <w:rPr>
          <w:rFonts w:hint="eastAsia" w:hAnsi="宋体" w:cs="宋体"/>
          <w:color w:val="auto"/>
          <w:kern w:val="0"/>
        </w:rPr>
        <w:t>在提交首次响应文件截止时间后，</w:t>
      </w:r>
      <w:r>
        <w:rPr>
          <w:rFonts w:hint="eastAsia" w:hAnsi="宋体" w:cs="宋体"/>
          <w:color w:val="auto"/>
        </w:rPr>
        <w:t>由</w:t>
      </w:r>
      <w:r>
        <w:rPr>
          <w:rFonts w:hint="eastAsia" w:hAnsi="宋体" w:cs="宋体"/>
          <w:bCs/>
          <w:color w:val="auto"/>
        </w:rPr>
        <w:t>供应商代表</w:t>
      </w:r>
      <w:r>
        <w:rPr>
          <w:rFonts w:hint="eastAsia" w:hAnsi="宋体" w:cs="宋体"/>
          <w:color w:val="auto"/>
        </w:rPr>
        <w:t>当场查验</w:t>
      </w:r>
      <w:r>
        <w:rPr>
          <w:rFonts w:hint="eastAsia" w:hAnsi="宋体" w:cs="宋体"/>
          <w:bCs/>
          <w:color w:val="auto"/>
        </w:rPr>
        <w:t>响应文件</w:t>
      </w:r>
      <w:r>
        <w:rPr>
          <w:rFonts w:hint="eastAsia" w:hAnsi="宋体" w:cs="宋体"/>
          <w:color w:val="auto"/>
        </w:rPr>
        <w:t>的密封状况，采购人或</w:t>
      </w:r>
      <w:r>
        <w:rPr>
          <w:rFonts w:hint="eastAsia" w:hAnsi="宋体" w:cs="宋体"/>
          <w:bCs/>
          <w:color w:val="auto"/>
        </w:rPr>
        <w:t>采购代理机构</w:t>
      </w:r>
      <w:r>
        <w:rPr>
          <w:rFonts w:hint="eastAsia" w:hAnsi="宋体" w:cs="宋体"/>
          <w:color w:val="auto"/>
        </w:rPr>
        <w:t>不当场拆封</w:t>
      </w:r>
      <w:r>
        <w:rPr>
          <w:rFonts w:hint="eastAsia" w:hAnsi="宋体" w:cs="宋体"/>
          <w:bCs/>
          <w:color w:val="auto"/>
        </w:rPr>
        <w:t>响应文件</w:t>
      </w:r>
      <w:r>
        <w:rPr>
          <w:rFonts w:hint="eastAsia" w:hAnsi="宋体" w:cs="宋体"/>
          <w:color w:val="auto"/>
        </w:rPr>
        <w:t>。</w:t>
      </w:r>
    </w:p>
    <w:p>
      <w:pPr>
        <w:adjustRightInd w:val="0"/>
        <w:snapToGrid w:val="0"/>
        <w:spacing w:line="360" w:lineRule="auto"/>
        <w:rPr>
          <w:rFonts w:ascii="宋体" w:hAnsi="宋体" w:cs="宋体"/>
          <w:color w:val="auto"/>
          <w:sz w:val="24"/>
        </w:rPr>
      </w:pPr>
      <w:r>
        <w:rPr>
          <w:rFonts w:hint="eastAsia" w:ascii="宋体" w:hAnsi="宋体" w:cs="宋体"/>
          <w:color w:val="auto"/>
          <w:sz w:val="24"/>
        </w:rPr>
        <w:t>五、响应文件的磋商与评审</w:t>
      </w:r>
    </w:p>
    <w:p>
      <w:pPr>
        <w:tabs>
          <w:tab w:val="left" w:pos="0"/>
        </w:tabs>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25.磋商程序</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25.1磋商程序：响应文件审查、磋商（包括澄清）、响应文件评审、</w:t>
      </w:r>
      <w:r>
        <w:rPr>
          <w:rFonts w:hint="eastAsia" w:ascii="宋体" w:hAnsi="宋体" w:cs="宋体"/>
          <w:bCs/>
          <w:color w:val="auto"/>
          <w:szCs w:val="21"/>
        </w:rPr>
        <w:t>提出成交供应商。其中，</w:t>
      </w:r>
      <w:r>
        <w:rPr>
          <w:rFonts w:hint="eastAsia" w:ascii="宋体" w:hAnsi="宋体" w:cs="宋体"/>
          <w:color w:val="auto"/>
          <w:kern w:val="0"/>
          <w:szCs w:val="21"/>
        </w:rPr>
        <w:t>磋商按</w:t>
      </w:r>
      <w:r>
        <w:rPr>
          <w:rFonts w:hint="eastAsia" w:ascii="宋体" w:hAnsi="宋体" w:cs="宋体"/>
          <w:color w:val="auto"/>
          <w:szCs w:val="21"/>
        </w:rPr>
        <w:t>本章</w:t>
      </w:r>
      <w:r>
        <w:rPr>
          <w:rFonts w:hint="eastAsia" w:ascii="宋体" w:hAnsi="宋体" w:cs="宋体"/>
          <w:color w:val="auto"/>
        </w:rPr>
        <w:t>第30.1</w:t>
      </w:r>
      <w:r>
        <w:rPr>
          <w:rFonts w:hint="eastAsia" w:ascii="宋体" w:hAnsi="宋体" w:cs="宋体"/>
          <w:color w:val="auto"/>
          <w:kern w:val="0"/>
          <w:szCs w:val="21"/>
          <w:lang w:val="zh-CN"/>
        </w:rPr>
        <w:t>款或者</w:t>
      </w:r>
      <w:r>
        <w:rPr>
          <w:rFonts w:hint="eastAsia" w:ascii="宋体" w:hAnsi="宋体" w:cs="宋体"/>
          <w:color w:val="auto"/>
        </w:rPr>
        <w:t>第30.2</w:t>
      </w:r>
      <w:r>
        <w:rPr>
          <w:rFonts w:hint="eastAsia" w:ascii="宋体" w:hAnsi="宋体" w:cs="宋体"/>
          <w:color w:val="auto"/>
          <w:kern w:val="0"/>
          <w:szCs w:val="21"/>
          <w:lang w:val="zh-CN"/>
        </w:rPr>
        <w:t>款</w:t>
      </w:r>
      <w:r>
        <w:rPr>
          <w:rFonts w:hint="eastAsia" w:ascii="宋体" w:hAnsi="宋体" w:cs="宋体"/>
          <w:color w:val="auto"/>
        </w:rPr>
        <w:t>情形</w:t>
      </w:r>
      <w:r>
        <w:rPr>
          <w:rFonts w:hint="eastAsia" w:ascii="宋体" w:hAnsi="宋体" w:cs="宋体"/>
          <w:bCs/>
          <w:color w:val="auto"/>
          <w:szCs w:val="21"/>
        </w:rPr>
        <w:t>进行。</w:t>
      </w:r>
    </w:p>
    <w:p>
      <w:pPr>
        <w:widowControl/>
        <w:adjustRightInd w:val="0"/>
        <w:snapToGrid w:val="0"/>
        <w:spacing w:line="360" w:lineRule="auto"/>
        <w:rPr>
          <w:rFonts w:ascii="宋体" w:hAnsi="宋体" w:cs="宋体"/>
          <w:b/>
          <w:color w:val="auto"/>
          <w:szCs w:val="21"/>
        </w:rPr>
      </w:pPr>
      <w:r>
        <w:rPr>
          <w:rFonts w:hint="eastAsia" w:ascii="宋体" w:hAnsi="宋体" w:cs="宋体"/>
          <w:b/>
          <w:color w:val="auto"/>
          <w:kern w:val="0"/>
          <w:szCs w:val="21"/>
        </w:rPr>
        <w:t>26.</w:t>
      </w:r>
      <w:r>
        <w:rPr>
          <w:rFonts w:hint="eastAsia" w:ascii="宋体" w:hAnsi="宋体" w:cs="宋体"/>
          <w:color w:val="auto"/>
        </w:rPr>
        <w:t xml:space="preserve"> </w:t>
      </w:r>
      <w:r>
        <w:rPr>
          <w:rFonts w:hint="eastAsia" w:ascii="宋体" w:hAnsi="宋体" w:cs="宋体"/>
          <w:b/>
          <w:color w:val="auto"/>
          <w:kern w:val="0"/>
          <w:szCs w:val="21"/>
        </w:rPr>
        <w:t>响应文件审查</w:t>
      </w:r>
      <w:r>
        <w:rPr>
          <w:rFonts w:hint="eastAsia" w:ascii="宋体" w:hAnsi="宋体" w:cs="宋体"/>
          <w:b/>
          <w:color w:val="auto"/>
          <w:szCs w:val="21"/>
        </w:rPr>
        <w:t xml:space="preserve">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26.1 资格性审查：根据本章第3.1项规定的供应商资格条件要求，对</w:t>
      </w:r>
      <w:r>
        <w:rPr>
          <w:rFonts w:hint="eastAsia" w:ascii="宋体" w:hAnsi="宋体" w:cs="宋体"/>
          <w:color w:val="auto"/>
        </w:rPr>
        <w:t>响应</w:t>
      </w:r>
      <w:r>
        <w:rPr>
          <w:rFonts w:hint="eastAsia" w:ascii="宋体" w:hAnsi="宋体" w:cs="宋体"/>
          <w:color w:val="auto"/>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26.3响应文件审查结束后，磋商小组所有成员集中与单一供应商分别进行磋商，并给予所有参加磋商的供应商平等的磋商机会。供应商应派其法定代表人或委托代理人参加磋商。</w:t>
      </w:r>
    </w:p>
    <w:p>
      <w:pPr>
        <w:pStyle w:val="24"/>
        <w:adjustRightInd w:val="0"/>
        <w:snapToGrid w:val="0"/>
        <w:spacing w:line="360" w:lineRule="auto"/>
        <w:rPr>
          <w:rFonts w:hAnsi="宋体" w:cs="宋体"/>
          <w:b/>
          <w:color w:val="auto"/>
          <w:kern w:val="0"/>
        </w:rPr>
      </w:pPr>
      <w:r>
        <w:rPr>
          <w:rFonts w:hint="eastAsia" w:hAnsi="宋体" w:cs="宋体"/>
          <w:b/>
          <w:color w:val="auto"/>
          <w:kern w:val="0"/>
        </w:rPr>
        <w:t>27.实质性响应</w:t>
      </w:r>
    </w:p>
    <w:p>
      <w:pPr>
        <w:pStyle w:val="24"/>
        <w:adjustRightInd w:val="0"/>
        <w:snapToGrid w:val="0"/>
        <w:spacing w:line="360" w:lineRule="auto"/>
        <w:ind w:firstLine="420" w:firstLineChars="200"/>
        <w:rPr>
          <w:rFonts w:hAnsi="宋体" w:cs="宋体"/>
          <w:color w:val="auto"/>
        </w:rPr>
      </w:pPr>
      <w:r>
        <w:rPr>
          <w:rFonts w:hint="eastAsia" w:hAnsi="宋体" w:cs="宋体"/>
          <w:color w:val="auto"/>
          <w:kern w:val="0"/>
        </w:rPr>
        <w:t>27.1</w:t>
      </w:r>
      <w:r>
        <w:rPr>
          <w:rFonts w:hint="eastAsia" w:hAnsi="宋体" w:cs="宋体"/>
          <w:color w:val="auto"/>
        </w:rPr>
        <w:t>实质性响应是指响应文件(包括首次响应文件、重新提交的响应文件)与磋商文件要求的所有条款、条件和规格相符，没有偏离。偏离指不满足、或不响应磋商文件的要求。</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27.2磋商文件中用“★”符号标明的条款为实质性要求和条件，对其中任何一条的偏离，在评标时将其视为投标无效。</w:t>
      </w:r>
    </w:p>
    <w:p>
      <w:pPr>
        <w:tabs>
          <w:tab w:val="left" w:pos="0"/>
          <w:tab w:val="left" w:pos="7560"/>
          <w:tab w:val="left" w:pos="7740"/>
          <w:tab w:val="left" w:pos="792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27.3</w:t>
      </w:r>
      <w:r>
        <w:rPr>
          <w:rFonts w:hint="eastAsia" w:ascii="宋体" w:hAnsi="宋体" w:cs="宋体"/>
          <w:color w:val="auto"/>
        </w:rPr>
        <w:t>响应文件是否实质性响应磋商文件要求由磋商小组依据磋商文件规定认定。</w:t>
      </w:r>
      <w:r>
        <w:rPr>
          <w:rFonts w:hint="eastAsia" w:ascii="宋体" w:hAnsi="宋体" w:cs="宋体"/>
          <w:color w:val="auto"/>
          <w:kern w:val="0"/>
          <w:szCs w:val="21"/>
        </w:rPr>
        <w:t>磋商小组</w:t>
      </w:r>
      <w:r>
        <w:rPr>
          <w:rFonts w:hint="eastAsia" w:ascii="宋体" w:hAnsi="宋体" w:cs="宋体"/>
          <w:color w:val="auto"/>
          <w:szCs w:val="21"/>
        </w:rPr>
        <w:t>决定</w:t>
      </w:r>
      <w:r>
        <w:rPr>
          <w:rFonts w:hint="eastAsia" w:ascii="宋体" w:hAnsi="宋体" w:cs="宋体"/>
          <w:color w:val="auto"/>
        </w:rPr>
        <w:t>响应文件</w:t>
      </w:r>
      <w:r>
        <w:rPr>
          <w:rFonts w:hint="eastAsia" w:ascii="宋体" w:hAnsi="宋体" w:cs="宋体"/>
          <w:color w:val="auto"/>
          <w:szCs w:val="21"/>
        </w:rPr>
        <w:t>的响应性只根据</w:t>
      </w:r>
      <w:r>
        <w:rPr>
          <w:rFonts w:hint="eastAsia" w:ascii="宋体" w:hAnsi="宋体" w:cs="宋体"/>
          <w:color w:val="auto"/>
        </w:rPr>
        <w:t>响应文件</w:t>
      </w:r>
      <w:r>
        <w:rPr>
          <w:rFonts w:hint="eastAsia" w:ascii="宋体" w:hAnsi="宋体" w:cs="宋体"/>
          <w:color w:val="auto"/>
          <w:szCs w:val="21"/>
        </w:rPr>
        <w:t>本身的真实无误的内容，而不依据外部的证据。</w:t>
      </w:r>
    </w:p>
    <w:p>
      <w:pPr>
        <w:pStyle w:val="24"/>
        <w:adjustRightInd w:val="0"/>
        <w:snapToGrid w:val="0"/>
        <w:spacing w:line="360" w:lineRule="auto"/>
        <w:rPr>
          <w:rFonts w:hAnsi="宋体" w:cs="宋体"/>
          <w:b/>
          <w:color w:val="auto"/>
          <w:kern w:val="0"/>
        </w:rPr>
      </w:pPr>
      <w:r>
        <w:rPr>
          <w:rFonts w:hint="eastAsia" w:hAnsi="宋体" w:cs="宋体"/>
          <w:b/>
          <w:color w:val="auto"/>
          <w:kern w:val="0"/>
        </w:rPr>
        <w:t xml:space="preserve">28.无效响应 </w:t>
      </w:r>
    </w:p>
    <w:p>
      <w:pPr>
        <w:pStyle w:val="24"/>
        <w:adjustRightInd w:val="0"/>
        <w:snapToGrid w:val="0"/>
        <w:spacing w:line="360" w:lineRule="auto"/>
        <w:ind w:firstLine="411" w:firstLineChars="196"/>
        <w:rPr>
          <w:rFonts w:hAnsi="宋体" w:cs="宋体"/>
          <w:b/>
          <w:color w:val="auto"/>
          <w:kern w:val="0"/>
        </w:rPr>
      </w:pPr>
      <w:r>
        <w:rPr>
          <w:rFonts w:hint="eastAsia" w:hAnsi="宋体" w:cs="宋体"/>
          <w:color w:val="auto"/>
          <w:kern w:val="0"/>
        </w:rPr>
        <w:t>28.1</w:t>
      </w:r>
      <w:r>
        <w:rPr>
          <w:rFonts w:hint="eastAsia" w:hAnsi="宋体" w:cs="宋体"/>
          <w:color w:val="auto"/>
        </w:rPr>
        <w:t>磋商小组在对资格性和符合性进行审查时，有下列情况之一的，属无效响应，</w:t>
      </w:r>
      <w:r>
        <w:rPr>
          <w:rFonts w:hint="eastAsia" w:hAnsi="宋体" w:cs="宋体"/>
          <w:color w:val="auto"/>
          <w:kern w:val="0"/>
        </w:rPr>
        <w:t>磋商小组应当告知有关供应商</w:t>
      </w:r>
      <w:r>
        <w:rPr>
          <w:rFonts w:hint="eastAsia" w:hAnsi="宋体" w:cs="宋体"/>
          <w:color w:val="auto"/>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（2）联合体不符合本章第3.2款规定的；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（4）响应文件未按照磋商文件要求签署、盖章的；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（4）响应文件不满足本章第27.1、27.2款规定的实质性要求的；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（5）响应文件有效期不足的；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（6）响应文件不符合法律、规章、规范性文件和磋商文件规定及要求的。</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29.澄清</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30.磋商</w:t>
      </w:r>
    </w:p>
    <w:p>
      <w:pPr>
        <w:widowControl/>
        <w:adjustRightInd w:val="0"/>
        <w:snapToGrid w:val="0"/>
        <w:spacing w:line="360" w:lineRule="auto"/>
        <w:ind w:firstLine="420"/>
        <w:jc w:val="left"/>
        <w:rPr>
          <w:rFonts w:ascii="宋体" w:hAnsi="宋体" w:cs="宋体"/>
          <w:color w:val="auto"/>
          <w:kern w:val="0"/>
          <w:szCs w:val="21"/>
          <w:lang w:val="zh-CN"/>
        </w:rPr>
      </w:pPr>
      <w:r>
        <w:rPr>
          <w:rFonts w:hint="eastAsia" w:ascii="宋体" w:hAnsi="宋体" w:cs="宋体"/>
          <w:color w:val="auto"/>
          <w:kern w:val="0"/>
          <w:szCs w:val="21"/>
        </w:rPr>
        <w:t>30.1</w:t>
      </w:r>
      <w:r>
        <w:rPr>
          <w:rFonts w:hint="eastAsia" w:ascii="宋体" w:hAnsi="宋体" w:cs="宋体"/>
          <w:color w:val="auto"/>
        </w:rPr>
        <w:t>本章第10.2项</w:t>
      </w:r>
      <w:r>
        <w:rPr>
          <w:rFonts w:hint="eastAsia" w:ascii="宋体" w:hAnsi="宋体" w:cs="宋体"/>
          <w:color w:val="auto"/>
          <w:kern w:val="0"/>
          <w:szCs w:val="21"/>
        </w:rPr>
        <w:t>未明确磋商文件实质性变动内容的，或者磋商文件明确了可能发生实质性变动内容，但在磋商过程中，</w:t>
      </w:r>
      <w:r>
        <w:rPr>
          <w:rFonts w:hint="eastAsia" w:ascii="宋体" w:hAnsi="宋体" w:cs="宋体"/>
          <w:bCs/>
          <w:color w:val="auto"/>
          <w:szCs w:val="21"/>
        </w:rPr>
        <w:t>磋商小组</w:t>
      </w:r>
      <w:r>
        <w:rPr>
          <w:rFonts w:hint="eastAsia" w:ascii="宋体" w:hAnsi="宋体" w:cs="宋体"/>
          <w:color w:val="auto"/>
          <w:kern w:val="0"/>
          <w:szCs w:val="21"/>
        </w:rPr>
        <w:t>根据磋商情况</w:t>
      </w:r>
      <w:r>
        <w:rPr>
          <w:rFonts w:hint="eastAsia" w:ascii="宋体" w:hAnsi="宋体" w:cs="宋体"/>
          <w:bCs/>
          <w:color w:val="auto"/>
          <w:szCs w:val="21"/>
        </w:rPr>
        <w:t>认为</w:t>
      </w:r>
      <w:r>
        <w:rPr>
          <w:rFonts w:hint="eastAsia" w:ascii="宋体" w:hAnsi="宋体" w:cs="宋体"/>
          <w:color w:val="auto"/>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（2）磋商文件明确可能发生实质性变动，但在磋商过程中</w:t>
      </w:r>
      <w:r>
        <w:rPr>
          <w:rFonts w:hint="eastAsia" w:ascii="宋体" w:hAnsi="宋体" w:cs="宋体"/>
          <w:bCs/>
          <w:color w:val="auto"/>
          <w:szCs w:val="21"/>
        </w:rPr>
        <w:t>磋商小组</w:t>
      </w:r>
      <w:r>
        <w:rPr>
          <w:rFonts w:hint="eastAsia" w:ascii="宋体" w:hAnsi="宋体" w:cs="宋体"/>
          <w:color w:val="auto"/>
          <w:kern w:val="0"/>
          <w:szCs w:val="21"/>
        </w:rPr>
        <w:t>根据磋商情况</w:t>
      </w:r>
      <w:r>
        <w:rPr>
          <w:rFonts w:hint="eastAsia" w:ascii="宋体" w:hAnsi="宋体" w:cs="宋体"/>
          <w:bCs/>
          <w:color w:val="auto"/>
          <w:szCs w:val="21"/>
        </w:rPr>
        <w:t>认为</w:t>
      </w:r>
      <w:r>
        <w:rPr>
          <w:rFonts w:hint="eastAsia" w:ascii="宋体" w:hAnsi="宋体" w:cs="宋体"/>
          <w:color w:val="auto"/>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30.2</w:t>
      </w:r>
      <w:r>
        <w:rPr>
          <w:rFonts w:hint="eastAsia" w:ascii="宋体" w:hAnsi="宋体" w:cs="宋体"/>
          <w:color w:val="auto"/>
        </w:rPr>
        <w:t>本章第10.2</w:t>
      </w:r>
      <w:r>
        <w:rPr>
          <w:rFonts w:hint="eastAsia" w:ascii="宋体" w:hAnsi="宋体" w:cs="宋体"/>
          <w:color w:val="auto"/>
          <w:kern w:val="0"/>
          <w:szCs w:val="21"/>
          <w:lang w:val="zh-CN"/>
        </w:rPr>
        <w:t>款</w:t>
      </w:r>
      <w:r>
        <w:rPr>
          <w:rFonts w:hint="eastAsia" w:ascii="宋体" w:hAnsi="宋体" w:cs="宋体"/>
          <w:color w:val="auto"/>
          <w:kern w:val="0"/>
          <w:szCs w:val="21"/>
        </w:rPr>
        <w:t>明确磋商文件实质性变动内容的，</w:t>
      </w:r>
      <w:r>
        <w:rPr>
          <w:rFonts w:hint="eastAsia" w:ascii="宋体" w:hAnsi="宋体" w:cs="宋体"/>
          <w:bCs/>
          <w:color w:val="auto"/>
          <w:szCs w:val="21"/>
        </w:rPr>
        <w:t>磋商小组</w:t>
      </w:r>
      <w:r>
        <w:rPr>
          <w:rFonts w:hint="eastAsia" w:ascii="宋体" w:hAnsi="宋体" w:cs="宋体"/>
          <w:color w:val="auto"/>
          <w:kern w:val="0"/>
          <w:szCs w:val="21"/>
        </w:rPr>
        <w:t>可以组织多轮磋商。</w:t>
      </w:r>
      <w:r>
        <w:rPr>
          <w:rFonts w:hint="eastAsia" w:ascii="宋体" w:hAnsi="宋体" w:cs="宋体"/>
          <w:bCs/>
          <w:color w:val="auto"/>
          <w:szCs w:val="21"/>
        </w:rPr>
        <w:t>在每一轮磋商中，磋商小组</w:t>
      </w:r>
      <w:r>
        <w:rPr>
          <w:rFonts w:hint="eastAsia" w:ascii="宋体" w:hAnsi="宋体" w:cs="宋体"/>
          <w:color w:val="auto"/>
          <w:kern w:val="0"/>
          <w:szCs w:val="21"/>
        </w:rPr>
        <w:t>可以根据磋商文件规定和磋商情况，</w:t>
      </w:r>
      <w:r>
        <w:rPr>
          <w:rFonts w:hint="eastAsia" w:ascii="宋体" w:hAnsi="宋体" w:cs="宋体"/>
          <w:bCs/>
          <w:color w:val="auto"/>
          <w:szCs w:val="21"/>
        </w:rPr>
        <w:t>对磋商文件的</w:t>
      </w:r>
      <w:r>
        <w:rPr>
          <w:rFonts w:hint="eastAsia" w:ascii="宋体" w:hAnsi="宋体" w:cs="宋体"/>
          <w:color w:val="auto"/>
          <w:kern w:val="0"/>
          <w:szCs w:val="21"/>
        </w:rPr>
        <w:t>采购需求中的技术、服务要求以及合同草案条款</w:t>
      </w:r>
      <w:r>
        <w:rPr>
          <w:rFonts w:hint="eastAsia" w:ascii="宋体" w:hAnsi="宋体" w:cs="宋体"/>
          <w:bCs/>
          <w:color w:val="auto"/>
          <w:szCs w:val="21"/>
        </w:rPr>
        <w:t>作实质性变动(磋商文件的实质性变动内容为磋商文件的组成部分)，并以书面形式要求</w:t>
      </w:r>
      <w:r>
        <w:rPr>
          <w:rFonts w:hint="eastAsia" w:ascii="宋体" w:hAnsi="宋体" w:cs="宋体"/>
          <w:color w:val="auto"/>
          <w:kern w:val="0"/>
          <w:szCs w:val="21"/>
        </w:rPr>
        <w:t>响应文件审查合格</w:t>
      </w:r>
      <w:r>
        <w:rPr>
          <w:rFonts w:hint="eastAsia" w:ascii="宋体" w:hAnsi="宋体" w:cs="宋体"/>
          <w:bCs/>
          <w:color w:val="auto"/>
          <w:szCs w:val="21"/>
        </w:rPr>
        <w:t>的供应商，在规定的</w:t>
      </w:r>
      <w:r>
        <w:rPr>
          <w:rFonts w:hint="eastAsia" w:ascii="宋体" w:hAnsi="宋体" w:cs="宋体"/>
          <w:color w:val="auto"/>
          <w:kern w:val="0"/>
          <w:szCs w:val="21"/>
        </w:rPr>
        <w:t>截止时间前</w:t>
      </w:r>
      <w:r>
        <w:rPr>
          <w:rFonts w:hint="eastAsia" w:ascii="宋体" w:hAnsi="宋体" w:cs="宋体"/>
          <w:bCs/>
          <w:color w:val="auto"/>
          <w:szCs w:val="21"/>
        </w:rPr>
        <w:t>重</w:t>
      </w:r>
      <w:r>
        <w:rPr>
          <w:rFonts w:hint="eastAsia" w:ascii="宋体" w:hAnsi="宋体" w:cs="宋体"/>
          <w:color w:val="auto"/>
          <w:kern w:val="0"/>
          <w:szCs w:val="21"/>
        </w:rPr>
        <w:t>新提交响应文件</w:t>
      </w:r>
      <w:r>
        <w:rPr>
          <w:rFonts w:hint="eastAsia" w:ascii="宋体" w:hAnsi="宋体" w:cs="宋体"/>
          <w:bCs/>
          <w:color w:val="auto"/>
          <w:szCs w:val="21"/>
        </w:rPr>
        <w:t>。</w:t>
      </w:r>
      <w:r>
        <w:rPr>
          <w:rFonts w:hint="eastAsia" w:ascii="宋体" w:hAnsi="宋体" w:cs="宋体"/>
          <w:color w:val="auto"/>
          <w:kern w:val="0"/>
          <w:szCs w:val="21"/>
        </w:rPr>
        <w:t>磋商小组应当</w:t>
      </w:r>
      <w:r>
        <w:rPr>
          <w:rFonts w:hint="eastAsia" w:ascii="宋体" w:hAnsi="宋体" w:cs="宋体"/>
          <w:color w:val="auto"/>
          <w:szCs w:val="21"/>
        </w:rPr>
        <w:t>根据本章第26.2</w:t>
      </w:r>
      <w:r>
        <w:rPr>
          <w:rFonts w:hint="eastAsia" w:ascii="宋体" w:hAnsi="宋体" w:cs="宋体"/>
          <w:color w:val="auto"/>
          <w:kern w:val="0"/>
          <w:szCs w:val="21"/>
          <w:lang w:val="zh-CN"/>
        </w:rPr>
        <w:t>款</w:t>
      </w:r>
      <w:r>
        <w:rPr>
          <w:rFonts w:hint="eastAsia" w:ascii="宋体" w:hAnsi="宋体" w:cs="宋体"/>
          <w:color w:val="auto"/>
          <w:szCs w:val="21"/>
        </w:rPr>
        <w:t>规定</w:t>
      </w:r>
      <w:r>
        <w:rPr>
          <w:rFonts w:hint="eastAsia" w:ascii="宋体" w:hAnsi="宋体" w:cs="宋体"/>
          <w:color w:val="auto"/>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bCs/>
          <w:color w:val="auto"/>
          <w:szCs w:val="21"/>
        </w:rPr>
        <w:t>30.3</w:t>
      </w:r>
      <w:r>
        <w:rPr>
          <w:rFonts w:hint="eastAsia" w:ascii="宋体" w:hAnsi="宋体" w:cs="宋体"/>
          <w:color w:val="auto"/>
        </w:rPr>
        <w:t xml:space="preserve"> </w:t>
      </w:r>
      <w:r>
        <w:rPr>
          <w:rFonts w:hint="eastAsia" w:ascii="宋体" w:hAnsi="宋体" w:cs="宋体"/>
          <w:bCs/>
          <w:color w:val="auto"/>
        </w:rPr>
        <w:t>重</w:t>
      </w:r>
      <w:r>
        <w:rPr>
          <w:rFonts w:hint="eastAsia" w:ascii="宋体" w:hAnsi="宋体" w:cs="宋体"/>
          <w:color w:val="auto"/>
          <w:kern w:val="0"/>
        </w:rPr>
        <w:t>新提交的响应文件</w:t>
      </w:r>
      <w:r>
        <w:rPr>
          <w:rFonts w:hint="eastAsia" w:ascii="宋体" w:hAnsi="宋体" w:cs="宋体"/>
          <w:color w:val="auto"/>
        </w:rPr>
        <w:t>或者最后报价应按</w:t>
      </w:r>
      <w:r>
        <w:rPr>
          <w:rFonts w:hint="eastAsia" w:ascii="宋体" w:hAnsi="宋体" w:cs="宋体"/>
          <w:color w:val="auto"/>
          <w:kern w:val="0"/>
          <w:szCs w:val="21"/>
        </w:rPr>
        <w:t>本章第</w:t>
      </w:r>
      <w:r>
        <w:rPr>
          <w:rFonts w:hint="eastAsia" w:ascii="宋体" w:hAnsi="宋体" w:cs="宋体"/>
          <w:color w:val="auto"/>
        </w:rPr>
        <w:t>21.3</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由其法定代表人或其委托代理人签字或者加盖</w:t>
      </w:r>
      <w:r>
        <w:rPr>
          <w:rFonts w:hint="eastAsia" w:ascii="宋体" w:hAnsi="宋体" w:cs="宋体"/>
          <w:color w:val="auto"/>
          <w:kern w:val="0"/>
        </w:rPr>
        <w:t>供应商单位</w:t>
      </w:r>
      <w:r>
        <w:rPr>
          <w:rFonts w:hint="eastAsia" w:ascii="宋体" w:hAnsi="宋体" w:cs="宋体"/>
          <w:color w:val="auto"/>
          <w:kern w:val="0"/>
          <w:szCs w:val="21"/>
        </w:rPr>
        <w:t>章，在规定时间内密封递交给磋商小组</w:t>
      </w:r>
      <w:r>
        <w:rPr>
          <w:rFonts w:hint="eastAsia" w:ascii="宋体" w:hAnsi="宋体" w:cs="宋体"/>
          <w:bCs/>
          <w:color w:val="auto"/>
          <w:szCs w:val="21"/>
        </w:rPr>
        <w:t>。</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30.4</w:t>
      </w:r>
      <w:r>
        <w:rPr>
          <w:rFonts w:hint="eastAsia" w:ascii="宋体" w:hAnsi="宋体" w:cs="宋体"/>
          <w:color w:val="auto"/>
          <w:kern w:val="0"/>
          <w:szCs w:val="21"/>
          <w:lang w:val="zh-CN"/>
        </w:rPr>
        <w:t>供应商的</w:t>
      </w:r>
      <w:r>
        <w:rPr>
          <w:rFonts w:hint="eastAsia" w:ascii="宋体" w:hAnsi="宋体" w:cs="宋体"/>
          <w:bCs/>
          <w:color w:val="auto"/>
          <w:szCs w:val="21"/>
        </w:rPr>
        <w:t>最</w:t>
      </w:r>
      <w:r>
        <w:rPr>
          <w:rFonts w:hint="eastAsia" w:ascii="宋体" w:hAnsi="宋体" w:cs="宋体"/>
          <w:color w:val="auto"/>
          <w:kern w:val="0"/>
          <w:szCs w:val="21"/>
          <w:lang w:val="zh-CN"/>
        </w:rPr>
        <w:t>后</w:t>
      </w:r>
      <w:r>
        <w:rPr>
          <w:rFonts w:hint="eastAsia" w:ascii="宋体" w:hAnsi="宋体" w:cs="宋体"/>
          <w:bCs/>
          <w:color w:val="auto"/>
          <w:szCs w:val="21"/>
        </w:rPr>
        <w:t>报价及</w:t>
      </w:r>
      <w:r>
        <w:rPr>
          <w:rFonts w:hint="eastAsia" w:ascii="宋体" w:hAnsi="宋体" w:cs="宋体"/>
          <w:color w:val="auto"/>
          <w:kern w:val="0"/>
          <w:szCs w:val="21"/>
        </w:rPr>
        <w:t>采购政策规定的价格扣除情况，磋商小组应召集所有参加最后报价的供应商当场开封</w:t>
      </w:r>
      <w:r>
        <w:rPr>
          <w:rFonts w:hint="eastAsia" w:ascii="宋体" w:hAnsi="宋体" w:cs="宋体"/>
          <w:bCs/>
          <w:color w:val="auto"/>
          <w:szCs w:val="21"/>
        </w:rPr>
        <w:t>公布，并由供应商代表签字确认。</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30.5提交首次响应文件的供应商，在提交最后报价之前，可以根据磋商情况退出磋商，</w:t>
      </w:r>
      <w:r>
        <w:rPr>
          <w:rFonts w:hint="eastAsia" w:ascii="宋体" w:hAnsi="宋体" w:cs="宋体"/>
          <w:color w:val="auto"/>
          <w:kern w:val="0"/>
        </w:rPr>
        <w:t>并书面通知采购代理机构或者磋商小组。</w:t>
      </w:r>
      <w:r>
        <w:rPr>
          <w:rFonts w:hint="eastAsia" w:ascii="宋体" w:hAnsi="宋体" w:cs="宋体"/>
          <w:color w:val="auto"/>
        </w:rPr>
        <w:t>该通知由供应商法定代表人或其委托代理人签字。</w:t>
      </w:r>
      <w:r>
        <w:rPr>
          <w:rFonts w:hint="eastAsia" w:ascii="宋体" w:hAnsi="宋体" w:cs="宋体"/>
          <w:color w:val="auto"/>
          <w:kern w:val="0"/>
          <w:szCs w:val="21"/>
        </w:rPr>
        <w:t>采购代理机构</w:t>
      </w:r>
      <w:r>
        <w:rPr>
          <w:rFonts w:hint="eastAsia" w:ascii="宋体" w:hAnsi="宋体" w:cs="宋体"/>
          <w:color w:val="auto"/>
          <w:kern w:val="0"/>
        </w:rPr>
        <w:t>按</w:t>
      </w:r>
      <w:r>
        <w:rPr>
          <w:rFonts w:hint="eastAsia" w:ascii="宋体" w:hAnsi="宋体" w:cs="宋体"/>
          <w:color w:val="auto"/>
          <w:kern w:val="0"/>
          <w:szCs w:val="21"/>
        </w:rPr>
        <w:t>本章第</w:t>
      </w:r>
      <w:r>
        <w:rPr>
          <w:rFonts w:hint="eastAsia" w:ascii="宋体" w:hAnsi="宋体" w:cs="宋体"/>
          <w:color w:val="auto"/>
        </w:rPr>
        <w:t>19.4</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退还退出磋商的供应商的磋商保证金。</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bCs/>
          <w:color w:val="auto"/>
          <w:szCs w:val="21"/>
        </w:rPr>
        <w:t>30.6</w:t>
      </w:r>
      <w:r>
        <w:rPr>
          <w:rFonts w:hint="eastAsia" w:ascii="宋体" w:hAnsi="宋体" w:cs="宋体"/>
          <w:color w:val="auto"/>
          <w:kern w:val="0"/>
          <w:szCs w:val="21"/>
        </w:rPr>
        <w:t>提交首次响应文件的供应商，未按磋商文件规定及磋商小组要求提交最后报价(或者</w:t>
      </w:r>
      <w:r>
        <w:rPr>
          <w:rFonts w:hint="eastAsia" w:ascii="宋体" w:hAnsi="宋体" w:cs="宋体"/>
          <w:bCs/>
          <w:color w:val="auto"/>
          <w:szCs w:val="21"/>
        </w:rPr>
        <w:t>重</w:t>
      </w:r>
      <w:r>
        <w:rPr>
          <w:rFonts w:hint="eastAsia" w:ascii="宋体" w:hAnsi="宋体" w:cs="宋体"/>
          <w:color w:val="auto"/>
          <w:kern w:val="0"/>
          <w:szCs w:val="21"/>
        </w:rPr>
        <w:t>新提交的响应文件和最后报价)，且又</w:t>
      </w:r>
      <w:r>
        <w:rPr>
          <w:rFonts w:hint="eastAsia" w:ascii="宋体" w:hAnsi="宋体" w:cs="宋体"/>
          <w:color w:val="auto"/>
          <w:kern w:val="0"/>
        </w:rPr>
        <w:t>未按</w:t>
      </w:r>
      <w:r>
        <w:rPr>
          <w:rFonts w:hint="eastAsia" w:ascii="宋体" w:hAnsi="宋体" w:cs="宋体"/>
          <w:color w:val="auto"/>
          <w:kern w:val="0"/>
          <w:szCs w:val="21"/>
        </w:rPr>
        <w:t>本章第</w:t>
      </w:r>
      <w:r>
        <w:rPr>
          <w:rFonts w:hint="eastAsia" w:ascii="宋体" w:hAnsi="宋体" w:cs="宋体"/>
          <w:color w:val="auto"/>
        </w:rPr>
        <w:t>30.5</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退出磋商的，供应商的磋商保证金不予退还。</w:t>
      </w:r>
    </w:p>
    <w:p>
      <w:pPr>
        <w:widowControl/>
        <w:adjustRightInd w:val="0"/>
        <w:snapToGrid w:val="0"/>
        <w:spacing w:line="360" w:lineRule="auto"/>
        <w:jc w:val="left"/>
        <w:rPr>
          <w:rFonts w:ascii="宋体" w:hAnsi="宋体" w:cs="宋体"/>
          <w:b/>
          <w:bCs/>
          <w:color w:val="auto"/>
          <w:szCs w:val="21"/>
        </w:rPr>
      </w:pPr>
      <w:r>
        <w:rPr>
          <w:rFonts w:hint="eastAsia" w:ascii="宋体" w:hAnsi="宋体" w:cs="宋体"/>
          <w:b/>
          <w:color w:val="auto"/>
          <w:kern w:val="0"/>
          <w:szCs w:val="21"/>
        </w:rPr>
        <w:t>31.响应文件评审</w:t>
      </w:r>
    </w:p>
    <w:p>
      <w:pPr>
        <w:widowControl/>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color w:val="auto"/>
          <w:szCs w:val="21"/>
        </w:rPr>
        <w:t>磋商须知前附表。</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bCs/>
          <w:color w:val="auto"/>
          <w:szCs w:val="21"/>
        </w:rPr>
        <w:t>31.3</w:t>
      </w:r>
      <w:r>
        <w:rPr>
          <w:rFonts w:hint="eastAsia" w:ascii="宋体" w:hAnsi="宋体" w:cs="宋体"/>
          <w:color w:val="auto"/>
          <w:szCs w:val="21"/>
        </w:rPr>
        <w:t>涉及采购政策优惠对供应商分值进行调整的，</w:t>
      </w:r>
      <w:r>
        <w:rPr>
          <w:rFonts w:hint="eastAsia" w:ascii="宋体" w:hAnsi="宋体" w:cs="宋体"/>
          <w:bCs/>
          <w:color w:val="auto"/>
          <w:szCs w:val="21"/>
        </w:rPr>
        <w:t>按</w:t>
      </w:r>
      <w:r>
        <w:rPr>
          <w:rFonts w:hint="eastAsia" w:ascii="宋体" w:hAnsi="宋体" w:cs="宋体"/>
          <w:b/>
          <w:color w:val="auto"/>
          <w:szCs w:val="21"/>
        </w:rPr>
        <w:t>磋商须知前附表</w:t>
      </w:r>
      <w:r>
        <w:rPr>
          <w:rFonts w:hint="eastAsia" w:ascii="宋体" w:hAnsi="宋体" w:cs="宋体"/>
          <w:bCs/>
          <w:color w:val="auto"/>
          <w:szCs w:val="21"/>
        </w:rPr>
        <w:t>规定</w:t>
      </w:r>
      <w:r>
        <w:rPr>
          <w:rFonts w:hint="eastAsia" w:ascii="宋体" w:hAnsi="宋体" w:cs="宋体"/>
          <w:color w:val="auto"/>
          <w:szCs w:val="21"/>
        </w:rPr>
        <w:t>调整供应商的技术、商务、价格</w:t>
      </w:r>
      <w:r>
        <w:rPr>
          <w:rFonts w:hint="eastAsia" w:ascii="宋体" w:hAnsi="宋体" w:cs="宋体"/>
          <w:color w:val="auto"/>
          <w:kern w:val="0"/>
          <w:szCs w:val="21"/>
        </w:rPr>
        <w:t>得分或总得分</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31.4涉及多处或部分获得采购政策优惠的，其多处或部分享受采购优惠政策的计算方法见</w:t>
      </w:r>
      <w:r>
        <w:rPr>
          <w:rFonts w:hint="eastAsia" w:ascii="宋体" w:hAnsi="宋体" w:cs="宋体"/>
          <w:b/>
          <w:color w:val="auto"/>
          <w:szCs w:val="21"/>
        </w:rPr>
        <w:t>磋商须知前附表</w:t>
      </w:r>
      <w:r>
        <w:rPr>
          <w:rFonts w:hint="eastAsia" w:ascii="宋体" w:hAnsi="宋体" w:cs="宋体"/>
          <w:color w:val="auto"/>
          <w:szCs w:val="21"/>
        </w:rPr>
        <w:t>相关规定。</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rPr>
        <w:t>31.5</w:t>
      </w:r>
      <w:r>
        <w:rPr>
          <w:rFonts w:hint="eastAsia" w:ascii="宋体" w:hAnsi="宋体" w:cs="宋体"/>
          <w:color w:val="auto"/>
          <w:szCs w:val="21"/>
        </w:rPr>
        <w:t>评审时，磋商小组各成员应当独立对每个供应商的</w:t>
      </w:r>
      <w:r>
        <w:rPr>
          <w:rFonts w:hint="eastAsia" w:ascii="宋体" w:hAnsi="宋体" w:cs="宋体"/>
          <w:bCs/>
          <w:color w:val="auto"/>
          <w:szCs w:val="21"/>
        </w:rPr>
        <w:t>响应文件</w:t>
      </w:r>
      <w:r>
        <w:rPr>
          <w:rFonts w:hint="eastAsia" w:ascii="宋体" w:hAnsi="宋体" w:cs="宋体"/>
          <w:color w:val="auto"/>
          <w:szCs w:val="21"/>
        </w:rPr>
        <w:t>进行评价、评分，并按照采购优惠政策对技术、商务加分后，汇总各供应商的总得分。</w:t>
      </w:r>
    </w:p>
    <w:p>
      <w:pPr>
        <w:widowControl/>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32</w:t>
      </w:r>
      <w:r>
        <w:rPr>
          <w:rFonts w:hint="eastAsia" w:ascii="宋体" w:hAnsi="宋体" w:cs="宋体"/>
          <w:b/>
          <w:color w:val="auto"/>
          <w:kern w:val="0"/>
          <w:szCs w:val="21"/>
        </w:rPr>
        <w:t>.</w:t>
      </w:r>
      <w:r>
        <w:rPr>
          <w:rFonts w:hint="eastAsia" w:ascii="宋体" w:hAnsi="宋体" w:cs="宋体"/>
          <w:b/>
          <w:bCs/>
          <w:color w:val="auto"/>
          <w:szCs w:val="21"/>
        </w:rPr>
        <w:t>提出成交供应商</w:t>
      </w:r>
    </w:p>
    <w:p>
      <w:pPr>
        <w:widowControl/>
        <w:spacing w:line="360" w:lineRule="auto"/>
        <w:rPr>
          <w:rFonts w:ascii="宋体" w:hAnsi="宋体" w:cs="宋体"/>
          <w:bCs/>
          <w:color w:val="auto"/>
          <w:szCs w:val="21"/>
        </w:rPr>
      </w:pPr>
      <w:r>
        <w:rPr>
          <w:rFonts w:hint="eastAsia" w:ascii="宋体" w:hAnsi="宋体" w:cs="宋体"/>
          <w:color w:val="auto"/>
          <w:kern w:val="0"/>
          <w:szCs w:val="21"/>
        </w:rPr>
        <w:t xml:space="preserve">    32.1</w:t>
      </w:r>
      <w:r>
        <w:rPr>
          <w:rFonts w:hint="eastAsia" w:ascii="宋体" w:hAnsi="宋体" w:cs="宋体"/>
          <w:bCs/>
          <w:color w:val="auto"/>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auto"/>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color w:val="auto"/>
          <w:szCs w:val="21"/>
        </w:rPr>
        <w:t>可以推荐2家成交候选供应商。</w:t>
      </w:r>
    </w:p>
    <w:p>
      <w:pPr>
        <w:tabs>
          <w:tab w:val="left" w:pos="0"/>
        </w:tabs>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33.确定成交供应商</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4"/>
        <w:adjustRightInd w:val="0"/>
        <w:snapToGrid w:val="0"/>
        <w:spacing w:line="360" w:lineRule="auto"/>
        <w:ind w:left="632" w:hanging="632" w:hangingChars="300"/>
        <w:rPr>
          <w:rFonts w:hAnsi="宋体" w:cs="宋体"/>
          <w:b/>
          <w:color w:val="auto"/>
        </w:rPr>
      </w:pPr>
      <w:r>
        <w:rPr>
          <w:rFonts w:hint="eastAsia" w:hAnsi="宋体" w:cs="宋体"/>
          <w:b/>
          <w:color w:val="auto"/>
        </w:rPr>
        <w:t>34.磋商终止</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bCs/>
          <w:color w:val="auto"/>
          <w:szCs w:val="21"/>
        </w:rPr>
        <w:t>34.1</w:t>
      </w:r>
      <w:r>
        <w:rPr>
          <w:rFonts w:hint="eastAsia" w:ascii="宋体" w:hAnsi="宋体" w:cs="宋体"/>
          <w:color w:val="auto"/>
          <w:kern w:val="0"/>
          <w:szCs w:val="21"/>
        </w:rPr>
        <w:t>出现下列情形之一的，采购人或者采购代理机构应当终止竞争性磋商采购活动，</w:t>
      </w:r>
      <w:r>
        <w:rPr>
          <w:rFonts w:hint="eastAsia" w:ascii="宋体" w:hAnsi="宋体" w:cs="宋体"/>
          <w:color w:val="auto"/>
        </w:rPr>
        <w:t>在本章第37.1款指定的媒体上</w:t>
      </w:r>
      <w:r>
        <w:rPr>
          <w:rFonts w:hint="eastAsia" w:ascii="宋体" w:hAnsi="宋体" w:cs="宋体"/>
          <w:color w:val="auto"/>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（2）出现影响采购公正的违法、违规行为的；</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（3）</w:t>
      </w:r>
      <w:r>
        <w:rPr>
          <w:rFonts w:hint="eastAsia" w:ascii="宋体" w:hAnsi="宋体" w:cs="宋体"/>
          <w:bCs/>
          <w:color w:val="auto"/>
          <w:szCs w:val="21"/>
        </w:rPr>
        <w:t>除《政府采购竞争性磋商采购方式管理暂行办法》(财库〔2014〕214号)</w:t>
      </w:r>
      <w:r>
        <w:rPr>
          <w:rFonts w:hint="eastAsia" w:ascii="宋体" w:hAnsi="宋体" w:cs="宋体"/>
          <w:color w:val="auto"/>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color w:val="auto"/>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（4）因重大变故，采购任务取消的。</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35．重新评审</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36.保密及串通行为</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36.2</w:t>
      </w:r>
      <w:r>
        <w:rPr>
          <w:rFonts w:hint="eastAsia" w:ascii="宋体" w:hAnsi="宋体" w:cs="宋体"/>
          <w:color w:val="auto"/>
          <w:kern w:val="0"/>
          <w:szCs w:val="21"/>
        </w:rPr>
        <w:t>供应商</w:t>
      </w:r>
      <w:r>
        <w:rPr>
          <w:rFonts w:hint="eastAsia" w:ascii="宋体" w:hAnsi="宋体" w:cs="宋体"/>
          <w:color w:val="auto"/>
          <w:szCs w:val="21"/>
        </w:rPr>
        <w:t>不得与</w:t>
      </w:r>
      <w:r>
        <w:rPr>
          <w:rFonts w:hint="eastAsia" w:ascii="宋体" w:hAnsi="宋体" w:cs="宋体"/>
          <w:color w:val="auto"/>
          <w:kern w:val="0"/>
          <w:szCs w:val="21"/>
        </w:rPr>
        <w:t>采购人、采购代理机构、其它供应商恶意</w:t>
      </w:r>
      <w:r>
        <w:rPr>
          <w:rFonts w:hint="eastAsia" w:ascii="宋体" w:hAnsi="宋体" w:cs="宋体"/>
          <w:color w:val="auto"/>
          <w:szCs w:val="21"/>
        </w:rPr>
        <w:t>串通；不得向</w:t>
      </w:r>
      <w:r>
        <w:rPr>
          <w:rFonts w:hint="eastAsia" w:ascii="宋体" w:hAnsi="宋体" w:cs="宋体"/>
          <w:color w:val="auto"/>
          <w:kern w:val="0"/>
          <w:szCs w:val="21"/>
        </w:rPr>
        <w:t>采购人、采购代理机构</w:t>
      </w:r>
      <w:r>
        <w:rPr>
          <w:rFonts w:hint="eastAsia" w:ascii="宋体" w:hAnsi="宋体" w:cs="宋体"/>
          <w:color w:val="auto"/>
          <w:szCs w:val="21"/>
        </w:rPr>
        <w:t>或者磋商小组成员行贿或者提供其它不正当利益；不得提供虚假资料谋取成交；不得以任何方式干扰、影响采购工作。</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rPr>
        <w:t>36.3</w:t>
      </w:r>
      <w:r>
        <w:rPr>
          <w:rFonts w:hint="eastAsia"/>
          <w:color w:val="auto"/>
          <w:sz w:val="21"/>
          <w:szCs w:val="21"/>
          <w:lang w:val="zh-CN"/>
        </w:rPr>
        <w:t>有下列情形之一的，属于恶意串通，对供应商依照政府采购法第七十七条第一款的规定追究法律责任：</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（一）供应商直接或者间接从采购人或者采购代理机构处获得其它供应商的相关情况并修改其投标文件或者响应文件；</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（二）供应商按照采购人或者采购代理机构的授意撤换、修改投标文件或者响应文件；</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（三）供应商之间协商报价、技术方案等投标文件或者响应文件的实质性内容；</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（四）属于同一集团、协会、商会等组织成员的供应商按照该组织要求协同参加采购活动；</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（五）供应商之间事先约定由某一特定供应商中标、成交；</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（六）供应商之间商定部分供应商放弃参加采购活动或者放弃中标、成交；</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color w:val="auto"/>
          <w:sz w:val="24"/>
        </w:rPr>
      </w:pPr>
      <w:r>
        <w:rPr>
          <w:rFonts w:hint="eastAsia" w:ascii="宋体" w:hAnsi="宋体" w:cs="宋体"/>
          <w:color w:val="auto"/>
          <w:sz w:val="24"/>
        </w:rPr>
        <w:t>六、成交结果信息公布与授予合同</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37.成交信息的公布</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37.1成交供应商确定后2个工作日内，成交结果信息将在</w:t>
      </w:r>
      <w:r>
        <w:rPr>
          <w:rFonts w:hint="eastAsia" w:hAnsi="宋体" w:cs="宋体"/>
          <w:b/>
          <w:color w:val="auto"/>
        </w:rPr>
        <w:t>磋商须知前附表</w:t>
      </w:r>
      <w:r>
        <w:rPr>
          <w:rFonts w:hint="eastAsia" w:hAnsi="宋体" w:cs="宋体"/>
          <w:color w:val="auto"/>
        </w:rPr>
        <w:t>指定的媒体上公布。</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38.询问及质疑</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szCs w:val="21"/>
        </w:rPr>
        <w:t>38.1供应商对采购活动事项有疑问的，可以向采购人或采购代理机构提出询问。</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39.成交通知</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39.1成交供应商确定后，采购人或采购代理机构将以书面形式向成交供应商发出成交通知书。成交通知书对采购人和成交供应商具有同等法律效力。</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rPr>
        <w:t xml:space="preserve">39.3 </w:t>
      </w:r>
      <w:r>
        <w:rPr>
          <w:rFonts w:hint="eastAsia" w:ascii="宋体" w:hAnsi="宋体" w:cs="宋体"/>
          <w:color w:val="auto"/>
          <w:szCs w:val="21"/>
        </w:rPr>
        <w:t>成交供应商在收到采购代理机构的成交通知书后10日内，应按照</w:t>
      </w:r>
      <w:r>
        <w:rPr>
          <w:rFonts w:hint="eastAsia" w:ascii="宋体" w:hAnsi="宋体" w:cs="宋体"/>
          <w:b/>
          <w:color w:val="auto"/>
          <w:szCs w:val="21"/>
        </w:rPr>
        <w:t>磋商须知前附表</w:t>
      </w:r>
      <w:r>
        <w:rPr>
          <w:rFonts w:hint="eastAsia" w:ascii="宋体" w:hAnsi="宋体" w:cs="宋体"/>
          <w:color w:val="auto"/>
          <w:szCs w:val="21"/>
        </w:rPr>
        <w:t>的规定，向采购人提交履约担保。联合体成交的，履约担保由联合体各方或联合体中牵头人的名义提交。</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39.4 成交供应商</w:t>
      </w:r>
      <w:r>
        <w:rPr>
          <w:rFonts w:hint="eastAsia" w:hAnsi="宋体" w:cs="宋体"/>
          <w:color w:val="auto"/>
          <w:spacing w:val="4"/>
        </w:rPr>
        <w:t>没有按照本章第39.3</w:t>
      </w:r>
      <w:r>
        <w:rPr>
          <w:rFonts w:hint="eastAsia" w:hAnsi="宋体" w:cs="宋体"/>
          <w:color w:val="auto"/>
          <w:kern w:val="0"/>
          <w:lang w:val="zh-CN"/>
        </w:rPr>
        <w:t>款</w:t>
      </w:r>
      <w:r>
        <w:rPr>
          <w:rFonts w:hint="eastAsia" w:hAnsi="宋体" w:cs="宋体"/>
          <w:color w:val="auto"/>
          <w:spacing w:val="4"/>
        </w:rPr>
        <w:t>规定</w:t>
      </w:r>
      <w:r>
        <w:rPr>
          <w:rFonts w:hint="eastAsia" w:hAnsi="宋体" w:cs="宋体"/>
          <w:color w:val="auto"/>
        </w:rPr>
        <w:t>提交履约担保的</w:t>
      </w:r>
      <w:r>
        <w:rPr>
          <w:rFonts w:hint="eastAsia" w:hAnsi="宋体" w:cs="宋体"/>
          <w:color w:val="auto"/>
          <w:spacing w:val="4"/>
        </w:rPr>
        <w:t>，视为放弃</w:t>
      </w:r>
      <w:r>
        <w:rPr>
          <w:rFonts w:hint="eastAsia" w:hAnsi="宋体" w:cs="宋体"/>
          <w:color w:val="auto"/>
        </w:rPr>
        <w:t>成交资格</w:t>
      </w:r>
      <w:r>
        <w:rPr>
          <w:rFonts w:hint="eastAsia" w:hAnsi="宋体" w:cs="宋体"/>
          <w:color w:val="auto"/>
          <w:spacing w:val="4"/>
        </w:rPr>
        <w:t>，</w:t>
      </w:r>
      <w:r>
        <w:rPr>
          <w:rFonts w:hint="eastAsia" w:hAnsi="宋体" w:cs="宋体"/>
          <w:color w:val="auto"/>
          <w:spacing w:val="2"/>
        </w:rPr>
        <w:t>其保证金不予退还。</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40.签订合同</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40.1成交供应商应当在成交通知书发出之日起30日内与采购人签订采购合同。</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40.2磋商文件、成交供应商的响应文件等均为签订采购合同的依据。</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40.3 成交供应商应当按照合同约定履行义务。成交供应商不得向他人转让成交项目，也不得将成交项目分包后分别向他人转让。</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40.4 成交供应商有下列情形之一的，责令限期改正，情节严重的，列入不良行为记录名单，在1至3年内禁止参加采购活动，并予以通报：</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（一）成交后无正当理由不与采购人签订合同的；</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（二）未按照采购文件确定的事项签订采购合同，或者与采购人另行订立背离合同实质性内容的协议的；</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（三）拒绝履行合同义务的；</w:t>
      </w:r>
    </w:p>
    <w:p>
      <w:pPr>
        <w:pStyle w:val="24"/>
        <w:adjustRightInd w:val="0"/>
        <w:snapToGrid w:val="0"/>
        <w:spacing w:line="360" w:lineRule="auto"/>
        <w:ind w:firstLine="420" w:firstLineChars="200"/>
        <w:rPr>
          <w:rFonts w:hAnsi="宋体" w:cs="宋体"/>
          <w:color w:val="auto"/>
          <w:kern w:val="0"/>
        </w:rPr>
      </w:pPr>
      <w:r>
        <w:rPr>
          <w:rFonts w:hint="eastAsia" w:hAnsi="宋体" w:cs="宋体"/>
          <w:color w:val="auto"/>
        </w:rPr>
        <w:t>（四）</w:t>
      </w:r>
      <w:r>
        <w:rPr>
          <w:rFonts w:hint="eastAsia" w:hAnsi="宋体" w:cs="宋体"/>
          <w:color w:val="auto"/>
          <w:kern w:val="0"/>
        </w:rPr>
        <w:t>违反法律、规章、规范性文件规定的。</w:t>
      </w:r>
    </w:p>
    <w:p>
      <w:pPr>
        <w:adjustRightInd w:val="0"/>
        <w:snapToGrid w:val="0"/>
        <w:spacing w:line="360" w:lineRule="auto"/>
        <w:rPr>
          <w:rFonts w:ascii="宋体" w:hAnsi="宋体" w:cs="宋体"/>
          <w:color w:val="auto"/>
          <w:sz w:val="24"/>
        </w:rPr>
      </w:pPr>
      <w:r>
        <w:rPr>
          <w:rFonts w:hint="eastAsia" w:ascii="宋体" w:hAnsi="宋体" w:cs="宋体"/>
          <w:color w:val="auto"/>
          <w:sz w:val="24"/>
        </w:rPr>
        <w:t>七、其它规定</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41.采购代理服务费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41.1采购代理机构应按</w:t>
      </w:r>
      <w:r>
        <w:rPr>
          <w:rFonts w:hint="eastAsia" w:ascii="宋体" w:hAnsi="宋体" w:cs="宋体"/>
          <w:b/>
          <w:color w:val="auto"/>
          <w:szCs w:val="21"/>
        </w:rPr>
        <w:t>磋商须知前附表</w:t>
      </w:r>
      <w:r>
        <w:rPr>
          <w:rFonts w:hint="eastAsia" w:ascii="宋体" w:hAnsi="宋体" w:cs="宋体"/>
          <w:color w:val="auto"/>
          <w:szCs w:val="21"/>
        </w:rPr>
        <w:t>规定收取采购代理服务费。</w:t>
      </w:r>
    </w:p>
    <w:p>
      <w:pPr>
        <w:pStyle w:val="46"/>
        <w:spacing w:after="0" w:line="360" w:lineRule="auto"/>
        <w:ind w:left="0" w:leftChars="0"/>
        <w:rPr>
          <w:rFonts w:ascii="宋体" w:hAnsi="宋体" w:cs="宋体"/>
          <w:color w:val="auto"/>
        </w:rPr>
      </w:pPr>
      <w:r>
        <w:rPr>
          <w:rFonts w:hint="eastAsia" w:ascii="宋体" w:hAnsi="宋体" w:cs="宋体"/>
          <w:color w:val="auto"/>
          <w:szCs w:val="21"/>
        </w:rPr>
        <w:t>41.2集中采购机构不得收取采购代理服务费。</w:t>
      </w:r>
    </w:p>
    <w:p>
      <w:pPr>
        <w:tabs>
          <w:tab w:val="left" w:pos="420"/>
          <w:tab w:val="left" w:pos="7560"/>
          <w:tab w:val="left" w:pos="7740"/>
          <w:tab w:val="left" w:pos="7920"/>
        </w:tabs>
        <w:snapToGrid w:val="0"/>
        <w:spacing w:line="360" w:lineRule="auto"/>
        <w:rPr>
          <w:rFonts w:ascii="宋体" w:hAnsi="宋体" w:cs="宋体"/>
          <w:b/>
          <w:color w:val="auto"/>
        </w:rPr>
      </w:pPr>
      <w:r>
        <w:rPr>
          <w:rFonts w:hint="eastAsia" w:ascii="宋体" w:hAnsi="宋体" w:cs="宋体"/>
          <w:b/>
          <w:color w:val="auto"/>
          <w:szCs w:val="21"/>
        </w:rPr>
        <w:t>42.</w:t>
      </w:r>
      <w:r>
        <w:rPr>
          <w:rFonts w:hint="eastAsia" w:ascii="宋体" w:hAnsi="宋体" w:cs="宋体"/>
          <w:b/>
          <w:color w:val="auto"/>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rPr>
        <w:t>42.1</w:t>
      </w:r>
      <w:r>
        <w:rPr>
          <w:rFonts w:hint="eastAsia" w:ascii="宋体" w:hAnsi="宋体" w:cs="宋体"/>
          <w:color w:val="auto"/>
          <w:szCs w:val="21"/>
        </w:rPr>
        <w:t>磋商文件</w:t>
      </w:r>
      <w:r>
        <w:rPr>
          <w:rFonts w:hint="eastAsia" w:ascii="宋体" w:hAnsi="宋体" w:cs="宋体"/>
          <w:color w:val="auto"/>
        </w:rPr>
        <w:t>的其它规定</w:t>
      </w:r>
      <w:r>
        <w:rPr>
          <w:rFonts w:hint="eastAsia" w:ascii="宋体" w:hAnsi="宋体" w:cs="宋体"/>
          <w:color w:val="auto"/>
          <w:szCs w:val="21"/>
        </w:rPr>
        <w:t>见</w:t>
      </w:r>
      <w:r>
        <w:rPr>
          <w:rFonts w:hint="eastAsia" w:ascii="宋体" w:hAnsi="宋体" w:cs="宋体"/>
          <w:b/>
          <w:color w:val="auto"/>
          <w:szCs w:val="21"/>
        </w:rPr>
        <w:t>磋商须知前附表。</w:t>
      </w:r>
    </w:p>
    <w:p>
      <w:pPr>
        <w:keepNext w:val="0"/>
        <w:keepLines w:val="0"/>
        <w:pageBreakBefore w:val="0"/>
        <w:widowControl w:val="0"/>
        <w:kinsoku/>
        <w:wordWrap/>
        <w:overflowPunct/>
        <w:topLinePunct w:val="0"/>
        <w:autoSpaceDE/>
        <w:autoSpaceDN/>
        <w:bidi w:val="0"/>
        <w:adjustRightInd/>
        <w:snapToGrid/>
        <w:spacing w:after="937" w:afterLines="300"/>
        <w:jc w:val="center"/>
        <w:textAlignment w:val="auto"/>
        <w:rPr>
          <w:rFonts w:hint="eastAsia" w:ascii="宋体" w:hAnsi="宋体" w:cs="宋体"/>
          <w:b/>
          <w:color w:val="auto"/>
          <w:sz w:val="32"/>
          <w:szCs w:val="32"/>
        </w:rPr>
      </w:pPr>
      <w:r>
        <w:rPr>
          <w:rFonts w:hint="eastAsia" w:ascii="宋体" w:hAnsi="宋体" w:cs="宋体"/>
          <w:b/>
          <w:color w:val="auto"/>
          <w:sz w:val="32"/>
          <w:szCs w:val="32"/>
        </w:rPr>
        <w:br w:type="page"/>
      </w:r>
      <w:r>
        <w:rPr>
          <w:rFonts w:hint="eastAsia" w:ascii="宋体" w:hAnsi="宋体" w:cs="宋体"/>
          <w:b/>
          <w:color w:val="auto"/>
          <w:sz w:val="32"/>
          <w:szCs w:val="32"/>
        </w:rPr>
        <w:t>第三章</w:t>
      </w:r>
      <w:r>
        <w:rPr>
          <w:rFonts w:hint="eastAsia" w:ascii="宋体" w:hAnsi="宋体" w:cs="宋体"/>
          <w:b/>
          <w:color w:val="auto"/>
          <w:sz w:val="32"/>
          <w:szCs w:val="32"/>
          <w:lang w:val="en-US" w:eastAsia="zh-CN"/>
        </w:rPr>
        <w:t xml:space="preserve">    </w:t>
      </w:r>
      <w:r>
        <w:rPr>
          <w:rFonts w:hint="eastAsia" w:ascii="宋体" w:hAnsi="宋体" w:cs="宋体"/>
          <w:b/>
          <w:color w:val="auto"/>
          <w:sz w:val="32"/>
          <w:szCs w:val="32"/>
        </w:rPr>
        <w:t xml:space="preserve">采购合同格式 </w:t>
      </w:r>
    </w:p>
    <w:p>
      <w:pPr>
        <w:spacing w:line="360" w:lineRule="auto"/>
        <w:jc w:val="center"/>
        <w:rPr>
          <w:rFonts w:ascii="宋体" w:hAnsi="宋体" w:eastAsia="宋体" w:cs="Arial"/>
          <w:b/>
          <w:sz w:val="48"/>
          <w:szCs w:val="24"/>
        </w:rPr>
      </w:pPr>
      <w:r>
        <w:rPr>
          <w:rFonts w:hint="eastAsia" w:ascii="宋体" w:hAnsi="宋体" w:eastAsia="宋体" w:cs="Arial"/>
          <w:b/>
          <w:sz w:val="44"/>
          <w:szCs w:val="44"/>
        </w:rPr>
        <w:t>湖南智谷投资发展集团有限公司</w:t>
      </w:r>
    </w:p>
    <w:p>
      <w:pPr>
        <w:tabs>
          <w:tab w:val="center" w:pos="4153"/>
          <w:tab w:val="right" w:pos="8306"/>
        </w:tabs>
        <w:spacing w:line="360" w:lineRule="auto"/>
        <w:jc w:val="center"/>
        <w:rPr>
          <w:rFonts w:ascii="仿宋" w:hAnsi="仿宋" w:eastAsia="仿宋" w:cs="Arial"/>
          <w:b/>
          <w:sz w:val="32"/>
          <w:szCs w:val="24"/>
        </w:rPr>
      </w:pPr>
      <w:r>
        <w:rPr>
          <w:rFonts w:hint="eastAsia" w:ascii="仿宋" w:hAnsi="仿宋" w:eastAsia="仿宋" w:cs="Arial"/>
          <w:b/>
          <w:sz w:val="32"/>
          <w:szCs w:val="24"/>
        </w:rPr>
        <w:t>（作为发行人）</w:t>
      </w:r>
    </w:p>
    <w:p>
      <w:pPr>
        <w:spacing w:line="360" w:lineRule="auto"/>
        <w:jc w:val="center"/>
        <w:rPr>
          <w:rFonts w:ascii="宋体" w:hAnsi="宋体" w:eastAsia="宋体" w:cs="Arial"/>
          <w:b/>
          <w:szCs w:val="24"/>
        </w:rPr>
      </w:pPr>
    </w:p>
    <w:p>
      <w:pPr>
        <w:tabs>
          <w:tab w:val="center" w:pos="4153"/>
          <w:tab w:val="right" w:pos="8306"/>
        </w:tabs>
        <w:spacing w:line="360" w:lineRule="auto"/>
        <w:jc w:val="center"/>
        <w:rPr>
          <w:rFonts w:ascii="仿宋" w:hAnsi="仿宋" w:eastAsia="仿宋" w:cs="Arial"/>
          <w:b/>
          <w:sz w:val="32"/>
          <w:szCs w:val="24"/>
        </w:rPr>
      </w:pPr>
      <w:r>
        <w:rPr>
          <w:rFonts w:ascii="仿宋" w:hAnsi="仿宋" w:eastAsia="仿宋" w:cs="Arial"/>
          <w:b/>
          <w:sz w:val="32"/>
          <w:szCs w:val="24"/>
        </w:rPr>
        <w:t>与</w:t>
      </w:r>
    </w:p>
    <w:p>
      <w:pPr>
        <w:spacing w:line="360" w:lineRule="auto"/>
        <w:jc w:val="center"/>
        <w:rPr>
          <w:rFonts w:ascii="宋体" w:hAnsi="宋体" w:eastAsia="宋体" w:cs="Arial"/>
          <w:b/>
          <w:sz w:val="24"/>
          <w:szCs w:val="24"/>
        </w:rPr>
      </w:pPr>
    </w:p>
    <w:p>
      <w:pPr>
        <w:spacing w:line="360" w:lineRule="auto"/>
        <w:jc w:val="center"/>
        <w:rPr>
          <w:rFonts w:ascii="宋体" w:hAnsi="宋体" w:eastAsia="宋体" w:cs="Arial"/>
          <w:b/>
          <w:sz w:val="44"/>
          <w:szCs w:val="44"/>
        </w:rPr>
      </w:pPr>
      <w:r>
        <w:rPr>
          <w:rFonts w:hint="eastAsia" w:ascii="宋体" w:hAnsi="宋体" w:eastAsia="宋体" w:cs="Arial"/>
          <w:b/>
          <w:sz w:val="44"/>
          <w:szCs w:val="44"/>
        </w:rPr>
        <w:t>【】</w:t>
      </w:r>
    </w:p>
    <w:p>
      <w:pPr>
        <w:spacing w:line="360" w:lineRule="auto"/>
        <w:jc w:val="center"/>
        <w:rPr>
          <w:rFonts w:ascii="仿宋" w:hAnsi="仿宋" w:eastAsia="仿宋" w:cs="Arial"/>
          <w:b/>
          <w:sz w:val="32"/>
          <w:szCs w:val="24"/>
        </w:rPr>
      </w:pPr>
      <w:r>
        <w:rPr>
          <w:rFonts w:hint="eastAsia" w:ascii="仿宋" w:hAnsi="仿宋" w:eastAsia="仿宋" w:cs="Arial"/>
          <w:b/>
          <w:sz w:val="32"/>
          <w:szCs w:val="24"/>
        </w:rPr>
        <w:t>（作为牵头主承销商）</w:t>
      </w:r>
    </w:p>
    <w:p>
      <w:pPr>
        <w:spacing w:line="360" w:lineRule="auto"/>
        <w:jc w:val="center"/>
        <w:rPr>
          <w:rFonts w:ascii="宋体" w:hAnsi="宋体" w:eastAsia="宋体" w:cs="Arial"/>
          <w:b/>
          <w:sz w:val="44"/>
          <w:szCs w:val="44"/>
        </w:rPr>
      </w:pPr>
      <w:r>
        <w:rPr>
          <w:rFonts w:hint="eastAsia" w:ascii="宋体" w:hAnsi="宋体" w:eastAsia="宋体" w:cs="Arial"/>
          <w:b/>
          <w:sz w:val="44"/>
          <w:szCs w:val="44"/>
        </w:rPr>
        <w:t>【】</w:t>
      </w:r>
    </w:p>
    <w:p>
      <w:pPr>
        <w:spacing w:line="360" w:lineRule="auto"/>
        <w:jc w:val="center"/>
        <w:rPr>
          <w:rFonts w:ascii="仿宋" w:hAnsi="仿宋" w:eastAsia="仿宋" w:cs="Arial"/>
          <w:b/>
          <w:sz w:val="32"/>
          <w:szCs w:val="24"/>
        </w:rPr>
      </w:pPr>
      <w:r>
        <w:rPr>
          <w:rFonts w:hint="eastAsia" w:ascii="仿宋" w:hAnsi="仿宋" w:eastAsia="仿宋" w:cs="Arial"/>
          <w:b/>
          <w:sz w:val="32"/>
          <w:szCs w:val="24"/>
        </w:rPr>
        <w:t>（作为联席主承销商，如有）</w:t>
      </w:r>
    </w:p>
    <w:p>
      <w:pPr>
        <w:tabs>
          <w:tab w:val="center" w:pos="4153"/>
          <w:tab w:val="right" w:pos="8306"/>
        </w:tabs>
        <w:spacing w:line="360" w:lineRule="auto"/>
        <w:jc w:val="center"/>
        <w:rPr>
          <w:rFonts w:ascii="宋体" w:hAnsi="宋体" w:eastAsia="宋体" w:cs="Arial"/>
          <w:b/>
          <w:sz w:val="44"/>
          <w:szCs w:val="44"/>
        </w:rPr>
      </w:pPr>
    </w:p>
    <w:p>
      <w:pPr>
        <w:tabs>
          <w:tab w:val="center" w:pos="4153"/>
          <w:tab w:val="right" w:pos="8306"/>
        </w:tabs>
        <w:spacing w:line="360" w:lineRule="auto"/>
        <w:jc w:val="center"/>
        <w:rPr>
          <w:rFonts w:ascii="仿宋" w:hAnsi="仿宋" w:eastAsia="仿宋" w:cs="Arial"/>
          <w:b/>
          <w:sz w:val="32"/>
          <w:szCs w:val="24"/>
        </w:rPr>
      </w:pPr>
      <w:r>
        <w:rPr>
          <w:rFonts w:ascii="仿宋" w:hAnsi="仿宋" w:eastAsia="仿宋" w:cs="Arial"/>
          <w:b/>
          <w:sz w:val="32"/>
          <w:szCs w:val="24"/>
        </w:rPr>
        <w:t>关于</w:t>
      </w:r>
    </w:p>
    <w:p>
      <w:pPr>
        <w:spacing w:line="360" w:lineRule="auto"/>
        <w:jc w:val="center"/>
        <w:rPr>
          <w:rFonts w:ascii="宋体" w:hAnsi="宋体" w:eastAsia="宋体" w:cs="Arial"/>
          <w:b/>
          <w:sz w:val="24"/>
          <w:szCs w:val="24"/>
        </w:rPr>
      </w:pPr>
    </w:p>
    <w:p>
      <w:pPr>
        <w:spacing w:line="360" w:lineRule="auto"/>
        <w:jc w:val="center"/>
        <w:rPr>
          <w:rFonts w:ascii="宋体" w:hAnsi="宋体" w:eastAsia="宋体" w:cs="Arial"/>
          <w:b/>
          <w:sz w:val="44"/>
          <w:szCs w:val="44"/>
        </w:rPr>
      </w:pPr>
      <w:r>
        <w:rPr>
          <w:rFonts w:hint="eastAsia" w:ascii="宋体" w:hAnsi="宋体" w:eastAsia="宋体" w:cs="Arial"/>
          <w:b/>
          <w:sz w:val="44"/>
          <w:szCs w:val="44"/>
        </w:rPr>
        <w:t>湖南智谷投资发展集团有限公司</w:t>
      </w:r>
    </w:p>
    <w:p>
      <w:pPr>
        <w:spacing w:line="360" w:lineRule="auto"/>
        <w:jc w:val="center"/>
        <w:rPr>
          <w:rFonts w:ascii="宋体" w:hAnsi="宋体" w:eastAsia="宋体" w:cs="Arial"/>
          <w:b/>
          <w:sz w:val="44"/>
          <w:szCs w:val="44"/>
        </w:rPr>
      </w:pPr>
      <w:r>
        <w:rPr>
          <w:rFonts w:hint="eastAsia" w:ascii="宋体" w:hAnsi="宋体" w:eastAsia="宋体" w:cs="Arial"/>
          <w:b/>
          <w:sz w:val="44"/>
          <w:szCs w:val="44"/>
        </w:rPr>
        <w:tab/>
      </w:r>
      <w:r>
        <w:rPr>
          <w:rFonts w:hint="eastAsia" w:ascii="宋体" w:hAnsi="宋体" w:eastAsia="宋体" w:cs="Arial"/>
          <w:b/>
          <w:sz w:val="44"/>
          <w:szCs w:val="44"/>
        </w:rPr>
        <w:t>【】</w:t>
      </w:r>
      <w:r>
        <w:rPr>
          <w:rFonts w:ascii="宋体" w:hAnsi="宋体" w:eastAsia="宋体" w:cs="Arial"/>
          <w:b/>
          <w:sz w:val="44"/>
          <w:szCs w:val="44"/>
        </w:rPr>
        <w:t>公司债券</w:t>
      </w:r>
    </w:p>
    <w:p>
      <w:pPr>
        <w:tabs>
          <w:tab w:val="center" w:pos="4153"/>
          <w:tab w:val="right" w:pos="8306"/>
        </w:tabs>
        <w:spacing w:line="360" w:lineRule="auto"/>
        <w:jc w:val="center"/>
        <w:rPr>
          <w:rFonts w:ascii="仿宋" w:hAnsi="仿宋" w:eastAsia="仿宋" w:cs="Arial"/>
          <w:b/>
          <w:sz w:val="32"/>
          <w:szCs w:val="24"/>
        </w:rPr>
      </w:pPr>
      <w:r>
        <w:rPr>
          <w:rFonts w:hint="eastAsia" w:ascii="仿宋" w:hAnsi="仿宋" w:eastAsia="仿宋" w:cs="Arial"/>
          <w:b/>
          <w:sz w:val="32"/>
          <w:szCs w:val="24"/>
        </w:rPr>
        <w:t>之</w:t>
      </w:r>
    </w:p>
    <w:p>
      <w:pPr>
        <w:tabs>
          <w:tab w:val="center" w:pos="4153"/>
          <w:tab w:val="right" w:pos="8306"/>
        </w:tabs>
        <w:spacing w:line="360" w:lineRule="auto"/>
        <w:rPr>
          <w:rFonts w:ascii="仿宋" w:hAnsi="仿宋" w:eastAsia="仿宋" w:cs="Arial"/>
          <w:b/>
          <w:sz w:val="32"/>
          <w:szCs w:val="24"/>
        </w:rPr>
      </w:pPr>
    </w:p>
    <w:p>
      <w:pPr>
        <w:spacing w:line="360" w:lineRule="auto"/>
        <w:jc w:val="center"/>
        <w:rPr>
          <w:rFonts w:ascii="宋体" w:hAnsi="宋体" w:eastAsia="宋体" w:cs="Arial"/>
          <w:b/>
          <w:sz w:val="44"/>
          <w:szCs w:val="24"/>
        </w:rPr>
      </w:pPr>
      <w:r>
        <w:rPr>
          <w:rFonts w:ascii="宋体" w:hAnsi="宋体" w:eastAsia="宋体" w:cs="Arial"/>
          <w:b/>
          <w:sz w:val="44"/>
          <w:szCs w:val="24"/>
        </w:rPr>
        <w:t>承销协议</w:t>
      </w:r>
    </w:p>
    <w:p>
      <w:pPr>
        <w:adjustRightInd w:val="0"/>
        <w:snapToGrid w:val="0"/>
        <w:spacing w:line="300" w:lineRule="auto"/>
        <w:jc w:val="center"/>
        <w:rPr>
          <w:rFonts w:ascii="Times New Roman" w:hAnsi="Times New Roman" w:eastAsia="仿宋" w:cs="Times New Roman"/>
          <w:b/>
          <w:color w:val="000000"/>
          <w:spacing w:val="20"/>
          <w:sz w:val="32"/>
          <w:szCs w:val="32"/>
        </w:rPr>
      </w:pPr>
      <w:r>
        <w:rPr>
          <w:rFonts w:ascii="Arial" w:hAnsi="Arial" w:eastAsia="宋体" w:cs="Arial"/>
          <w:sz w:val="24"/>
          <w:szCs w:val="24"/>
        </w:rPr>
        <w:br w:type="page"/>
      </w:r>
      <w:r>
        <w:rPr>
          <w:rFonts w:hint="eastAsia" w:ascii="Times New Roman" w:hAnsi="Times New Roman" w:eastAsia="仿宋" w:cs="Times New Roman"/>
          <w:b/>
          <w:color w:val="000000"/>
          <w:spacing w:val="20"/>
          <w:sz w:val="32"/>
          <w:szCs w:val="32"/>
        </w:rPr>
        <w:t>湖南智谷投资发展集团有限公司</w:t>
      </w:r>
    </w:p>
    <w:p>
      <w:pPr>
        <w:adjustRightInd w:val="0"/>
        <w:snapToGrid w:val="0"/>
        <w:spacing w:line="300" w:lineRule="auto"/>
        <w:jc w:val="center"/>
        <w:rPr>
          <w:rFonts w:ascii="Times New Roman" w:hAnsi="Times New Roman" w:eastAsia="仿宋" w:cs="Times New Roman"/>
          <w:b/>
          <w:color w:val="000000"/>
          <w:spacing w:val="20"/>
          <w:sz w:val="32"/>
          <w:szCs w:val="32"/>
        </w:rPr>
      </w:pPr>
      <w:r>
        <w:rPr>
          <w:rFonts w:hint="eastAsia" w:ascii="Times New Roman" w:hAnsi="Times New Roman" w:eastAsia="仿宋" w:cs="Times New Roman"/>
          <w:b/>
          <w:color w:val="000000"/>
          <w:spacing w:val="20"/>
          <w:sz w:val="32"/>
          <w:szCs w:val="32"/>
        </w:rPr>
        <w:t>2</w:t>
      </w:r>
      <w:r>
        <w:rPr>
          <w:rFonts w:ascii="Times New Roman" w:hAnsi="Times New Roman" w:eastAsia="仿宋" w:cs="Times New Roman"/>
          <w:b/>
          <w:color w:val="000000"/>
          <w:spacing w:val="20"/>
          <w:sz w:val="32"/>
          <w:szCs w:val="32"/>
        </w:rPr>
        <w:t>02</w:t>
      </w:r>
      <w:r>
        <w:rPr>
          <w:rFonts w:hint="eastAsia" w:ascii="Times New Roman" w:hAnsi="Times New Roman" w:eastAsia="仿宋" w:cs="Times New Roman"/>
          <w:b/>
          <w:color w:val="000000"/>
          <w:spacing w:val="20"/>
          <w:sz w:val="32"/>
          <w:szCs w:val="32"/>
        </w:rPr>
        <w:t>4</w:t>
      </w:r>
      <w:r>
        <w:rPr>
          <w:rFonts w:ascii="Times New Roman" w:hAnsi="Times New Roman" w:eastAsia="仿宋" w:cs="Times New Roman"/>
          <w:b/>
          <w:color w:val="000000"/>
          <w:spacing w:val="20"/>
          <w:sz w:val="32"/>
          <w:szCs w:val="32"/>
        </w:rPr>
        <w:t>年</w:t>
      </w:r>
      <w:r>
        <w:rPr>
          <w:rFonts w:hint="eastAsia" w:ascii="Times New Roman" w:hAnsi="Times New Roman" w:eastAsia="仿宋" w:cs="Times New Roman"/>
          <w:b/>
          <w:color w:val="000000"/>
          <w:spacing w:val="20"/>
          <w:sz w:val="32"/>
          <w:szCs w:val="32"/>
        </w:rPr>
        <w:t>非</w:t>
      </w:r>
      <w:r>
        <w:rPr>
          <w:rFonts w:ascii="Times New Roman" w:hAnsi="Times New Roman" w:eastAsia="仿宋" w:cs="Times New Roman"/>
          <w:b/>
          <w:color w:val="000000"/>
          <w:spacing w:val="20"/>
          <w:sz w:val="32"/>
          <w:szCs w:val="32"/>
        </w:rPr>
        <w:t>公开发行公司债券之承销协议</w:t>
      </w:r>
    </w:p>
    <w:p>
      <w:pPr>
        <w:adjustRightInd w:val="0"/>
        <w:snapToGrid w:val="0"/>
        <w:spacing w:line="300" w:lineRule="auto"/>
        <w:jc w:val="center"/>
        <w:rPr>
          <w:rFonts w:ascii="Times New Roman" w:hAnsi="Times New Roman" w:eastAsia="仿宋" w:cs="Times New Roman"/>
          <w:b/>
          <w:color w:val="000000"/>
          <w:spacing w:val="20"/>
          <w:sz w:val="32"/>
          <w:szCs w:val="32"/>
        </w:rPr>
      </w:pPr>
    </w:p>
    <w:p>
      <w:pPr>
        <w:widowControl/>
        <w:jc w:val="left"/>
        <w:rPr>
          <w:rFonts w:ascii="Arial" w:hAnsi="Arial" w:eastAsia="宋体" w:cs="Arial"/>
          <w:sz w:val="24"/>
          <w:szCs w:val="24"/>
        </w:rPr>
      </w:pPr>
      <w:r>
        <w:rPr>
          <w:rFonts w:ascii="Arial" w:hAnsi="Times New Roman" w:eastAsia="宋体" w:cs="Arial"/>
          <w:sz w:val="24"/>
          <w:szCs w:val="24"/>
        </w:rPr>
        <w:t>本协议于</w:t>
      </w:r>
      <w:r>
        <w:rPr>
          <w:rFonts w:ascii="Arial" w:hAnsi="Arial" w:eastAsia="宋体" w:cs="Arial"/>
          <w:sz w:val="24"/>
          <w:szCs w:val="24"/>
        </w:rPr>
        <w:t>20</w:t>
      </w:r>
      <w:r>
        <w:rPr>
          <w:rFonts w:hint="eastAsia" w:ascii="Arial" w:hAnsi="Times New Roman" w:eastAsia="宋体" w:cs="Arial"/>
          <w:sz w:val="24"/>
          <w:szCs w:val="24"/>
        </w:rPr>
        <w:t>24</w:t>
      </w:r>
      <w:r>
        <w:rPr>
          <w:rFonts w:ascii="Arial" w:hAnsi="Times New Roman" w:eastAsia="宋体" w:cs="Arial"/>
          <w:sz w:val="24"/>
          <w:szCs w:val="24"/>
        </w:rPr>
        <w:t>年【</w:t>
      </w:r>
      <w:r>
        <w:rPr>
          <w:rFonts w:hint="eastAsia" w:ascii="Arial" w:hAnsi="Times New Roman" w:eastAsia="宋体" w:cs="Arial"/>
          <w:sz w:val="24"/>
          <w:szCs w:val="24"/>
        </w:rPr>
        <w:t xml:space="preserve">  </w:t>
      </w:r>
      <w:r>
        <w:rPr>
          <w:rFonts w:ascii="Arial" w:hAnsi="Times New Roman" w:eastAsia="宋体" w:cs="Arial"/>
          <w:sz w:val="24"/>
          <w:szCs w:val="24"/>
        </w:rPr>
        <w:t>】月【</w:t>
      </w:r>
      <w:r>
        <w:rPr>
          <w:rFonts w:hint="eastAsia" w:ascii="Arial" w:hAnsi="Times New Roman" w:eastAsia="宋体" w:cs="Arial"/>
          <w:sz w:val="24"/>
          <w:szCs w:val="24"/>
        </w:rPr>
        <w:t xml:space="preserve">  </w:t>
      </w:r>
      <w:r>
        <w:rPr>
          <w:rFonts w:ascii="Arial" w:hAnsi="Times New Roman" w:eastAsia="宋体" w:cs="Arial"/>
          <w:sz w:val="24"/>
          <w:szCs w:val="24"/>
        </w:rPr>
        <w:t>】日，由以下各方在</w:t>
      </w:r>
      <w:r>
        <w:rPr>
          <w:rFonts w:hint="eastAsia" w:ascii="Arial" w:hAnsi="Times New Roman" w:eastAsia="宋体" w:cs="Arial"/>
          <w:sz w:val="24"/>
          <w:szCs w:val="24"/>
        </w:rPr>
        <w:t>【】</w:t>
      </w:r>
      <w:r>
        <w:rPr>
          <w:rFonts w:ascii="Arial" w:hAnsi="Times New Roman" w:eastAsia="宋体" w:cs="Arial"/>
          <w:sz w:val="24"/>
          <w:szCs w:val="24"/>
        </w:rPr>
        <w:t>签署：</w:t>
      </w:r>
    </w:p>
    <w:p>
      <w:pPr>
        <w:spacing w:line="360" w:lineRule="auto"/>
        <w:rPr>
          <w:rFonts w:ascii="Arial" w:hAnsi="Arial" w:eastAsia="宋体" w:cs="Arial"/>
          <w:sz w:val="24"/>
          <w:szCs w:val="24"/>
        </w:rPr>
      </w:pPr>
    </w:p>
    <w:p>
      <w:pPr>
        <w:spacing w:line="360" w:lineRule="auto"/>
        <w:rPr>
          <w:rFonts w:ascii="Arial" w:hAnsi="Arial" w:eastAsia="宋体" w:cs="Arial"/>
          <w:b/>
          <w:sz w:val="24"/>
          <w:szCs w:val="24"/>
        </w:rPr>
      </w:pPr>
      <w:r>
        <w:rPr>
          <w:rFonts w:ascii="Arial" w:hAnsi="Times New Roman" w:eastAsia="宋体" w:cs="Arial"/>
          <w:b/>
          <w:sz w:val="24"/>
          <w:szCs w:val="24"/>
        </w:rPr>
        <w:t>甲方：</w:t>
      </w:r>
      <w:r>
        <w:rPr>
          <w:rFonts w:hint="eastAsia" w:ascii="Arial" w:hAnsi="Times New Roman" w:eastAsia="宋体" w:cs="Arial"/>
          <w:b/>
          <w:sz w:val="24"/>
          <w:szCs w:val="24"/>
        </w:rPr>
        <w:t>湖南智谷投资发展集团有限公司</w:t>
      </w:r>
      <w:r>
        <w:rPr>
          <w:rFonts w:hint="eastAsia" w:ascii="宋体" w:hAnsi="宋体" w:eastAsia="宋体" w:cs="Arial"/>
          <w:sz w:val="24"/>
          <w:szCs w:val="24"/>
        </w:rPr>
        <w:t>（以下简称“智谷集团”），作为发行人。</w:t>
      </w:r>
    </w:p>
    <w:p>
      <w:pPr>
        <w:spacing w:line="360" w:lineRule="auto"/>
        <w:ind w:firstLine="480" w:firstLineChars="200"/>
        <w:rPr>
          <w:rFonts w:ascii="Arial" w:hAnsi="Times New Roman" w:eastAsia="宋体" w:cs="Arial"/>
          <w:sz w:val="24"/>
          <w:szCs w:val="24"/>
        </w:rPr>
      </w:pPr>
      <w:r>
        <w:rPr>
          <w:rFonts w:ascii="Arial" w:hAnsi="Times New Roman" w:eastAsia="宋体" w:cs="Arial"/>
          <w:sz w:val="24"/>
          <w:szCs w:val="24"/>
        </w:rPr>
        <w:t>法定代表人：</w:t>
      </w:r>
      <w:r>
        <w:rPr>
          <w:rFonts w:hint="eastAsia" w:ascii="Arial" w:hAnsi="Times New Roman" w:eastAsia="宋体" w:cs="Arial"/>
          <w:sz w:val="24"/>
          <w:szCs w:val="24"/>
        </w:rPr>
        <w:t>【】</w:t>
      </w:r>
    </w:p>
    <w:p>
      <w:pPr>
        <w:spacing w:line="360" w:lineRule="auto"/>
        <w:ind w:firstLine="480" w:firstLineChars="200"/>
        <w:rPr>
          <w:rFonts w:ascii="Arial" w:hAnsi="Times New Roman" w:eastAsia="宋体" w:cs="Arial"/>
          <w:sz w:val="24"/>
          <w:szCs w:val="24"/>
        </w:rPr>
      </w:pPr>
      <w:r>
        <w:rPr>
          <w:rFonts w:ascii="Arial" w:hAnsi="Times New Roman" w:eastAsia="宋体" w:cs="Arial"/>
          <w:sz w:val="24"/>
          <w:szCs w:val="24"/>
        </w:rPr>
        <w:t>邮政编码：</w:t>
      </w:r>
      <w:r>
        <w:rPr>
          <w:rFonts w:hint="eastAsia" w:ascii="Arial" w:hAnsi="Times New Roman" w:eastAsia="宋体" w:cs="Arial"/>
          <w:sz w:val="24"/>
          <w:szCs w:val="24"/>
        </w:rPr>
        <w:t>【】</w:t>
      </w:r>
    </w:p>
    <w:p>
      <w:pPr>
        <w:spacing w:line="360" w:lineRule="auto"/>
        <w:ind w:firstLine="480" w:firstLineChars="200"/>
        <w:rPr>
          <w:rFonts w:ascii="Arial" w:hAnsi="Times New Roman" w:eastAsia="宋体" w:cs="Arial"/>
          <w:sz w:val="24"/>
          <w:szCs w:val="24"/>
        </w:rPr>
      </w:pPr>
      <w:r>
        <w:rPr>
          <w:rFonts w:ascii="Arial" w:hAnsi="Times New Roman" w:eastAsia="宋体" w:cs="Arial"/>
          <w:sz w:val="24"/>
          <w:szCs w:val="24"/>
        </w:rPr>
        <w:t>住所：</w:t>
      </w:r>
      <w:r>
        <w:rPr>
          <w:rFonts w:hint="eastAsia" w:ascii="Arial" w:hAnsi="Times New Roman" w:eastAsia="宋体" w:cs="Arial"/>
          <w:sz w:val="24"/>
          <w:szCs w:val="24"/>
        </w:rPr>
        <w:t>【】</w:t>
      </w:r>
    </w:p>
    <w:p>
      <w:pPr>
        <w:spacing w:line="360" w:lineRule="auto"/>
        <w:ind w:firstLine="480" w:firstLineChars="200"/>
        <w:rPr>
          <w:rFonts w:ascii="Arial" w:hAnsi="Arial" w:eastAsia="宋体" w:cs="Arial"/>
          <w:sz w:val="24"/>
          <w:szCs w:val="24"/>
        </w:rPr>
      </w:pPr>
      <w:r>
        <w:rPr>
          <w:rFonts w:ascii="Arial" w:hAnsi="Times New Roman" w:eastAsia="宋体" w:cs="Arial"/>
          <w:sz w:val="24"/>
          <w:szCs w:val="24"/>
        </w:rPr>
        <w:t>电话：</w:t>
      </w:r>
      <w:r>
        <w:rPr>
          <w:rFonts w:hint="eastAsia" w:ascii="Arial" w:hAnsi="Times New Roman" w:eastAsia="宋体" w:cs="Arial"/>
          <w:sz w:val="24"/>
          <w:szCs w:val="24"/>
        </w:rPr>
        <w:t>【】</w:t>
      </w:r>
      <w:r>
        <w:rPr>
          <w:rFonts w:ascii="Arial" w:hAnsi="Times New Roman" w:eastAsia="宋体" w:cs="Arial"/>
          <w:sz w:val="24"/>
          <w:szCs w:val="24"/>
        </w:rPr>
        <w:t>传真：</w:t>
      </w:r>
      <w:r>
        <w:rPr>
          <w:rFonts w:hint="eastAsia" w:ascii="Arial" w:hAnsi="Times New Roman" w:eastAsia="宋体" w:cs="Arial"/>
          <w:sz w:val="24"/>
          <w:szCs w:val="24"/>
        </w:rPr>
        <w:t>【】</w:t>
      </w:r>
    </w:p>
    <w:p>
      <w:pPr>
        <w:spacing w:line="360" w:lineRule="auto"/>
        <w:ind w:firstLine="480"/>
        <w:rPr>
          <w:rFonts w:ascii="Arial" w:hAnsi="Arial" w:eastAsia="宋体" w:cs="Arial"/>
          <w:sz w:val="24"/>
          <w:szCs w:val="24"/>
        </w:rPr>
      </w:pPr>
    </w:p>
    <w:p>
      <w:pPr>
        <w:spacing w:line="360" w:lineRule="auto"/>
        <w:rPr>
          <w:rFonts w:ascii="Arial" w:hAnsi="Arial" w:eastAsia="宋体" w:cs="Arial"/>
          <w:b/>
          <w:sz w:val="24"/>
          <w:szCs w:val="24"/>
        </w:rPr>
      </w:pPr>
      <w:r>
        <w:rPr>
          <w:rFonts w:ascii="Arial" w:hAnsi="Times New Roman" w:eastAsia="宋体" w:cs="Arial"/>
          <w:b/>
          <w:sz w:val="24"/>
          <w:szCs w:val="24"/>
        </w:rPr>
        <w:t>乙方：</w:t>
      </w:r>
      <w:r>
        <w:rPr>
          <w:rFonts w:hint="eastAsia" w:ascii="Arial" w:hAnsi="Times New Roman" w:eastAsia="宋体" w:cs="Arial"/>
          <w:b/>
          <w:sz w:val="24"/>
          <w:szCs w:val="24"/>
        </w:rPr>
        <w:t>【】</w:t>
      </w:r>
      <w:r>
        <w:rPr>
          <w:rFonts w:hint="eastAsia" w:ascii="宋体" w:hAnsi="宋体" w:eastAsia="宋体" w:cs="Arial"/>
          <w:sz w:val="24"/>
          <w:szCs w:val="24"/>
        </w:rPr>
        <w:t>（以下简称“【】”），作为牵头主承销商，</w:t>
      </w:r>
      <w:r>
        <w:rPr>
          <w:rFonts w:hint="eastAsia" w:ascii="宋体" w:hAnsi="宋体" w:eastAsia="宋体" w:cs="Times New Roman"/>
          <w:color w:val="000000"/>
          <w:sz w:val="24"/>
          <w:szCs w:val="24"/>
        </w:rPr>
        <w:t>同时担任本次债券的受托管理人和簿记管理人。</w:t>
      </w:r>
    </w:p>
    <w:p>
      <w:pPr>
        <w:spacing w:line="360" w:lineRule="auto"/>
        <w:ind w:firstLine="480" w:firstLineChars="200"/>
        <w:rPr>
          <w:rFonts w:ascii="Arial" w:hAnsi="Times New Roman" w:eastAsia="宋体" w:cs="Arial"/>
          <w:sz w:val="24"/>
          <w:szCs w:val="24"/>
        </w:rPr>
      </w:pPr>
      <w:r>
        <w:rPr>
          <w:rFonts w:ascii="Arial" w:hAnsi="Times New Roman" w:eastAsia="宋体" w:cs="Arial"/>
          <w:sz w:val="24"/>
          <w:szCs w:val="24"/>
        </w:rPr>
        <w:t>法定代表人：</w:t>
      </w:r>
      <w:r>
        <w:rPr>
          <w:rFonts w:hint="eastAsia" w:ascii="Arial" w:hAnsi="Times New Roman" w:eastAsia="宋体" w:cs="Arial"/>
          <w:sz w:val="24"/>
          <w:szCs w:val="24"/>
        </w:rPr>
        <w:t>【】</w:t>
      </w:r>
    </w:p>
    <w:p>
      <w:pPr>
        <w:spacing w:line="360" w:lineRule="auto"/>
        <w:ind w:firstLine="480" w:firstLineChars="200"/>
        <w:rPr>
          <w:rFonts w:ascii="Arial" w:hAnsi="Times New Roman" w:eastAsia="宋体" w:cs="Arial"/>
          <w:sz w:val="24"/>
          <w:szCs w:val="24"/>
        </w:rPr>
      </w:pPr>
      <w:r>
        <w:rPr>
          <w:rFonts w:ascii="Arial" w:hAnsi="Times New Roman" w:eastAsia="宋体" w:cs="Arial"/>
          <w:sz w:val="24"/>
          <w:szCs w:val="24"/>
        </w:rPr>
        <w:t>邮政编码：</w:t>
      </w:r>
      <w:r>
        <w:rPr>
          <w:rFonts w:hint="eastAsia" w:ascii="Arial" w:hAnsi="Times New Roman" w:eastAsia="宋体" w:cs="Arial"/>
          <w:sz w:val="24"/>
          <w:szCs w:val="24"/>
        </w:rPr>
        <w:t>【】</w:t>
      </w:r>
    </w:p>
    <w:p>
      <w:pPr>
        <w:spacing w:line="360" w:lineRule="auto"/>
        <w:ind w:firstLine="480" w:firstLineChars="200"/>
        <w:rPr>
          <w:rFonts w:ascii="Arial" w:hAnsi="Times New Roman" w:eastAsia="宋体" w:cs="Arial"/>
          <w:sz w:val="24"/>
          <w:szCs w:val="24"/>
        </w:rPr>
      </w:pPr>
      <w:r>
        <w:rPr>
          <w:rFonts w:ascii="Arial" w:hAnsi="Times New Roman" w:eastAsia="宋体" w:cs="Arial"/>
          <w:sz w:val="24"/>
          <w:szCs w:val="24"/>
        </w:rPr>
        <w:t>住所：</w:t>
      </w:r>
      <w:r>
        <w:rPr>
          <w:rFonts w:hint="eastAsia" w:ascii="Arial" w:hAnsi="Times New Roman" w:eastAsia="宋体" w:cs="Arial"/>
          <w:sz w:val="24"/>
          <w:szCs w:val="24"/>
        </w:rPr>
        <w:t>【】</w:t>
      </w:r>
    </w:p>
    <w:p>
      <w:pPr>
        <w:spacing w:line="360" w:lineRule="auto"/>
        <w:ind w:firstLine="480" w:firstLineChars="200"/>
        <w:rPr>
          <w:rFonts w:ascii="Arial" w:hAnsi="Arial" w:eastAsia="宋体" w:cs="Arial"/>
          <w:sz w:val="24"/>
          <w:szCs w:val="24"/>
        </w:rPr>
      </w:pPr>
      <w:r>
        <w:rPr>
          <w:rFonts w:ascii="Arial" w:hAnsi="Times New Roman" w:eastAsia="宋体" w:cs="Arial"/>
          <w:sz w:val="24"/>
          <w:szCs w:val="24"/>
        </w:rPr>
        <w:t>电话：</w:t>
      </w:r>
      <w:r>
        <w:rPr>
          <w:rFonts w:hint="eastAsia" w:ascii="Arial" w:hAnsi="Times New Roman" w:eastAsia="宋体" w:cs="Arial"/>
          <w:sz w:val="24"/>
          <w:szCs w:val="24"/>
        </w:rPr>
        <w:t>【】</w:t>
      </w:r>
      <w:r>
        <w:rPr>
          <w:rFonts w:ascii="Arial" w:hAnsi="Times New Roman" w:eastAsia="宋体" w:cs="Arial"/>
          <w:sz w:val="24"/>
          <w:szCs w:val="24"/>
        </w:rPr>
        <w:t>传真：</w:t>
      </w:r>
      <w:r>
        <w:rPr>
          <w:rFonts w:hint="eastAsia" w:ascii="Arial" w:hAnsi="Times New Roman" w:eastAsia="宋体" w:cs="Arial"/>
          <w:sz w:val="24"/>
          <w:szCs w:val="24"/>
        </w:rPr>
        <w:t>【】</w:t>
      </w:r>
    </w:p>
    <w:p>
      <w:pPr>
        <w:spacing w:line="360" w:lineRule="auto"/>
        <w:ind w:firstLine="480" w:firstLineChars="200"/>
        <w:rPr>
          <w:rFonts w:ascii="Arial" w:hAnsi="Times New Roman" w:eastAsia="宋体" w:cs="Arial"/>
          <w:sz w:val="24"/>
          <w:szCs w:val="24"/>
        </w:rPr>
      </w:pPr>
    </w:p>
    <w:p>
      <w:pPr>
        <w:spacing w:line="360" w:lineRule="auto"/>
        <w:rPr>
          <w:rFonts w:ascii="Arial" w:hAnsi="Arial" w:eastAsia="宋体" w:cs="Arial"/>
          <w:b/>
          <w:sz w:val="24"/>
          <w:szCs w:val="24"/>
        </w:rPr>
      </w:pPr>
      <w:r>
        <w:rPr>
          <w:rFonts w:hint="eastAsia" w:ascii="Arial" w:hAnsi="Times New Roman" w:eastAsia="宋体" w:cs="Arial"/>
          <w:b/>
          <w:sz w:val="24"/>
          <w:szCs w:val="24"/>
        </w:rPr>
        <w:t>【】</w:t>
      </w:r>
      <w:r>
        <w:rPr>
          <w:rFonts w:hint="eastAsia" w:ascii="宋体" w:hAnsi="宋体" w:eastAsia="宋体" w:cs="Arial"/>
          <w:sz w:val="24"/>
          <w:szCs w:val="24"/>
        </w:rPr>
        <w:t>（以下简称“【】”），作为联席主承销商</w:t>
      </w:r>
      <w:r>
        <w:rPr>
          <w:rFonts w:hint="eastAsia" w:ascii="宋体" w:hAnsi="宋体" w:eastAsia="宋体" w:cs="Times New Roman"/>
          <w:color w:val="000000"/>
          <w:sz w:val="24"/>
          <w:szCs w:val="24"/>
        </w:rPr>
        <w:t>。</w:t>
      </w:r>
    </w:p>
    <w:p>
      <w:pPr>
        <w:spacing w:line="360" w:lineRule="auto"/>
        <w:ind w:firstLine="480" w:firstLineChars="200"/>
        <w:rPr>
          <w:rFonts w:ascii="Arial" w:hAnsi="Times New Roman" w:eastAsia="宋体" w:cs="Arial"/>
          <w:sz w:val="24"/>
          <w:szCs w:val="24"/>
        </w:rPr>
      </w:pPr>
      <w:r>
        <w:rPr>
          <w:rFonts w:ascii="Arial" w:hAnsi="Times New Roman" w:eastAsia="宋体" w:cs="Arial"/>
          <w:sz w:val="24"/>
          <w:szCs w:val="24"/>
        </w:rPr>
        <w:t>法定代表人：</w:t>
      </w:r>
      <w:r>
        <w:rPr>
          <w:rFonts w:hint="eastAsia" w:ascii="Arial" w:hAnsi="Times New Roman" w:eastAsia="宋体" w:cs="Arial"/>
          <w:sz w:val="24"/>
          <w:szCs w:val="24"/>
        </w:rPr>
        <w:t>【】</w:t>
      </w:r>
    </w:p>
    <w:p>
      <w:pPr>
        <w:spacing w:line="360" w:lineRule="auto"/>
        <w:ind w:firstLine="480" w:firstLineChars="200"/>
        <w:rPr>
          <w:rFonts w:ascii="Arial" w:hAnsi="Times New Roman" w:eastAsia="宋体" w:cs="Arial"/>
          <w:sz w:val="24"/>
          <w:szCs w:val="24"/>
        </w:rPr>
      </w:pPr>
      <w:r>
        <w:rPr>
          <w:rFonts w:ascii="Arial" w:hAnsi="Times New Roman" w:eastAsia="宋体" w:cs="Arial"/>
          <w:sz w:val="24"/>
          <w:szCs w:val="24"/>
        </w:rPr>
        <w:t>邮政编码：</w:t>
      </w:r>
      <w:r>
        <w:rPr>
          <w:rFonts w:hint="eastAsia" w:ascii="Arial" w:hAnsi="Times New Roman" w:eastAsia="宋体" w:cs="Arial"/>
          <w:sz w:val="24"/>
          <w:szCs w:val="24"/>
        </w:rPr>
        <w:t>【】</w:t>
      </w:r>
    </w:p>
    <w:p>
      <w:pPr>
        <w:spacing w:line="360" w:lineRule="auto"/>
        <w:ind w:firstLine="480" w:firstLineChars="200"/>
        <w:rPr>
          <w:rFonts w:ascii="Arial" w:hAnsi="Times New Roman" w:eastAsia="宋体" w:cs="Arial"/>
          <w:sz w:val="24"/>
          <w:szCs w:val="24"/>
        </w:rPr>
      </w:pPr>
      <w:r>
        <w:rPr>
          <w:rFonts w:ascii="Arial" w:hAnsi="Times New Roman" w:eastAsia="宋体" w:cs="Arial"/>
          <w:sz w:val="24"/>
          <w:szCs w:val="24"/>
        </w:rPr>
        <w:t>住所：</w:t>
      </w:r>
      <w:r>
        <w:rPr>
          <w:rFonts w:hint="eastAsia" w:ascii="Arial" w:hAnsi="Times New Roman" w:eastAsia="宋体" w:cs="Arial"/>
          <w:sz w:val="24"/>
          <w:szCs w:val="24"/>
        </w:rPr>
        <w:t>【】</w:t>
      </w:r>
    </w:p>
    <w:p>
      <w:pPr>
        <w:spacing w:line="360" w:lineRule="auto"/>
        <w:ind w:firstLine="480" w:firstLineChars="200"/>
        <w:rPr>
          <w:rFonts w:ascii="Arial" w:hAnsi="Arial" w:eastAsia="宋体" w:cs="Arial"/>
          <w:sz w:val="24"/>
          <w:szCs w:val="24"/>
        </w:rPr>
      </w:pPr>
      <w:r>
        <w:rPr>
          <w:rFonts w:ascii="Arial" w:hAnsi="Times New Roman" w:eastAsia="宋体" w:cs="Arial"/>
          <w:sz w:val="24"/>
          <w:szCs w:val="24"/>
        </w:rPr>
        <w:t>电话：</w:t>
      </w:r>
      <w:r>
        <w:rPr>
          <w:rFonts w:hint="eastAsia" w:ascii="Arial" w:hAnsi="Times New Roman" w:eastAsia="宋体" w:cs="Arial"/>
          <w:sz w:val="24"/>
          <w:szCs w:val="24"/>
        </w:rPr>
        <w:t>【】</w:t>
      </w:r>
      <w:r>
        <w:rPr>
          <w:rFonts w:ascii="Arial" w:hAnsi="Times New Roman" w:eastAsia="宋体" w:cs="Arial"/>
          <w:sz w:val="24"/>
          <w:szCs w:val="24"/>
        </w:rPr>
        <w:t>传真：</w:t>
      </w:r>
      <w:r>
        <w:rPr>
          <w:rFonts w:hint="eastAsia" w:ascii="Arial" w:hAnsi="Times New Roman" w:eastAsia="宋体" w:cs="Arial"/>
          <w:sz w:val="24"/>
          <w:szCs w:val="24"/>
        </w:rPr>
        <w:t>【】</w:t>
      </w:r>
    </w:p>
    <w:p>
      <w:pPr>
        <w:spacing w:line="360" w:lineRule="auto"/>
        <w:ind w:firstLine="480" w:firstLineChars="200"/>
        <w:rPr>
          <w:rFonts w:ascii="Arial" w:hAnsi="Times New Roman" w:eastAsia="宋体" w:cs="Arial"/>
          <w:sz w:val="24"/>
          <w:szCs w:val="24"/>
        </w:rPr>
      </w:pPr>
    </w:p>
    <w:p>
      <w:pPr>
        <w:spacing w:line="360" w:lineRule="auto"/>
        <w:rPr>
          <w:rFonts w:ascii="Arial" w:hAnsi="Arial" w:eastAsia="宋体" w:cs="Arial"/>
          <w:b/>
          <w:sz w:val="24"/>
          <w:szCs w:val="24"/>
        </w:rPr>
      </w:pPr>
      <w:r>
        <w:rPr>
          <w:rFonts w:ascii="Arial" w:hAnsi="Times New Roman" w:eastAsia="宋体" w:cs="Arial"/>
          <w:b/>
          <w:sz w:val="24"/>
          <w:szCs w:val="24"/>
        </w:rPr>
        <w:t>鉴于：</w:t>
      </w:r>
    </w:p>
    <w:p>
      <w:pPr>
        <w:spacing w:line="360" w:lineRule="auto"/>
        <w:ind w:firstLine="480" w:firstLineChars="200"/>
        <w:rPr>
          <w:rFonts w:ascii="Arial" w:hAnsi="Arial" w:eastAsia="宋体" w:cs="Arial"/>
          <w:sz w:val="24"/>
          <w:szCs w:val="24"/>
        </w:rPr>
      </w:pPr>
      <w:r>
        <w:rPr>
          <w:rFonts w:ascii="Arial" w:hAnsi="Arial" w:eastAsia="宋体" w:cs="Arial"/>
          <w:sz w:val="24"/>
          <w:szCs w:val="24"/>
        </w:rPr>
        <w:t>1</w:t>
      </w:r>
      <w:r>
        <w:rPr>
          <w:rFonts w:ascii="Arial" w:hAnsi="Times New Roman" w:eastAsia="宋体" w:cs="Arial"/>
          <w:sz w:val="24"/>
          <w:szCs w:val="24"/>
        </w:rPr>
        <w:t>、甲方系一家根据中华人民共和国法律注册成立的有限责任公司；</w:t>
      </w:r>
    </w:p>
    <w:p>
      <w:pPr>
        <w:spacing w:line="360" w:lineRule="auto"/>
        <w:ind w:firstLine="480" w:firstLineChars="200"/>
        <w:rPr>
          <w:rFonts w:ascii="Arial" w:hAnsi="Arial" w:eastAsia="宋体" w:cs="Arial"/>
          <w:sz w:val="24"/>
          <w:szCs w:val="24"/>
        </w:rPr>
      </w:pPr>
      <w:r>
        <w:rPr>
          <w:rFonts w:ascii="Arial" w:hAnsi="Arial" w:eastAsia="宋体" w:cs="Arial"/>
          <w:sz w:val="24"/>
          <w:szCs w:val="24"/>
        </w:rPr>
        <w:t>2</w:t>
      </w:r>
      <w:r>
        <w:rPr>
          <w:rFonts w:ascii="Arial" w:hAnsi="Times New Roman" w:eastAsia="宋体" w:cs="Arial"/>
          <w:sz w:val="24"/>
          <w:szCs w:val="24"/>
        </w:rPr>
        <w:t>、经</w:t>
      </w:r>
      <w:r>
        <w:rPr>
          <w:rFonts w:hint="eastAsia" w:ascii="Arial" w:hAnsi="Times New Roman" w:eastAsia="宋体" w:cs="Arial"/>
          <w:sz w:val="24"/>
          <w:szCs w:val="24"/>
        </w:rPr>
        <w:t>【】证券交易所审核同意</w:t>
      </w:r>
      <w:r>
        <w:rPr>
          <w:rFonts w:ascii="Arial" w:hAnsi="Times New Roman" w:eastAsia="宋体" w:cs="Arial"/>
          <w:sz w:val="24"/>
          <w:szCs w:val="24"/>
        </w:rPr>
        <w:t>，甲方拟在国内向</w:t>
      </w:r>
      <w:r>
        <w:rPr>
          <w:rFonts w:hint="eastAsia" w:ascii="Arial" w:hAnsi="Times New Roman" w:eastAsia="宋体" w:cs="Arial"/>
          <w:sz w:val="24"/>
          <w:szCs w:val="24"/>
        </w:rPr>
        <w:t>专业投资者非</w:t>
      </w:r>
      <w:r>
        <w:rPr>
          <w:rFonts w:ascii="Arial" w:hAnsi="Times New Roman" w:eastAsia="宋体" w:cs="Arial"/>
          <w:sz w:val="24"/>
          <w:szCs w:val="24"/>
        </w:rPr>
        <w:t>公开发行总额不超过人民币</w:t>
      </w:r>
      <w:r>
        <w:rPr>
          <w:rFonts w:hint="eastAsia" w:ascii="Arial" w:hAnsi="Times New Roman" w:eastAsia="宋体" w:cs="Arial"/>
          <w:sz w:val="24"/>
          <w:szCs w:val="24"/>
        </w:rPr>
        <w:t>10</w:t>
      </w:r>
      <w:r>
        <w:rPr>
          <w:rFonts w:ascii="Arial" w:hAnsi="Times New Roman" w:eastAsia="宋体" w:cs="Arial"/>
          <w:sz w:val="24"/>
          <w:szCs w:val="24"/>
        </w:rPr>
        <w:t>亿元（含</w:t>
      </w:r>
      <w:r>
        <w:rPr>
          <w:rFonts w:hint="eastAsia" w:ascii="Arial" w:hAnsi="Times New Roman" w:eastAsia="宋体" w:cs="Arial"/>
          <w:sz w:val="24"/>
          <w:szCs w:val="24"/>
        </w:rPr>
        <w:t>10</w:t>
      </w:r>
      <w:r>
        <w:rPr>
          <w:rFonts w:ascii="Arial" w:hAnsi="Times New Roman" w:eastAsia="宋体" w:cs="Arial"/>
          <w:sz w:val="24"/>
          <w:szCs w:val="24"/>
        </w:rPr>
        <w:t>亿元）的</w:t>
      </w:r>
      <w:r>
        <w:rPr>
          <w:rFonts w:hint="eastAsia" w:ascii="Arial" w:hAnsi="Times New Roman" w:eastAsia="宋体" w:cs="Arial"/>
          <w:sz w:val="24"/>
          <w:szCs w:val="24"/>
        </w:rPr>
        <w:t>非公开</w:t>
      </w:r>
      <w:r>
        <w:rPr>
          <w:rFonts w:ascii="Arial" w:hAnsi="Times New Roman" w:eastAsia="宋体" w:cs="Arial"/>
          <w:sz w:val="24"/>
          <w:szCs w:val="24"/>
        </w:rPr>
        <w:t>公司债</w:t>
      </w:r>
      <w:r>
        <w:rPr>
          <w:rFonts w:ascii="Arial" w:hAnsi="宋体" w:eastAsia="宋体" w:cs="Arial"/>
          <w:sz w:val="24"/>
          <w:szCs w:val="24"/>
        </w:rPr>
        <w:t>券</w:t>
      </w:r>
      <w:r>
        <w:rPr>
          <w:rFonts w:hint="eastAsia" w:ascii="Arial" w:hAnsi="Arial" w:eastAsia="宋体" w:cs="Arial"/>
          <w:sz w:val="24"/>
          <w:szCs w:val="24"/>
        </w:rPr>
        <w:t>（</w:t>
      </w:r>
      <w:r>
        <w:rPr>
          <w:rFonts w:ascii="Arial" w:hAnsi="宋体" w:eastAsia="宋体" w:cs="Arial"/>
          <w:sz w:val="24"/>
          <w:szCs w:val="24"/>
        </w:rPr>
        <w:t>以下简称</w:t>
      </w:r>
      <w:r>
        <w:rPr>
          <w:rFonts w:hint="eastAsia" w:ascii="Arial" w:hAnsi="Arial" w:eastAsia="宋体" w:cs="Arial"/>
          <w:sz w:val="24"/>
          <w:szCs w:val="24"/>
        </w:rPr>
        <w:t>“</w:t>
      </w:r>
      <w:r>
        <w:rPr>
          <w:rFonts w:ascii="Arial" w:hAnsi="宋体" w:eastAsia="宋体" w:cs="Arial"/>
          <w:sz w:val="24"/>
          <w:szCs w:val="24"/>
        </w:rPr>
        <w:t>本次债券</w:t>
      </w:r>
      <w:r>
        <w:rPr>
          <w:rFonts w:hint="eastAsia" w:ascii="Arial" w:hAnsi="Arial" w:eastAsia="宋体" w:cs="Arial"/>
          <w:sz w:val="24"/>
          <w:szCs w:val="24"/>
        </w:rPr>
        <w:t>”）</w:t>
      </w:r>
      <w:r>
        <w:rPr>
          <w:rFonts w:ascii="Arial" w:hAnsi="宋体" w:eastAsia="宋体" w:cs="Arial"/>
          <w:sz w:val="24"/>
          <w:szCs w:val="24"/>
        </w:rPr>
        <w:t>；</w:t>
      </w:r>
    </w:p>
    <w:p>
      <w:pPr>
        <w:spacing w:line="360" w:lineRule="auto"/>
        <w:ind w:firstLine="480" w:firstLineChars="200"/>
        <w:rPr>
          <w:rFonts w:ascii="Arial" w:hAnsi="Arial" w:eastAsia="宋体" w:cs="Arial"/>
          <w:sz w:val="24"/>
          <w:szCs w:val="24"/>
        </w:rPr>
      </w:pPr>
      <w:r>
        <w:rPr>
          <w:rFonts w:ascii="Arial" w:hAnsi="Arial" w:eastAsia="宋体" w:cs="Arial"/>
          <w:sz w:val="24"/>
          <w:szCs w:val="24"/>
        </w:rPr>
        <w:t>3</w:t>
      </w:r>
      <w:r>
        <w:rPr>
          <w:rFonts w:ascii="Arial" w:hAnsi="Times New Roman" w:eastAsia="宋体" w:cs="Arial"/>
          <w:sz w:val="24"/>
          <w:szCs w:val="24"/>
        </w:rPr>
        <w:t>、乙方系</w:t>
      </w:r>
      <w:r>
        <w:rPr>
          <w:rFonts w:hint="eastAsia" w:ascii="Arial" w:hAnsi="Times New Roman" w:eastAsia="宋体" w:cs="Arial"/>
          <w:sz w:val="24"/>
          <w:szCs w:val="24"/>
        </w:rPr>
        <w:t>依法成立的金融机构法人</w:t>
      </w:r>
      <w:r>
        <w:rPr>
          <w:rFonts w:ascii="Arial" w:hAnsi="Times New Roman" w:eastAsia="宋体" w:cs="Arial"/>
          <w:sz w:val="24"/>
          <w:szCs w:val="24"/>
        </w:rPr>
        <w:t>，具有</w:t>
      </w:r>
      <w:r>
        <w:rPr>
          <w:rFonts w:hint="eastAsia" w:ascii="Arial" w:hAnsi="Times New Roman" w:eastAsia="宋体" w:cs="Arial"/>
          <w:sz w:val="24"/>
          <w:szCs w:val="24"/>
        </w:rPr>
        <w:t>债券</w:t>
      </w:r>
      <w:r>
        <w:rPr>
          <w:rFonts w:ascii="Arial" w:hAnsi="Times New Roman" w:eastAsia="宋体" w:cs="Arial"/>
          <w:sz w:val="24"/>
          <w:szCs w:val="24"/>
        </w:rPr>
        <w:t>承销资格；</w:t>
      </w:r>
    </w:p>
    <w:p>
      <w:pPr>
        <w:spacing w:line="360" w:lineRule="auto"/>
        <w:ind w:firstLine="480" w:firstLineChars="200"/>
        <w:rPr>
          <w:rFonts w:ascii="Arial" w:hAnsi="Arial" w:eastAsia="宋体" w:cs="Arial"/>
          <w:sz w:val="24"/>
          <w:szCs w:val="24"/>
        </w:rPr>
      </w:pPr>
      <w:r>
        <w:rPr>
          <w:rFonts w:ascii="Arial" w:hAnsi="Arial" w:eastAsia="宋体" w:cs="Arial"/>
          <w:sz w:val="24"/>
          <w:szCs w:val="24"/>
        </w:rPr>
        <w:t>4</w:t>
      </w:r>
      <w:r>
        <w:rPr>
          <w:rFonts w:ascii="Arial" w:hAnsi="Times New Roman" w:eastAsia="宋体" w:cs="Arial"/>
          <w:sz w:val="24"/>
          <w:szCs w:val="24"/>
        </w:rPr>
        <w:t>、甲方拟委任乙方为本次债券发行的主承销商，</w:t>
      </w:r>
      <w:r>
        <w:rPr>
          <w:rFonts w:hint="eastAsia" w:ascii="Arial" w:hAnsi="Times New Roman" w:eastAsia="宋体" w:cs="Arial"/>
          <w:sz w:val="24"/>
          <w:szCs w:val="24"/>
        </w:rPr>
        <w:t>负责组织承销团</w:t>
      </w:r>
      <w:r>
        <w:rPr>
          <w:rFonts w:ascii="Arial" w:hAnsi="Times New Roman" w:eastAsia="宋体" w:cs="Arial"/>
          <w:sz w:val="24"/>
          <w:szCs w:val="24"/>
        </w:rPr>
        <w:t>以余额包销的方式承销本次债券，乙方同意接受此项聘用。</w:t>
      </w:r>
    </w:p>
    <w:p>
      <w:pPr>
        <w:spacing w:line="360" w:lineRule="auto"/>
        <w:ind w:firstLine="480" w:firstLineChars="200"/>
        <w:rPr>
          <w:rFonts w:ascii="Arial" w:hAnsi="Arial" w:eastAsia="宋体" w:cs="Arial"/>
          <w:sz w:val="24"/>
          <w:szCs w:val="24"/>
        </w:rPr>
      </w:pPr>
      <w:r>
        <w:rPr>
          <w:rFonts w:ascii="Arial" w:hAnsi="Times New Roman" w:eastAsia="宋体" w:cs="Arial"/>
          <w:sz w:val="24"/>
          <w:szCs w:val="24"/>
        </w:rPr>
        <w:t>依据《中华人民共和国证券法》、《中华人民共和国公司法》、《公司债券发行与交易管理办法》（以下简称《管理办法》）</w:t>
      </w:r>
      <w:r>
        <w:rPr>
          <w:rFonts w:hint="eastAsia" w:ascii="Arial" w:hAnsi="Times New Roman" w:eastAsia="宋体" w:cs="Arial"/>
          <w:sz w:val="24"/>
          <w:szCs w:val="24"/>
        </w:rPr>
        <w:t>、《非公开发行公司债券备案管理办法》（以下简称《备案办法》）</w:t>
      </w:r>
      <w:r>
        <w:rPr>
          <w:rFonts w:ascii="Arial" w:hAnsi="Times New Roman" w:eastAsia="宋体" w:cs="Arial"/>
          <w:sz w:val="24"/>
          <w:szCs w:val="24"/>
        </w:rPr>
        <w:t>以及国家其他有关法律、法规</w:t>
      </w:r>
      <w:r>
        <w:rPr>
          <w:rFonts w:hint="eastAsia" w:ascii="Arial" w:hAnsi="Times New Roman" w:eastAsia="宋体" w:cs="Arial"/>
          <w:sz w:val="24"/>
          <w:szCs w:val="24"/>
        </w:rPr>
        <w:t>、规范性文件及自律规则（以下合称法律、法规和规则）</w:t>
      </w:r>
      <w:r>
        <w:rPr>
          <w:rFonts w:ascii="Arial" w:hAnsi="Times New Roman" w:eastAsia="宋体" w:cs="Arial"/>
          <w:sz w:val="24"/>
          <w:szCs w:val="24"/>
        </w:rPr>
        <w:t>，甲、乙双方经友好协商一致，达成如下协议，以资共同遵守执行：</w:t>
      </w:r>
    </w:p>
    <w:p>
      <w:pPr>
        <w:widowControl/>
        <w:jc w:val="left"/>
        <w:rPr>
          <w:rFonts w:ascii="Arial" w:hAnsi="Times New Roman" w:eastAsia="宋体" w:cs="Arial"/>
          <w:b/>
          <w:sz w:val="24"/>
          <w:szCs w:val="24"/>
        </w:rPr>
      </w:pPr>
      <w:r>
        <w:rPr>
          <w:rFonts w:ascii="Arial" w:hAnsi="Times New Roman" w:eastAsia="宋体" w:cs="Arial"/>
          <w:b/>
          <w:sz w:val="24"/>
          <w:szCs w:val="24"/>
        </w:rPr>
        <w:br w:type="page"/>
      </w:r>
    </w:p>
    <w:p>
      <w:pPr>
        <w:spacing w:line="360" w:lineRule="auto"/>
        <w:jc w:val="center"/>
        <w:outlineLvl w:val="0"/>
        <w:rPr>
          <w:rFonts w:ascii="Arial" w:hAnsi="Arial" w:eastAsia="宋体" w:cs="Arial"/>
          <w:b/>
          <w:sz w:val="24"/>
          <w:szCs w:val="24"/>
        </w:rPr>
      </w:pPr>
      <w:r>
        <w:rPr>
          <w:rFonts w:ascii="Arial" w:hAnsi="Times New Roman" w:eastAsia="宋体" w:cs="Arial"/>
          <w:b/>
          <w:sz w:val="24"/>
          <w:szCs w:val="24"/>
        </w:rPr>
        <w:t>第一条</w:t>
      </w:r>
      <w:r>
        <w:rPr>
          <w:rFonts w:hint="eastAsia" w:ascii="Arial" w:hAnsi="Times New Roman" w:eastAsia="宋体" w:cs="Arial"/>
          <w:b/>
          <w:sz w:val="24"/>
          <w:szCs w:val="24"/>
        </w:rPr>
        <w:t xml:space="preserve">  </w:t>
      </w:r>
      <w:r>
        <w:rPr>
          <w:rFonts w:ascii="Arial" w:hAnsi="Times New Roman" w:eastAsia="宋体" w:cs="Arial"/>
          <w:b/>
          <w:sz w:val="24"/>
          <w:szCs w:val="24"/>
        </w:rPr>
        <w:t>释义</w:t>
      </w:r>
    </w:p>
    <w:p>
      <w:pPr>
        <w:spacing w:line="360" w:lineRule="auto"/>
        <w:ind w:firstLine="470" w:firstLineChars="196"/>
        <w:outlineLvl w:val="0"/>
        <w:rPr>
          <w:rFonts w:ascii="Arial" w:hAnsi="Arial" w:eastAsia="宋体" w:cs="Arial"/>
          <w:b/>
          <w:sz w:val="24"/>
          <w:szCs w:val="24"/>
        </w:rPr>
      </w:pPr>
      <w:r>
        <w:rPr>
          <w:rFonts w:ascii="Arial" w:hAnsi="Arial" w:eastAsia="宋体" w:cs="Arial"/>
          <w:sz w:val="24"/>
          <w:szCs w:val="24"/>
        </w:rPr>
        <w:t xml:space="preserve">1.1  </w:t>
      </w:r>
      <w:r>
        <w:rPr>
          <w:rFonts w:ascii="Arial" w:hAnsi="Times New Roman" w:eastAsia="宋体" w:cs="Arial"/>
          <w:sz w:val="24"/>
          <w:szCs w:val="24"/>
        </w:rPr>
        <w:t>在本协议中，除非上下文另有规定，下列词语具有以下含义：</w:t>
      </w:r>
    </w:p>
    <w:tbl>
      <w:tblPr>
        <w:tblStyle w:val="47"/>
        <w:tblW w:w="0" w:type="auto"/>
        <w:tblInd w:w="0" w:type="dxa"/>
        <w:tblLayout w:type="autofit"/>
        <w:tblCellMar>
          <w:top w:w="0" w:type="dxa"/>
          <w:left w:w="108" w:type="dxa"/>
          <w:bottom w:w="0" w:type="dxa"/>
          <w:right w:w="108" w:type="dxa"/>
        </w:tblCellMar>
      </w:tblPr>
      <w:tblGrid>
        <w:gridCol w:w="2088"/>
        <w:gridCol w:w="6300"/>
      </w:tblGrid>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w:t>
            </w:r>
            <w:r>
              <w:rPr>
                <w:rFonts w:ascii="Arial" w:hAnsi="Times New Roman" w:eastAsia="宋体" w:cs="Arial"/>
                <w:sz w:val="24"/>
                <w:szCs w:val="24"/>
              </w:rPr>
              <w:t>发行人</w:t>
            </w:r>
            <w:r>
              <w:rPr>
                <w:rFonts w:hint="eastAsia" w:ascii="Arial" w:hAnsi="Arial" w:eastAsia="宋体" w:cs="Arial"/>
                <w:sz w:val="24"/>
                <w:szCs w:val="24"/>
              </w:rPr>
              <w:t>”</w:t>
            </w:r>
          </w:p>
        </w:tc>
        <w:tc>
          <w:tcPr>
            <w:tcW w:w="6300" w:type="dxa"/>
            <w:noWrap w:val="0"/>
            <w:vAlign w:val="top"/>
          </w:tcPr>
          <w:p>
            <w:pPr>
              <w:spacing w:line="360" w:lineRule="auto"/>
              <w:rPr>
                <w:rFonts w:ascii="Arial" w:hAnsi="Arial" w:eastAsia="宋体" w:cs="Arial"/>
                <w:sz w:val="24"/>
                <w:szCs w:val="24"/>
              </w:rPr>
            </w:pPr>
            <w:r>
              <w:rPr>
                <w:rFonts w:ascii="Arial" w:hAnsi="Times New Roman" w:eastAsia="宋体" w:cs="Arial"/>
                <w:sz w:val="24"/>
                <w:szCs w:val="24"/>
              </w:rPr>
              <w:t>指</w:t>
            </w:r>
            <w:r>
              <w:rPr>
                <w:rFonts w:hint="eastAsia" w:ascii="Arial" w:hAnsi="Times New Roman" w:eastAsia="宋体" w:cs="Arial"/>
                <w:sz w:val="24"/>
                <w:szCs w:val="24"/>
              </w:rPr>
              <w:t>湖南智谷投资发展集团有限公司</w:t>
            </w:r>
            <w:r>
              <w:rPr>
                <w:rFonts w:ascii="Arial" w:hAnsi="Times New Roman" w:eastAsia="宋体" w:cs="Arial"/>
                <w:sz w:val="24"/>
                <w:szCs w:val="24"/>
              </w:rPr>
              <w:t>，即甲方；</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“牵头主承销商”</w:t>
            </w:r>
          </w:p>
        </w:tc>
        <w:tc>
          <w:tcPr>
            <w:tcW w:w="6300" w:type="dxa"/>
            <w:noWrap w:val="0"/>
            <w:vAlign w:val="top"/>
          </w:tcPr>
          <w:p>
            <w:pPr>
              <w:spacing w:line="360" w:lineRule="auto"/>
              <w:rPr>
                <w:rFonts w:hint="eastAsia" w:ascii="Arial" w:hAnsi="Times New Roman" w:eastAsia="宋体" w:cs="Arial"/>
                <w:sz w:val="24"/>
                <w:szCs w:val="24"/>
              </w:rPr>
            </w:pPr>
            <w:r>
              <w:rPr>
                <w:rFonts w:hint="eastAsia" w:ascii="Arial" w:hAnsi="Times New Roman" w:eastAsia="宋体" w:cs="Arial"/>
                <w:sz w:val="24"/>
                <w:szCs w:val="24"/>
              </w:rPr>
              <w:t>指【】；</w:t>
            </w:r>
          </w:p>
        </w:tc>
      </w:tr>
      <w:tr>
        <w:tblPrEx>
          <w:tblCellMar>
            <w:top w:w="0" w:type="dxa"/>
            <w:left w:w="108" w:type="dxa"/>
            <w:bottom w:w="0" w:type="dxa"/>
            <w:right w:w="108" w:type="dxa"/>
          </w:tblCellMar>
        </w:tblPrEx>
        <w:tc>
          <w:tcPr>
            <w:tcW w:w="2088" w:type="dxa"/>
            <w:noWrap w:val="0"/>
            <w:vAlign w:val="top"/>
          </w:tcPr>
          <w:p>
            <w:pPr>
              <w:spacing w:line="360" w:lineRule="auto"/>
              <w:rPr>
                <w:rFonts w:hint="eastAsia" w:ascii="Arial" w:hAnsi="Arial" w:eastAsia="宋体" w:cs="Arial"/>
                <w:sz w:val="24"/>
                <w:szCs w:val="24"/>
              </w:rPr>
            </w:pPr>
            <w:r>
              <w:rPr>
                <w:rFonts w:hint="eastAsia" w:ascii="Arial" w:hAnsi="Arial" w:eastAsia="宋体" w:cs="Arial"/>
                <w:sz w:val="24"/>
                <w:szCs w:val="24"/>
              </w:rPr>
              <w:t>“联席主承销商”</w:t>
            </w:r>
          </w:p>
        </w:tc>
        <w:tc>
          <w:tcPr>
            <w:tcW w:w="6300" w:type="dxa"/>
            <w:noWrap w:val="0"/>
            <w:vAlign w:val="top"/>
          </w:tcPr>
          <w:p>
            <w:pPr>
              <w:spacing w:line="360" w:lineRule="auto"/>
              <w:rPr>
                <w:rFonts w:hint="eastAsia" w:ascii="Arial" w:hAnsi="Times New Roman" w:eastAsia="宋体" w:cs="Arial"/>
                <w:sz w:val="24"/>
                <w:szCs w:val="24"/>
              </w:rPr>
            </w:pPr>
            <w:r>
              <w:rPr>
                <w:rFonts w:hint="eastAsia" w:ascii="Arial" w:hAnsi="Times New Roman" w:eastAsia="宋体" w:cs="Arial"/>
                <w:sz w:val="24"/>
                <w:szCs w:val="24"/>
              </w:rPr>
              <w:t>指【】；</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“簿记管理人”</w:t>
            </w:r>
          </w:p>
        </w:tc>
        <w:tc>
          <w:tcPr>
            <w:tcW w:w="6300" w:type="dxa"/>
            <w:noWrap w:val="0"/>
            <w:vAlign w:val="top"/>
          </w:tcPr>
          <w:p>
            <w:pPr>
              <w:spacing w:line="360" w:lineRule="auto"/>
              <w:rPr>
                <w:rFonts w:ascii="Arial" w:hAnsi="Times New Roman" w:eastAsia="宋体" w:cs="Arial"/>
                <w:sz w:val="24"/>
                <w:szCs w:val="24"/>
              </w:rPr>
            </w:pPr>
            <w:r>
              <w:rPr>
                <w:rFonts w:ascii="Arial" w:hAnsi="Times New Roman" w:eastAsia="宋体" w:cs="Arial"/>
                <w:sz w:val="24"/>
                <w:szCs w:val="24"/>
              </w:rPr>
              <w:t>指【】</w:t>
            </w:r>
            <w:r>
              <w:rPr>
                <w:rFonts w:hint="eastAsia" w:ascii="Arial" w:hAnsi="Times New Roman" w:eastAsia="宋体" w:cs="Arial"/>
                <w:sz w:val="24"/>
                <w:szCs w:val="24"/>
              </w:rPr>
              <w:t>；</w:t>
            </w:r>
          </w:p>
        </w:tc>
      </w:tr>
      <w:tr>
        <w:tblPrEx>
          <w:tblCellMar>
            <w:top w:w="0" w:type="dxa"/>
            <w:left w:w="108" w:type="dxa"/>
            <w:bottom w:w="0" w:type="dxa"/>
            <w:right w:w="108" w:type="dxa"/>
          </w:tblCellMar>
        </w:tblPrEx>
        <w:tc>
          <w:tcPr>
            <w:tcW w:w="2088" w:type="dxa"/>
            <w:noWrap w:val="0"/>
            <w:vAlign w:val="top"/>
          </w:tcPr>
          <w:p>
            <w:pPr>
              <w:spacing w:line="360" w:lineRule="auto"/>
              <w:rPr>
                <w:rFonts w:hint="eastAsia" w:ascii="Arial" w:hAnsi="Arial" w:eastAsia="宋体" w:cs="Arial"/>
                <w:sz w:val="24"/>
                <w:szCs w:val="24"/>
              </w:rPr>
            </w:pPr>
            <w:r>
              <w:rPr>
                <w:rFonts w:hint="eastAsia" w:ascii="Arial" w:hAnsi="Arial" w:eastAsia="宋体" w:cs="Arial"/>
                <w:sz w:val="24"/>
                <w:szCs w:val="24"/>
              </w:rPr>
              <w:t>“主承销商”</w:t>
            </w:r>
          </w:p>
        </w:tc>
        <w:tc>
          <w:tcPr>
            <w:tcW w:w="6300"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指【】公司、【】公司，即乙方；</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highlight w:val="yellow"/>
              </w:rPr>
            </w:pPr>
            <w:r>
              <w:rPr>
                <w:rFonts w:hint="eastAsia" w:ascii="Arial" w:hAnsi="Arial" w:eastAsia="宋体" w:cs="Arial"/>
                <w:sz w:val="24"/>
                <w:szCs w:val="24"/>
              </w:rPr>
              <w:t>“</w:t>
            </w:r>
            <w:r>
              <w:rPr>
                <w:rFonts w:hint="eastAsia" w:ascii="Arial" w:hAnsi="Times New Roman" w:eastAsia="宋体" w:cs="Arial"/>
                <w:sz w:val="24"/>
                <w:szCs w:val="24"/>
              </w:rPr>
              <w:t>专业投资者</w:t>
            </w:r>
            <w:r>
              <w:rPr>
                <w:rFonts w:hint="eastAsia" w:ascii="Arial" w:hAnsi="Arial" w:eastAsia="宋体" w:cs="Arial"/>
                <w:sz w:val="24"/>
                <w:szCs w:val="24"/>
              </w:rPr>
              <w:t>”</w:t>
            </w:r>
          </w:p>
        </w:tc>
        <w:tc>
          <w:tcPr>
            <w:tcW w:w="6300" w:type="dxa"/>
            <w:noWrap w:val="0"/>
            <w:vAlign w:val="top"/>
          </w:tcPr>
          <w:p>
            <w:pPr>
              <w:spacing w:line="360" w:lineRule="auto"/>
              <w:rPr>
                <w:rFonts w:ascii="Arial" w:hAnsi="Times New Roman" w:eastAsia="宋体" w:cs="Arial"/>
                <w:sz w:val="24"/>
                <w:szCs w:val="24"/>
                <w:highlight w:val="yellow"/>
              </w:rPr>
            </w:pPr>
            <w:r>
              <w:rPr>
                <w:rFonts w:hint="eastAsia" w:ascii="Arial" w:hAnsi="Times New Roman" w:eastAsia="宋体" w:cs="Arial"/>
                <w:sz w:val="24"/>
                <w:szCs w:val="24"/>
              </w:rPr>
              <w:t>指符合</w:t>
            </w:r>
            <w:r>
              <w:rPr>
                <w:rFonts w:ascii="Arial" w:hAnsi="Times New Roman" w:eastAsia="宋体" w:cs="Arial"/>
                <w:sz w:val="24"/>
                <w:szCs w:val="24"/>
              </w:rPr>
              <w:t>《管理办法》</w:t>
            </w:r>
            <w:r>
              <w:rPr>
                <w:rFonts w:hint="eastAsia" w:ascii="Arial" w:hAnsi="Times New Roman" w:eastAsia="宋体" w:cs="Arial"/>
                <w:sz w:val="24"/>
                <w:szCs w:val="24"/>
              </w:rPr>
              <w:t>、《证券期货投资者适当性管理办法》以及《【上海/深圳】证券交易所债券市场投资者适当性管理办法》等</w:t>
            </w:r>
            <w:r>
              <w:rPr>
                <w:rFonts w:ascii="Arial" w:hAnsi="Times New Roman" w:eastAsia="宋体" w:cs="Arial"/>
                <w:sz w:val="24"/>
                <w:szCs w:val="24"/>
              </w:rPr>
              <w:t>规定条件的投资者</w:t>
            </w:r>
            <w:r>
              <w:rPr>
                <w:rFonts w:hint="eastAsia" w:ascii="Arial" w:hAnsi="Times New Roman" w:eastAsia="宋体" w:cs="Arial"/>
                <w:sz w:val="24"/>
                <w:szCs w:val="24"/>
              </w:rPr>
              <w:t>；</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highlight w:val="yellow"/>
              </w:rPr>
            </w:pPr>
            <w:r>
              <w:rPr>
                <w:rFonts w:hint="eastAsia" w:ascii="Arial" w:hAnsi="Arial" w:eastAsia="宋体" w:cs="Arial"/>
                <w:sz w:val="24"/>
                <w:szCs w:val="24"/>
              </w:rPr>
              <w:t>“本协议”或“承销协议”</w:t>
            </w:r>
          </w:p>
        </w:tc>
        <w:tc>
          <w:tcPr>
            <w:tcW w:w="6300" w:type="dxa"/>
            <w:noWrap w:val="0"/>
            <w:vAlign w:val="top"/>
          </w:tcPr>
          <w:p>
            <w:pPr>
              <w:spacing w:line="360" w:lineRule="auto"/>
              <w:rPr>
                <w:rFonts w:ascii="Arial" w:hAnsi="Times New Roman" w:eastAsia="宋体" w:cs="Arial"/>
                <w:sz w:val="24"/>
                <w:szCs w:val="24"/>
                <w:highlight w:val="yellow"/>
              </w:rPr>
            </w:pPr>
            <w:r>
              <w:rPr>
                <w:rFonts w:hint="eastAsia" w:ascii="Arial" w:hAnsi="Times New Roman" w:eastAsia="宋体" w:cs="Arial"/>
                <w:sz w:val="24"/>
                <w:szCs w:val="24"/>
              </w:rPr>
              <w:t>指发行人与主承销商为本期发行及交易流通签订的承销协议；</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w:t>
            </w:r>
            <w:r>
              <w:rPr>
                <w:rFonts w:ascii="Arial" w:hAnsi="Times New Roman" w:eastAsia="宋体" w:cs="Arial"/>
                <w:sz w:val="24"/>
                <w:szCs w:val="24"/>
              </w:rPr>
              <w:t>本次债券</w:t>
            </w:r>
            <w:r>
              <w:rPr>
                <w:rFonts w:hint="eastAsia" w:ascii="Arial" w:hAnsi="Arial" w:eastAsia="宋体" w:cs="Arial"/>
                <w:sz w:val="24"/>
                <w:szCs w:val="24"/>
              </w:rPr>
              <w:t>”</w:t>
            </w:r>
          </w:p>
          <w:p>
            <w:pPr>
              <w:spacing w:line="360" w:lineRule="auto"/>
              <w:rPr>
                <w:rFonts w:ascii="Arial" w:hAnsi="Arial" w:eastAsia="宋体" w:cs="Arial"/>
                <w:sz w:val="24"/>
                <w:szCs w:val="24"/>
              </w:rPr>
            </w:pPr>
          </w:p>
          <w:p>
            <w:pPr>
              <w:spacing w:line="360" w:lineRule="auto"/>
              <w:rPr>
                <w:rFonts w:ascii="Arial" w:hAnsi="Arial" w:eastAsia="宋体" w:cs="Arial"/>
                <w:sz w:val="24"/>
                <w:szCs w:val="24"/>
              </w:rPr>
            </w:pPr>
            <w:r>
              <w:rPr>
                <w:rFonts w:hint="eastAsia" w:ascii="Arial" w:hAnsi="Times New Roman" w:eastAsia="宋体" w:cs="Arial"/>
                <w:sz w:val="24"/>
                <w:szCs w:val="24"/>
              </w:rPr>
              <w:t>“本期债券”</w:t>
            </w:r>
          </w:p>
        </w:tc>
        <w:tc>
          <w:tcPr>
            <w:tcW w:w="6300" w:type="dxa"/>
            <w:noWrap w:val="0"/>
            <w:vAlign w:val="top"/>
          </w:tcPr>
          <w:p>
            <w:pPr>
              <w:spacing w:line="360" w:lineRule="auto"/>
              <w:rPr>
                <w:rFonts w:ascii="Arial" w:hAnsi="Times New Roman" w:eastAsia="宋体" w:cs="Arial"/>
                <w:sz w:val="24"/>
                <w:szCs w:val="24"/>
              </w:rPr>
            </w:pPr>
            <w:r>
              <w:rPr>
                <w:rFonts w:ascii="Arial" w:hAnsi="Times New Roman" w:eastAsia="宋体" w:cs="Arial"/>
                <w:sz w:val="24"/>
                <w:szCs w:val="24"/>
              </w:rPr>
              <w:t>指</w:t>
            </w:r>
            <w:r>
              <w:rPr>
                <w:rFonts w:hint="eastAsia" w:ascii="Arial" w:hAnsi="Times New Roman" w:eastAsia="宋体" w:cs="Arial"/>
                <w:sz w:val="24"/>
                <w:szCs w:val="24"/>
              </w:rPr>
              <w:t>本协议项下</w:t>
            </w:r>
            <w:r>
              <w:rPr>
                <w:rFonts w:ascii="Arial" w:hAnsi="Times New Roman" w:eastAsia="宋体" w:cs="Arial"/>
                <w:sz w:val="24"/>
                <w:szCs w:val="24"/>
              </w:rPr>
              <w:t>发行人拟</w:t>
            </w:r>
            <w:r>
              <w:rPr>
                <w:rFonts w:hint="eastAsia" w:ascii="Arial" w:hAnsi="Times New Roman" w:eastAsia="宋体" w:cs="Arial"/>
                <w:sz w:val="24"/>
                <w:szCs w:val="24"/>
              </w:rPr>
              <w:t>非</w:t>
            </w:r>
            <w:r>
              <w:rPr>
                <w:rFonts w:ascii="Arial" w:hAnsi="Times New Roman" w:eastAsia="宋体" w:cs="Arial"/>
                <w:sz w:val="24"/>
                <w:szCs w:val="24"/>
              </w:rPr>
              <w:t>公开发行的总额不超过</w:t>
            </w:r>
            <w:r>
              <w:rPr>
                <w:rFonts w:hint="eastAsia" w:ascii="Arial" w:hAnsi="Times New Roman" w:eastAsia="宋体" w:cs="Arial"/>
                <w:sz w:val="24"/>
                <w:szCs w:val="24"/>
              </w:rPr>
              <w:t>1</w:t>
            </w:r>
            <w:r>
              <w:rPr>
                <w:rFonts w:ascii="Arial" w:hAnsi="Times New Roman" w:eastAsia="宋体" w:cs="Arial"/>
                <w:sz w:val="24"/>
                <w:szCs w:val="24"/>
              </w:rPr>
              <w:t>0亿元（含</w:t>
            </w:r>
            <w:r>
              <w:rPr>
                <w:rFonts w:hint="eastAsia" w:ascii="Arial" w:hAnsi="Times New Roman" w:eastAsia="宋体" w:cs="Arial"/>
                <w:sz w:val="24"/>
                <w:szCs w:val="24"/>
              </w:rPr>
              <w:t>1</w:t>
            </w:r>
            <w:r>
              <w:rPr>
                <w:rFonts w:ascii="Arial" w:hAnsi="Times New Roman" w:eastAsia="宋体" w:cs="Arial"/>
                <w:sz w:val="24"/>
                <w:szCs w:val="24"/>
              </w:rPr>
              <w:t>0亿元）的公司债券，每张面值为人民币</w:t>
            </w:r>
            <w:r>
              <w:rPr>
                <w:rFonts w:ascii="Arial" w:hAnsi="Arial" w:eastAsia="宋体" w:cs="Arial"/>
                <w:sz w:val="24"/>
                <w:szCs w:val="24"/>
              </w:rPr>
              <w:t>100</w:t>
            </w:r>
            <w:r>
              <w:rPr>
                <w:rFonts w:ascii="Arial" w:hAnsi="Times New Roman" w:eastAsia="宋体" w:cs="Arial"/>
                <w:sz w:val="24"/>
                <w:szCs w:val="24"/>
              </w:rPr>
              <w:t>元；</w:t>
            </w:r>
          </w:p>
          <w:p>
            <w:pPr>
              <w:spacing w:line="360" w:lineRule="auto"/>
              <w:rPr>
                <w:rFonts w:ascii="Arial" w:hAnsi="Arial" w:eastAsia="宋体" w:cs="Arial"/>
                <w:sz w:val="24"/>
                <w:szCs w:val="24"/>
              </w:rPr>
            </w:pPr>
            <w:r>
              <w:rPr>
                <w:rFonts w:hint="eastAsia" w:ascii="Arial" w:hAnsi="Times New Roman" w:eastAsia="宋体" w:cs="Arial"/>
                <w:sz w:val="24"/>
                <w:szCs w:val="24"/>
              </w:rPr>
              <w:t>指按照募集说明书约定的采用分期发行（如有）的本次债券中的每一期；若本次债券不涉及分期发行，“本期债券”指本次债券；</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“簿记建档”</w:t>
            </w:r>
          </w:p>
        </w:tc>
        <w:tc>
          <w:tcPr>
            <w:tcW w:w="6300" w:type="dxa"/>
            <w:noWrap w:val="0"/>
            <w:vAlign w:val="top"/>
          </w:tcPr>
          <w:p>
            <w:pPr>
              <w:spacing w:line="360" w:lineRule="auto"/>
              <w:rPr>
                <w:rFonts w:ascii="Arial" w:hAnsi="Times New Roman" w:eastAsia="宋体" w:cs="Arial"/>
                <w:sz w:val="24"/>
                <w:szCs w:val="24"/>
              </w:rPr>
            </w:pPr>
            <w:r>
              <w:rPr>
                <w:rFonts w:hint="eastAsia" w:ascii="Arial" w:hAnsi="Times New Roman" w:eastAsia="宋体" w:cs="Arial"/>
                <w:sz w:val="24"/>
                <w:szCs w:val="24"/>
              </w:rPr>
              <w:t>指由发行人和主承销商协商确定本期债券项下各期债券的利率区间，簿记管理人负责记录申购订单，最终由发行人和主承销商根据申购情况确定本期债券项下各期债券的最终发行规模及发行利率的过程；</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“挂牌</w:t>
            </w:r>
            <w:r>
              <w:rPr>
                <w:rFonts w:ascii="Arial" w:hAnsi="Arial" w:eastAsia="宋体" w:cs="Arial"/>
                <w:sz w:val="24"/>
                <w:szCs w:val="24"/>
              </w:rPr>
              <w:t>/</w:t>
            </w:r>
            <w:r>
              <w:rPr>
                <w:rFonts w:hint="eastAsia" w:ascii="Arial" w:hAnsi="Arial" w:eastAsia="宋体" w:cs="Arial"/>
                <w:sz w:val="24"/>
                <w:szCs w:val="24"/>
              </w:rPr>
              <w:t>交易流通”</w:t>
            </w:r>
          </w:p>
        </w:tc>
        <w:tc>
          <w:tcPr>
            <w:tcW w:w="6300" w:type="dxa"/>
            <w:noWrap w:val="0"/>
            <w:vAlign w:val="top"/>
          </w:tcPr>
          <w:p>
            <w:pPr>
              <w:spacing w:line="360" w:lineRule="auto"/>
              <w:rPr>
                <w:rFonts w:ascii="Arial" w:hAnsi="Times New Roman" w:eastAsia="宋体" w:cs="Arial"/>
                <w:sz w:val="24"/>
                <w:szCs w:val="24"/>
              </w:rPr>
            </w:pPr>
            <w:r>
              <w:rPr>
                <w:rFonts w:hint="eastAsia" w:ascii="Arial" w:hAnsi="Times New Roman" w:eastAsia="宋体" w:cs="Arial"/>
                <w:sz w:val="24"/>
                <w:szCs w:val="24"/>
              </w:rPr>
              <w:t>指本次债券经批准在【上海</w:t>
            </w:r>
            <w:r>
              <w:rPr>
                <w:rFonts w:ascii="Arial" w:hAnsi="Times New Roman" w:eastAsia="宋体" w:cs="Arial"/>
                <w:sz w:val="24"/>
                <w:szCs w:val="24"/>
              </w:rPr>
              <w:t>/</w:t>
            </w:r>
            <w:r>
              <w:rPr>
                <w:rFonts w:hint="eastAsia" w:ascii="Arial" w:hAnsi="Times New Roman" w:eastAsia="宋体" w:cs="Arial"/>
                <w:sz w:val="24"/>
                <w:szCs w:val="24"/>
              </w:rPr>
              <w:t>深圳】证券交易所挂牌</w:t>
            </w:r>
            <w:r>
              <w:rPr>
                <w:rFonts w:ascii="Arial" w:hAnsi="Times New Roman" w:eastAsia="宋体" w:cs="Arial"/>
                <w:sz w:val="24"/>
                <w:szCs w:val="24"/>
              </w:rPr>
              <w:t>/</w:t>
            </w:r>
            <w:r>
              <w:rPr>
                <w:rFonts w:hint="eastAsia" w:ascii="Arial" w:hAnsi="Times New Roman" w:eastAsia="宋体" w:cs="Arial"/>
                <w:sz w:val="24"/>
                <w:szCs w:val="24"/>
              </w:rPr>
              <w:t>交易流通；</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w:t>
            </w:r>
            <w:r>
              <w:rPr>
                <w:rFonts w:ascii="Arial" w:hAnsi="Times New Roman" w:eastAsia="宋体" w:cs="Arial"/>
                <w:sz w:val="24"/>
                <w:szCs w:val="24"/>
              </w:rPr>
              <w:t>承销团</w:t>
            </w:r>
            <w:r>
              <w:rPr>
                <w:rFonts w:hint="eastAsia" w:ascii="Arial" w:hAnsi="Arial" w:eastAsia="宋体" w:cs="Arial"/>
                <w:sz w:val="24"/>
                <w:szCs w:val="24"/>
              </w:rPr>
              <w:t>”</w:t>
            </w:r>
          </w:p>
        </w:tc>
        <w:tc>
          <w:tcPr>
            <w:tcW w:w="6300" w:type="dxa"/>
            <w:noWrap w:val="0"/>
            <w:vAlign w:val="top"/>
          </w:tcPr>
          <w:p>
            <w:pPr>
              <w:spacing w:line="360" w:lineRule="auto"/>
              <w:rPr>
                <w:rFonts w:ascii="Arial" w:hAnsi="Arial" w:eastAsia="宋体" w:cs="Arial"/>
                <w:sz w:val="24"/>
                <w:szCs w:val="24"/>
              </w:rPr>
            </w:pPr>
            <w:r>
              <w:rPr>
                <w:rFonts w:ascii="Arial" w:hAnsi="Times New Roman" w:eastAsia="宋体" w:cs="Arial"/>
                <w:sz w:val="24"/>
                <w:szCs w:val="24"/>
              </w:rPr>
              <w:t>指主承销商为本期债券发行根据承销团协议组织的、由主承销商和其他承销团成员组成的承销团；</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w:t>
            </w:r>
            <w:r>
              <w:rPr>
                <w:rFonts w:ascii="Arial" w:hAnsi="Times New Roman" w:eastAsia="宋体" w:cs="Arial"/>
                <w:sz w:val="24"/>
                <w:szCs w:val="24"/>
              </w:rPr>
              <w:t>承销费用</w:t>
            </w:r>
            <w:r>
              <w:rPr>
                <w:rFonts w:hint="eastAsia" w:ascii="Arial" w:hAnsi="Times New Roman" w:eastAsia="宋体" w:cs="Arial"/>
                <w:sz w:val="24"/>
                <w:szCs w:val="24"/>
              </w:rPr>
              <w:t>”</w:t>
            </w:r>
          </w:p>
        </w:tc>
        <w:tc>
          <w:tcPr>
            <w:tcW w:w="6300" w:type="dxa"/>
            <w:noWrap w:val="0"/>
            <w:vAlign w:val="top"/>
          </w:tcPr>
          <w:p>
            <w:pPr>
              <w:spacing w:line="360" w:lineRule="auto"/>
              <w:rPr>
                <w:rFonts w:ascii="Arial" w:hAnsi="Arial" w:eastAsia="宋体" w:cs="Arial"/>
                <w:sz w:val="24"/>
                <w:szCs w:val="24"/>
              </w:rPr>
            </w:pPr>
            <w:r>
              <w:rPr>
                <w:rFonts w:ascii="Arial" w:hAnsi="Times New Roman" w:eastAsia="宋体" w:cs="Arial"/>
                <w:sz w:val="24"/>
                <w:szCs w:val="24"/>
              </w:rPr>
              <w:t>指作为主承销商组织承销团向发行人提供承销本期债券服务的对价，发行人同意向主承销商支付的费用；</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“登记托管费”</w:t>
            </w:r>
          </w:p>
        </w:tc>
        <w:tc>
          <w:tcPr>
            <w:tcW w:w="6300" w:type="dxa"/>
            <w:noWrap w:val="0"/>
            <w:vAlign w:val="top"/>
          </w:tcPr>
          <w:p>
            <w:pPr>
              <w:spacing w:line="360" w:lineRule="auto"/>
              <w:rPr>
                <w:rFonts w:ascii="Arial" w:hAnsi="Times New Roman" w:eastAsia="宋体" w:cs="Arial"/>
                <w:sz w:val="24"/>
                <w:szCs w:val="24"/>
              </w:rPr>
            </w:pPr>
            <w:r>
              <w:rPr>
                <w:rFonts w:hint="eastAsia" w:ascii="Arial" w:hAnsi="Times New Roman" w:eastAsia="宋体" w:cs="Arial"/>
                <w:sz w:val="24"/>
                <w:szCs w:val="24"/>
              </w:rPr>
              <w:t>指就本期债券的托管事宜应支付给中国证券登记公司等相关债券登记托管机构的手续费；</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“兑付手续费”</w:t>
            </w:r>
          </w:p>
        </w:tc>
        <w:tc>
          <w:tcPr>
            <w:tcW w:w="6300" w:type="dxa"/>
            <w:noWrap w:val="0"/>
            <w:vAlign w:val="top"/>
          </w:tcPr>
          <w:p>
            <w:pPr>
              <w:spacing w:line="360" w:lineRule="auto"/>
              <w:rPr>
                <w:rFonts w:ascii="Arial" w:hAnsi="Times New Roman" w:eastAsia="宋体" w:cs="Arial"/>
                <w:sz w:val="24"/>
                <w:szCs w:val="24"/>
              </w:rPr>
            </w:pPr>
            <w:r>
              <w:rPr>
                <w:rFonts w:hint="eastAsia" w:ascii="Arial" w:hAnsi="Times New Roman" w:eastAsia="宋体" w:cs="Arial"/>
                <w:sz w:val="24"/>
                <w:szCs w:val="24"/>
              </w:rPr>
              <w:t>指就本期债券项下的利息及本金的兑付应支付给代为办理兑付手续机构的手续费；</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Times New Roman" w:eastAsia="宋体" w:cs="Arial"/>
                <w:sz w:val="24"/>
                <w:szCs w:val="24"/>
              </w:rPr>
              <w:t>“</w:t>
            </w:r>
            <w:r>
              <w:rPr>
                <w:rFonts w:ascii="Arial" w:hAnsi="Times New Roman" w:eastAsia="宋体" w:cs="Arial"/>
                <w:sz w:val="24"/>
                <w:szCs w:val="24"/>
              </w:rPr>
              <w:t>余额包销</w:t>
            </w:r>
            <w:r>
              <w:rPr>
                <w:rFonts w:hint="eastAsia" w:ascii="Arial" w:hAnsi="Arial" w:eastAsia="宋体" w:cs="Arial"/>
                <w:sz w:val="24"/>
                <w:szCs w:val="24"/>
              </w:rPr>
              <w:t>”</w:t>
            </w:r>
          </w:p>
        </w:tc>
        <w:tc>
          <w:tcPr>
            <w:tcW w:w="6300" w:type="dxa"/>
            <w:noWrap w:val="0"/>
            <w:vAlign w:val="top"/>
          </w:tcPr>
          <w:p>
            <w:pPr>
              <w:spacing w:line="360" w:lineRule="auto"/>
              <w:rPr>
                <w:rFonts w:ascii="Arial" w:hAnsi="Arial" w:eastAsia="宋体" w:cs="Arial"/>
                <w:sz w:val="24"/>
                <w:szCs w:val="24"/>
              </w:rPr>
            </w:pPr>
            <w:r>
              <w:rPr>
                <w:rFonts w:ascii="Arial" w:hAnsi="Times New Roman" w:eastAsia="宋体" w:cs="Arial"/>
                <w:sz w:val="24"/>
                <w:szCs w:val="24"/>
              </w:rPr>
              <w:t>指投资者申请认购本期债券总额及支付的本期债券认购款总额低于发行人拟发行的本期债券总额及拟筹集的债券资金总额时，由承销团</w:t>
            </w:r>
            <w:r>
              <w:rPr>
                <w:rFonts w:hint="eastAsia" w:ascii="Arial" w:hAnsi="Times New Roman" w:eastAsia="宋体" w:cs="Arial"/>
                <w:sz w:val="24"/>
                <w:szCs w:val="24"/>
              </w:rPr>
              <w:t>按照发行利率区间上限</w:t>
            </w:r>
            <w:r>
              <w:rPr>
                <w:rFonts w:ascii="Arial" w:hAnsi="Times New Roman" w:eastAsia="宋体" w:cs="Arial"/>
                <w:sz w:val="24"/>
                <w:szCs w:val="24"/>
              </w:rPr>
              <w:t>认购差额部分的本期债券及支付差额债券资金的承销方式；</w:t>
            </w:r>
          </w:p>
        </w:tc>
      </w:tr>
      <w:tr>
        <w:tblPrEx>
          <w:tblCellMar>
            <w:top w:w="0" w:type="dxa"/>
            <w:left w:w="108" w:type="dxa"/>
            <w:bottom w:w="0" w:type="dxa"/>
            <w:right w:w="108" w:type="dxa"/>
          </w:tblCellMar>
        </w:tblPrEx>
        <w:tc>
          <w:tcPr>
            <w:tcW w:w="2088" w:type="dxa"/>
            <w:noWrap w:val="0"/>
            <w:vAlign w:val="top"/>
          </w:tcPr>
          <w:p>
            <w:pPr>
              <w:spacing w:line="400" w:lineRule="exact"/>
              <w:rPr>
                <w:rFonts w:ascii="Arial" w:hAnsi="Arial" w:eastAsia="宋体" w:cs="Arial"/>
                <w:sz w:val="24"/>
                <w:szCs w:val="24"/>
              </w:rPr>
            </w:pPr>
            <w:r>
              <w:rPr>
                <w:rFonts w:hint="eastAsia" w:ascii="Arial" w:hAnsi="Arial" w:eastAsia="宋体" w:cs="Arial"/>
                <w:sz w:val="24"/>
                <w:szCs w:val="24"/>
              </w:rPr>
              <w:t>“</w:t>
            </w:r>
            <w:r>
              <w:rPr>
                <w:rFonts w:ascii="Arial" w:hAnsi="Times New Roman" w:eastAsia="宋体" w:cs="Arial"/>
                <w:sz w:val="24"/>
                <w:szCs w:val="24"/>
              </w:rPr>
              <w:t>募集说明书</w:t>
            </w:r>
            <w:r>
              <w:rPr>
                <w:rFonts w:hint="eastAsia" w:ascii="Arial" w:hAnsi="Arial" w:eastAsia="宋体" w:cs="Arial"/>
                <w:sz w:val="24"/>
                <w:szCs w:val="24"/>
              </w:rPr>
              <w:t>”</w:t>
            </w:r>
          </w:p>
          <w:p>
            <w:pPr>
              <w:spacing w:line="360" w:lineRule="auto"/>
              <w:rPr>
                <w:rFonts w:ascii="Arial" w:hAnsi="Times New Roman" w:eastAsia="宋体" w:cs="Arial"/>
                <w:sz w:val="24"/>
                <w:szCs w:val="24"/>
              </w:rPr>
            </w:pPr>
          </w:p>
        </w:tc>
        <w:tc>
          <w:tcPr>
            <w:tcW w:w="6300" w:type="dxa"/>
            <w:noWrap w:val="0"/>
            <w:vAlign w:val="top"/>
          </w:tcPr>
          <w:p>
            <w:pPr>
              <w:spacing w:line="360" w:lineRule="auto"/>
              <w:rPr>
                <w:rFonts w:ascii="Arial" w:hAnsi="Times New Roman" w:eastAsia="宋体" w:cs="Arial"/>
                <w:sz w:val="24"/>
                <w:szCs w:val="24"/>
              </w:rPr>
            </w:pPr>
            <w:r>
              <w:rPr>
                <w:rFonts w:hint="eastAsia" w:ascii="Arial" w:hAnsi="Times New Roman" w:eastAsia="宋体" w:cs="Arial"/>
                <w:sz w:val="24"/>
                <w:szCs w:val="24"/>
              </w:rPr>
              <w:t>指</w:t>
            </w:r>
            <w:r>
              <w:rPr>
                <w:rFonts w:ascii="Arial" w:hAnsi="Times New Roman" w:eastAsia="宋体" w:cs="Arial"/>
                <w:sz w:val="24"/>
                <w:szCs w:val="24"/>
              </w:rPr>
              <w:t>本次债券之《</w:t>
            </w:r>
            <w:r>
              <w:rPr>
                <w:rFonts w:hint="eastAsia" w:ascii="Arial" w:hAnsi="Times New Roman" w:eastAsia="宋体" w:cs="Arial"/>
                <w:sz w:val="24"/>
                <w:szCs w:val="24"/>
              </w:rPr>
              <w:t>湖南智谷投资发展集团有限公司2024年非公开发行公司债券</w:t>
            </w:r>
            <w:r>
              <w:rPr>
                <w:rFonts w:ascii="Arial" w:hAnsi="Times New Roman" w:eastAsia="宋体" w:cs="Arial"/>
                <w:sz w:val="24"/>
                <w:szCs w:val="24"/>
              </w:rPr>
              <w:t>债券募集说明书》</w:t>
            </w:r>
            <w:r>
              <w:rPr>
                <w:rFonts w:hint="eastAsia" w:ascii="Arial" w:hAnsi="Times New Roman" w:eastAsia="宋体" w:cs="Arial"/>
                <w:sz w:val="24"/>
                <w:szCs w:val="24"/>
              </w:rPr>
              <w:t>；</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w:t>
            </w:r>
            <w:r>
              <w:rPr>
                <w:rFonts w:ascii="Arial" w:hAnsi="Times New Roman" w:eastAsia="宋体" w:cs="Arial"/>
                <w:sz w:val="24"/>
                <w:szCs w:val="24"/>
              </w:rPr>
              <w:t>划款日</w:t>
            </w:r>
            <w:r>
              <w:rPr>
                <w:rFonts w:hint="eastAsia" w:ascii="Arial" w:hAnsi="Arial" w:eastAsia="宋体" w:cs="Arial"/>
                <w:sz w:val="24"/>
                <w:szCs w:val="24"/>
              </w:rPr>
              <w:t>”</w:t>
            </w:r>
          </w:p>
        </w:tc>
        <w:tc>
          <w:tcPr>
            <w:tcW w:w="6300" w:type="dxa"/>
            <w:noWrap w:val="0"/>
            <w:vAlign w:val="top"/>
          </w:tcPr>
          <w:p>
            <w:pPr>
              <w:spacing w:line="360" w:lineRule="auto"/>
              <w:rPr>
                <w:rFonts w:ascii="Arial" w:hAnsi="Arial" w:eastAsia="宋体" w:cs="Arial"/>
                <w:sz w:val="24"/>
                <w:szCs w:val="24"/>
              </w:rPr>
            </w:pPr>
            <w:r>
              <w:rPr>
                <w:rFonts w:ascii="Arial" w:hAnsi="Times New Roman" w:eastAsia="宋体" w:cs="Arial"/>
                <w:sz w:val="24"/>
                <w:szCs w:val="24"/>
              </w:rPr>
              <w:t>指乙方将募集资金款项划入甲方指定银行账户之日</w:t>
            </w:r>
            <w:r>
              <w:rPr>
                <w:rFonts w:hint="eastAsia" w:ascii="Arial" w:hAnsi="Times New Roman" w:eastAsia="宋体" w:cs="Arial"/>
                <w:sz w:val="24"/>
                <w:szCs w:val="24"/>
              </w:rPr>
              <w:t>；</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“工作日”</w:t>
            </w:r>
          </w:p>
        </w:tc>
        <w:tc>
          <w:tcPr>
            <w:tcW w:w="6300" w:type="dxa"/>
            <w:noWrap w:val="0"/>
            <w:vAlign w:val="top"/>
          </w:tcPr>
          <w:p>
            <w:pPr>
              <w:spacing w:line="360" w:lineRule="auto"/>
              <w:rPr>
                <w:rFonts w:ascii="宋体" w:hAnsi="宋体" w:eastAsia="宋体" w:cs="Arial"/>
                <w:sz w:val="24"/>
                <w:szCs w:val="24"/>
              </w:rPr>
            </w:pPr>
            <w:r>
              <w:rPr>
                <w:rFonts w:hint="eastAsia" w:ascii="宋体" w:hAnsi="宋体" w:eastAsia="宋体" w:cs="Times New Roman"/>
                <w:sz w:val="24"/>
                <w:szCs w:val="24"/>
              </w:rPr>
              <w:t>指商业银行对公营业日（不包括法定及政府指定节假日或休息日）；</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“募集款项”</w:t>
            </w:r>
          </w:p>
        </w:tc>
        <w:tc>
          <w:tcPr>
            <w:tcW w:w="6300" w:type="dxa"/>
            <w:noWrap w:val="0"/>
            <w:vAlign w:val="top"/>
          </w:tcPr>
          <w:p>
            <w:pPr>
              <w:spacing w:line="360" w:lineRule="auto"/>
              <w:rPr>
                <w:rFonts w:ascii="Arial" w:hAnsi="Times New Roman" w:eastAsia="宋体" w:cs="Arial"/>
                <w:sz w:val="24"/>
                <w:szCs w:val="24"/>
              </w:rPr>
            </w:pPr>
            <w:r>
              <w:rPr>
                <w:rFonts w:hint="eastAsia" w:ascii="Arial" w:hAnsi="Times New Roman" w:eastAsia="宋体" w:cs="Arial"/>
                <w:sz w:val="24"/>
                <w:szCs w:val="24"/>
              </w:rPr>
              <w:t>指本期债券发行所募集的任何部分或全部款项(根据上下文确定)；</w:t>
            </w:r>
          </w:p>
        </w:tc>
      </w:tr>
      <w:tr>
        <w:tblPrEx>
          <w:tblCellMar>
            <w:top w:w="0" w:type="dxa"/>
            <w:left w:w="108" w:type="dxa"/>
            <w:bottom w:w="0" w:type="dxa"/>
            <w:right w:w="108" w:type="dxa"/>
          </w:tblCellMar>
        </w:tblPrEx>
        <w:tc>
          <w:tcPr>
            <w:tcW w:w="2088" w:type="dxa"/>
            <w:noWrap w:val="0"/>
            <w:vAlign w:val="top"/>
          </w:tcPr>
          <w:p>
            <w:pPr>
              <w:spacing w:line="360" w:lineRule="auto"/>
              <w:rPr>
                <w:rFonts w:ascii="Arial" w:hAnsi="Arial" w:eastAsia="宋体" w:cs="Arial"/>
                <w:sz w:val="24"/>
                <w:szCs w:val="24"/>
              </w:rPr>
            </w:pPr>
            <w:r>
              <w:rPr>
                <w:rFonts w:hint="eastAsia" w:ascii="Arial" w:hAnsi="Arial" w:eastAsia="宋体" w:cs="Arial"/>
                <w:sz w:val="24"/>
                <w:szCs w:val="24"/>
              </w:rPr>
              <w:t>“法律”</w:t>
            </w:r>
          </w:p>
        </w:tc>
        <w:tc>
          <w:tcPr>
            <w:tcW w:w="6300" w:type="dxa"/>
            <w:noWrap w:val="0"/>
            <w:vAlign w:val="top"/>
          </w:tcPr>
          <w:p>
            <w:pPr>
              <w:spacing w:line="360" w:lineRule="auto"/>
              <w:rPr>
                <w:rFonts w:ascii="Arial" w:hAnsi="Times New Roman" w:eastAsia="宋体" w:cs="Arial"/>
                <w:sz w:val="24"/>
                <w:szCs w:val="24"/>
              </w:rPr>
            </w:pPr>
            <w:r>
              <w:rPr>
                <w:rFonts w:hint="eastAsia" w:ascii="Arial" w:hAnsi="Times New Roman" w:eastAsia="宋体" w:cs="Arial"/>
                <w:sz w:val="24"/>
                <w:szCs w:val="24"/>
              </w:rPr>
              <w:t>指适用的具有法律效力的任何宪法性规定、条约、公约、法律、行政法规、条例、地方性法规、规章、规定、通知、准则、证券交易所规则、行业自律协会规则、司法解释和其他规范性文件。</w:t>
            </w:r>
          </w:p>
        </w:tc>
      </w:tr>
    </w:tbl>
    <w:p>
      <w:pPr>
        <w:spacing w:line="360" w:lineRule="auto"/>
        <w:rPr>
          <w:rFonts w:ascii="Arial" w:hAnsi="Arial" w:eastAsia="宋体" w:cs="Arial"/>
          <w:sz w:val="24"/>
          <w:szCs w:val="24"/>
        </w:rPr>
      </w:pPr>
    </w:p>
    <w:p>
      <w:pPr>
        <w:spacing w:line="360" w:lineRule="auto"/>
        <w:ind w:firstLine="480" w:firstLineChars="200"/>
        <w:rPr>
          <w:rFonts w:ascii="Arial" w:hAnsi="Arial" w:eastAsia="宋体" w:cs="Arial"/>
          <w:sz w:val="24"/>
          <w:szCs w:val="24"/>
        </w:rPr>
      </w:pPr>
      <w:r>
        <w:rPr>
          <w:rFonts w:ascii="Arial" w:hAnsi="Arial" w:eastAsia="宋体" w:cs="Arial"/>
          <w:sz w:val="24"/>
          <w:szCs w:val="24"/>
        </w:rPr>
        <w:t xml:space="preserve">1.2  </w:t>
      </w:r>
      <w:r>
        <w:rPr>
          <w:rFonts w:ascii="Arial" w:hAnsi="Times New Roman" w:eastAsia="宋体" w:cs="Arial"/>
          <w:sz w:val="24"/>
          <w:szCs w:val="24"/>
        </w:rPr>
        <w:t>在本协议中，除非另有规定：</w:t>
      </w:r>
    </w:p>
    <w:p>
      <w:pPr>
        <w:spacing w:line="360" w:lineRule="auto"/>
        <w:ind w:firstLine="600" w:firstLineChars="250"/>
        <w:rPr>
          <w:rFonts w:ascii="Arial" w:hAnsi="Arial" w:eastAsia="宋体" w:cs="Arial"/>
          <w:sz w:val="24"/>
          <w:szCs w:val="24"/>
        </w:rPr>
      </w:pPr>
      <w:r>
        <w:rPr>
          <w:rFonts w:ascii="Arial" w:hAnsi="Arial" w:eastAsia="宋体" w:cs="Arial"/>
          <w:sz w:val="24"/>
          <w:szCs w:val="24"/>
        </w:rPr>
        <w:t>1.2.1</w:t>
      </w:r>
      <w:r>
        <w:rPr>
          <w:rFonts w:ascii="Arial" w:hAnsi="Times New Roman" w:eastAsia="宋体" w:cs="Arial"/>
          <w:sz w:val="24"/>
          <w:szCs w:val="24"/>
        </w:rPr>
        <w:t>凡提到条、款、项及附件，均指本协议的条、款、项及附件；</w:t>
      </w:r>
    </w:p>
    <w:p>
      <w:pPr>
        <w:spacing w:line="360" w:lineRule="auto"/>
        <w:ind w:firstLine="600" w:firstLineChars="250"/>
        <w:rPr>
          <w:rFonts w:ascii="Arial" w:hAnsi="Arial" w:eastAsia="宋体" w:cs="Arial"/>
          <w:sz w:val="24"/>
          <w:szCs w:val="24"/>
        </w:rPr>
      </w:pPr>
      <w:r>
        <w:rPr>
          <w:rFonts w:ascii="Arial" w:hAnsi="Arial" w:eastAsia="宋体" w:cs="Arial"/>
          <w:sz w:val="24"/>
          <w:szCs w:val="24"/>
        </w:rPr>
        <w:t>1.2.2</w:t>
      </w:r>
      <w:r>
        <w:rPr>
          <w:rFonts w:ascii="Arial" w:hAnsi="Times New Roman" w:eastAsia="宋体" w:cs="Arial"/>
          <w:sz w:val="24"/>
          <w:szCs w:val="24"/>
        </w:rPr>
        <w:t>本协议中各条款的标题仅为方便阅读而设，在任何情况下均不应影响对本协议的解释；</w:t>
      </w:r>
    </w:p>
    <w:p>
      <w:pPr>
        <w:spacing w:line="360" w:lineRule="auto"/>
        <w:ind w:firstLine="600" w:firstLineChars="250"/>
        <w:rPr>
          <w:rFonts w:ascii="Arial" w:hAnsi="Arial" w:eastAsia="宋体" w:cs="Arial"/>
          <w:sz w:val="24"/>
          <w:szCs w:val="24"/>
        </w:rPr>
      </w:pPr>
      <w:r>
        <w:rPr>
          <w:rFonts w:ascii="Arial" w:hAnsi="Arial" w:eastAsia="宋体" w:cs="Arial"/>
          <w:sz w:val="24"/>
          <w:szCs w:val="24"/>
        </w:rPr>
        <w:t>1.2.3</w:t>
      </w:r>
      <w:r>
        <w:rPr>
          <w:rFonts w:ascii="Arial" w:hAnsi="Times New Roman" w:eastAsia="宋体" w:cs="Arial"/>
          <w:sz w:val="24"/>
          <w:szCs w:val="24"/>
        </w:rPr>
        <w:t>凡提到书面形式，均指协议、信件和数据电文（包括电报、电传、传真、电子数据交换和电子邮件）等可以有形地表现所载内容的形式；</w:t>
      </w:r>
    </w:p>
    <w:p>
      <w:pPr>
        <w:tabs>
          <w:tab w:val="left" w:pos="1260"/>
        </w:tabs>
        <w:spacing w:line="360" w:lineRule="auto"/>
        <w:ind w:firstLine="600" w:firstLineChars="250"/>
        <w:rPr>
          <w:rFonts w:ascii="Arial" w:hAnsi="Arial" w:eastAsia="宋体" w:cs="Arial"/>
          <w:sz w:val="24"/>
          <w:szCs w:val="24"/>
        </w:rPr>
      </w:pPr>
      <w:r>
        <w:rPr>
          <w:rFonts w:ascii="Arial" w:hAnsi="Arial" w:eastAsia="宋体" w:cs="Arial"/>
          <w:sz w:val="24"/>
          <w:szCs w:val="24"/>
        </w:rPr>
        <w:t>1.2.4</w:t>
      </w:r>
      <w:r>
        <w:rPr>
          <w:rFonts w:ascii="Arial" w:hAnsi="Times New Roman" w:eastAsia="宋体" w:cs="Arial"/>
          <w:sz w:val="24"/>
          <w:szCs w:val="24"/>
        </w:rPr>
        <w:t>各附件构成本协议的组成部分，与明示写入本协议的条款具有同等的效力及效果，凡提到本协议均应包括各附件。</w:t>
      </w:r>
    </w:p>
    <w:p>
      <w:pPr>
        <w:spacing w:line="360" w:lineRule="auto"/>
        <w:rPr>
          <w:rFonts w:ascii="Arial" w:hAnsi="Arial" w:eastAsia="宋体" w:cs="Arial"/>
          <w:sz w:val="24"/>
          <w:szCs w:val="24"/>
        </w:rPr>
      </w:pPr>
    </w:p>
    <w:p>
      <w:pPr>
        <w:spacing w:line="360" w:lineRule="auto"/>
        <w:jc w:val="center"/>
        <w:outlineLvl w:val="0"/>
        <w:rPr>
          <w:rFonts w:ascii="Arial" w:hAnsi="Arial" w:eastAsia="宋体" w:cs="Arial"/>
          <w:b/>
          <w:sz w:val="24"/>
          <w:szCs w:val="24"/>
        </w:rPr>
      </w:pPr>
      <w:r>
        <w:rPr>
          <w:rFonts w:ascii="Arial" w:hAnsi="Times New Roman" w:eastAsia="宋体" w:cs="Arial"/>
          <w:b/>
          <w:sz w:val="24"/>
          <w:szCs w:val="24"/>
        </w:rPr>
        <w:t>第二条</w:t>
      </w:r>
      <w:r>
        <w:rPr>
          <w:rFonts w:hint="eastAsia" w:ascii="Arial" w:hAnsi="Times New Roman" w:eastAsia="宋体" w:cs="Arial"/>
          <w:b/>
          <w:sz w:val="24"/>
          <w:szCs w:val="24"/>
        </w:rPr>
        <w:t xml:space="preserve">  </w:t>
      </w:r>
      <w:r>
        <w:rPr>
          <w:rFonts w:ascii="Arial" w:hAnsi="Times New Roman" w:eastAsia="宋体" w:cs="Arial"/>
          <w:b/>
          <w:sz w:val="24"/>
          <w:szCs w:val="24"/>
        </w:rPr>
        <w:t>主承销商</w:t>
      </w:r>
      <w:r>
        <w:rPr>
          <w:rFonts w:hint="eastAsia" w:ascii="Arial" w:hAnsi="Times New Roman" w:eastAsia="宋体" w:cs="Arial"/>
          <w:b/>
          <w:sz w:val="24"/>
          <w:szCs w:val="24"/>
        </w:rPr>
        <w:t>、簿记管理人</w:t>
      </w:r>
      <w:r>
        <w:rPr>
          <w:rFonts w:ascii="Arial" w:hAnsi="Times New Roman" w:eastAsia="宋体" w:cs="Arial"/>
          <w:b/>
          <w:sz w:val="24"/>
          <w:szCs w:val="24"/>
        </w:rPr>
        <w:t>的委任</w:t>
      </w:r>
    </w:p>
    <w:p>
      <w:pPr>
        <w:spacing w:line="360" w:lineRule="auto"/>
        <w:ind w:firstLine="480" w:firstLineChars="200"/>
        <w:rPr>
          <w:rFonts w:ascii="Arial" w:hAnsi="Times New Roman" w:eastAsia="宋体" w:cs="Arial"/>
          <w:sz w:val="24"/>
          <w:szCs w:val="24"/>
        </w:rPr>
      </w:pPr>
      <w:r>
        <w:rPr>
          <w:rFonts w:ascii="Arial" w:hAnsi="Arial" w:eastAsia="宋体" w:cs="Arial"/>
          <w:sz w:val="24"/>
          <w:szCs w:val="24"/>
        </w:rPr>
        <w:t xml:space="preserve">2.1  </w:t>
      </w:r>
      <w:r>
        <w:rPr>
          <w:rFonts w:ascii="Arial" w:hAnsi="Times New Roman" w:eastAsia="宋体" w:cs="Arial"/>
          <w:sz w:val="24"/>
          <w:szCs w:val="24"/>
        </w:rPr>
        <w:t>甲方委任乙方为本次债券发行的主承销商，乙方按本协议规定全面负责</w:t>
      </w:r>
      <w:r>
        <w:rPr>
          <w:rFonts w:ascii="Arial" w:hAnsi="Times New Roman" w:eastAsia="宋体" w:cs="Arial"/>
          <w:sz w:val="24"/>
          <w:szCs w:val="20"/>
        </w:rPr>
        <w:t>甲方本次债券发行的主承销工作</w:t>
      </w:r>
      <w:r>
        <w:rPr>
          <w:rFonts w:ascii="Arial" w:hAnsi="Times New Roman" w:eastAsia="宋体" w:cs="Arial"/>
          <w:sz w:val="24"/>
          <w:szCs w:val="24"/>
        </w:rPr>
        <w:t>。乙方特接受此委任。</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2.2  甲方委任【】为本次债券发行的簿记管理人。【】接受此委任。</w:t>
      </w:r>
    </w:p>
    <w:p>
      <w:pPr>
        <w:spacing w:line="360" w:lineRule="auto"/>
        <w:ind w:firstLine="480" w:firstLineChars="200"/>
        <w:rPr>
          <w:rFonts w:ascii="Arial" w:hAnsi="Arial" w:eastAsia="宋体" w:cs="Arial"/>
          <w:sz w:val="24"/>
          <w:szCs w:val="24"/>
        </w:rPr>
      </w:pPr>
      <w:r>
        <w:rPr>
          <w:rFonts w:ascii="Arial" w:hAnsi="Arial" w:eastAsia="宋体" w:cs="Arial"/>
          <w:sz w:val="24"/>
          <w:szCs w:val="24"/>
        </w:rPr>
        <w:t>2.</w:t>
      </w:r>
      <w:r>
        <w:rPr>
          <w:rFonts w:hint="eastAsia" w:ascii="Arial" w:hAnsi="Arial" w:eastAsia="宋体" w:cs="Arial"/>
          <w:sz w:val="24"/>
          <w:szCs w:val="24"/>
        </w:rPr>
        <w:t xml:space="preserve">3  </w:t>
      </w:r>
      <w:r>
        <w:rPr>
          <w:rFonts w:ascii="Arial" w:hAnsi="Times New Roman" w:eastAsia="宋体" w:cs="Arial"/>
          <w:sz w:val="24"/>
          <w:szCs w:val="24"/>
        </w:rPr>
        <w:t>甲方承诺：在本协议有效期内，甲方不再聘任其他任何公司或机构担任与乙方相同或类似的角色。</w:t>
      </w:r>
    </w:p>
    <w:p>
      <w:pPr>
        <w:spacing w:line="360" w:lineRule="auto"/>
        <w:ind w:firstLine="480" w:firstLineChars="200"/>
        <w:rPr>
          <w:rFonts w:ascii="Arial" w:hAnsi="Arial" w:eastAsia="宋体" w:cs="Arial"/>
          <w:sz w:val="24"/>
          <w:szCs w:val="24"/>
        </w:rPr>
      </w:pPr>
      <w:r>
        <w:rPr>
          <w:rFonts w:ascii="Arial" w:hAnsi="Arial" w:eastAsia="宋体" w:cs="Arial"/>
          <w:sz w:val="24"/>
          <w:szCs w:val="24"/>
        </w:rPr>
        <w:t>2.</w:t>
      </w:r>
      <w:r>
        <w:rPr>
          <w:rFonts w:hint="eastAsia" w:ascii="Arial" w:hAnsi="Arial" w:eastAsia="宋体" w:cs="Arial"/>
          <w:sz w:val="24"/>
          <w:szCs w:val="24"/>
        </w:rPr>
        <w:t xml:space="preserve">4  </w:t>
      </w:r>
      <w:r>
        <w:rPr>
          <w:rFonts w:ascii="Arial" w:hAnsi="Times New Roman" w:eastAsia="宋体" w:cs="Arial"/>
          <w:sz w:val="24"/>
          <w:szCs w:val="24"/>
        </w:rPr>
        <w:t>甲方同意并授权，由乙方负责组织承销团承担本期债券发行的承销工作。乙方负责与承销团其他成员签署承销团协议。</w:t>
      </w:r>
    </w:p>
    <w:p>
      <w:pPr>
        <w:spacing w:line="360" w:lineRule="auto"/>
        <w:ind w:firstLine="465"/>
        <w:rPr>
          <w:rFonts w:ascii="Arial" w:hAnsi="Arial" w:eastAsia="宋体" w:cs="Arial"/>
          <w:sz w:val="24"/>
          <w:szCs w:val="24"/>
        </w:rPr>
      </w:pPr>
    </w:p>
    <w:p>
      <w:pPr>
        <w:spacing w:line="360" w:lineRule="auto"/>
        <w:jc w:val="center"/>
        <w:outlineLvl w:val="0"/>
        <w:rPr>
          <w:rFonts w:ascii="Arial" w:hAnsi="Arial" w:eastAsia="宋体" w:cs="Arial"/>
          <w:b/>
          <w:bCs/>
          <w:sz w:val="24"/>
          <w:szCs w:val="24"/>
        </w:rPr>
      </w:pPr>
      <w:r>
        <w:rPr>
          <w:rFonts w:ascii="Arial" w:hAnsi="Times New Roman" w:eastAsia="宋体" w:cs="Arial"/>
          <w:b/>
          <w:bCs/>
          <w:sz w:val="24"/>
          <w:szCs w:val="24"/>
        </w:rPr>
        <w:t>第三条</w:t>
      </w:r>
      <w:r>
        <w:rPr>
          <w:rFonts w:hint="eastAsia" w:ascii="Arial" w:hAnsi="Times New Roman" w:eastAsia="宋体" w:cs="Arial"/>
          <w:b/>
          <w:bCs/>
          <w:sz w:val="24"/>
          <w:szCs w:val="24"/>
        </w:rPr>
        <w:t xml:space="preserve">  </w:t>
      </w:r>
      <w:r>
        <w:rPr>
          <w:rFonts w:ascii="Arial" w:hAnsi="Times New Roman" w:eastAsia="宋体" w:cs="Arial"/>
          <w:b/>
          <w:bCs/>
          <w:sz w:val="24"/>
          <w:szCs w:val="24"/>
        </w:rPr>
        <w:t>先决条件</w:t>
      </w:r>
    </w:p>
    <w:p>
      <w:pPr>
        <w:spacing w:line="360" w:lineRule="auto"/>
        <w:ind w:firstLine="480" w:firstLineChars="200"/>
        <w:rPr>
          <w:rFonts w:ascii="Arial" w:hAnsi="Times New Roman" w:eastAsia="宋体" w:cs="Arial"/>
          <w:sz w:val="24"/>
          <w:szCs w:val="24"/>
        </w:rPr>
      </w:pPr>
      <w:r>
        <w:rPr>
          <w:rFonts w:hint="eastAsia" w:ascii="Arial" w:hAnsi="Times New Roman" w:eastAsia="宋体" w:cs="Arial"/>
          <w:sz w:val="24"/>
          <w:szCs w:val="24"/>
        </w:rPr>
        <w:t xml:space="preserve">3.1  </w:t>
      </w:r>
      <w:r>
        <w:rPr>
          <w:rFonts w:ascii="Arial" w:hAnsi="Times New Roman" w:eastAsia="宋体" w:cs="Arial"/>
          <w:sz w:val="24"/>
          <w:szCs w:val="24"/>
        </w:rPr>
        <w:t>乙方履行其在本协议项下承销义务均以下列先决条件的全部满足为前提。在该等先决条件未获全部满足之前，乙方有权决定是否开始履行本协议项下的承销义务。该等先决条件的全部满足是乙方履行承销义务的必要而非充分条件。</w:t>
      </w:r>
    </w:p>
    <w:p>
      <w:pPr>
        <w:spacing w:line="360" w:lineRule="auto"/>
        <w:ind w:firstLine="480" w:firstLineChars="200"/>
        <w:rPr>
          <w:rFonts w:ascii="Arial" w:hAnsi="Arial" w:eastAsia="宋体" w:cs="Arial"/>
          <w:sz w:val="24"/>
          <w:szCs w:val="24"/>
        </w:rPr>
      </w:pPr>
      <w:r>
        <w:rPr>
          <w:rFonts w:hint="eastAsia" w:ascii="Arial" w:hAnsi="Times New Roman" w:eastAsia="宋体" w:cs="Arial"/>
          <w:sz w:val="24"/>
          <w:szCs w:val="24"/>
        </w:rPr>
        <w:t>本协议所称先决条件包括：</w:t>
      </w:r>
    </w:p>
    <w:p>
      <w:pPr>
        <w:spacing w:line="360" w:lineRule="auto"/>
        <w:ind w:firstLine="600" w:firstLineChars="250"/>
        <w:rPr>
          <w:rFonts w:ascii="Arial" w:hAnsi="Arial" w:eastAsia="宋体" w:cs="Arial"/>
          <w:sz w:val="24"/>
          <w:szCs w:val="24"/>
        </w:rPr>
      </w:pPr>
      <w:r>
        <w:rPr>
          <w:rFonts w:hint="eastAsia" w:ascii="Arial" w:hAnsi="Arial" w:eastAsia="宋体" w:cs="Arial"/>
          <w:sz w:val="24"/>
          <w:szCs w:val="24"/>
        </w:rPr>
        <w:t>3.1.1 承销商完成尽职调查、发行文件制作及审查等内部流程。甲方在发行前的所有条件均符合承销商内部要求并已获得承销商内部审核部门的通过；</w:t>
      </w:r>
    </w:p>
    <w:p>
      <w:pPr>
        <w:spacing w:line="360" w:lineRule="auto"/>
        <w:ind w:firstLine="600" w:firstLineChars="250"/>
        <w:rPr>
          <w:rFonts w:ascii="Arial" w:hAnsi="Arial" w:eastAsia="宋体" w:cs="Arial"/>
          <w:sz w:val="24"/>
          <w:szCs w:val="24"/>
        </w:rPr>
      </w:pPr>
      <w:r>
        <w:rPr>
          <w:rFonts w:hint="eastAsia" w:ascii="Arial" w:hAnsi="Times New Roman" w:eastAsia="宋体" w:cs="Arial"/>
          <w:sz w:val="24"/>
          <w:szCs w:val="24"/>
        </w:rPr>
        <w:t xml:space="preserve">3.1.2 </w:t>
      </w:r>
      <w:r>
        <w:rPr>
          <w:rFonts w:ascii="Arial" w:hAnsi="Times New Roman" w:eastAsia="宋体" w:cs="Arial"/>
          <w:sz w:val="24"/>
          <w:szCs w:val="24"/>
        </w:rPr>
        <w:t>中国证监会、证券交易所、登记公司或《管理办法》</w:t>
      </w:r>
      <w:r>
        <w:rPr>
          <w:rFonts w:hint="eastAsia" w:ascii="Arial" w:hAnsi="Times New Roman" w:eastAsia="宋体" w:cs="Arial"/>
          <w:sz w:val="24"/>
          <w:szCs w:val="24"/>
        </w:rPr>
        <w:t>、《备案办法》</w:t>
      </w:r>
      <w:r>
        <w:rPr>
          <w:rFonts w:ascii="Arial" w:hAnsi="Times New Roman" w:eastAsia="宋体" w:cs="Arial"/>
          <w:sz w:val="24"/>
          <w:szCs w:val="24"/>
        </w:rPr>
        <w:t>规定的其他债券发行主管机关已针对本次债券发行出具所需的相关批复及</w:t>
      </w:r>
      <w:r>
        <w:rPr>
          <w:rFonts w:ascii="Arial" w:hAnsi="Arial" w:eastAsia="宋体" w:cs="Arial"/>
          <w:sz w:val="24"/>
          <w:szCs w:val="24"/>
        </w:rPr>
        <w:t>/</w:t>
      </w:r>
      <w:r>
        <w:rPr>
          <w:rFonts w:ascii="Arial" w:hAnsi="Times New Roman" w:eastAsia="宋体" w:cs="Arial"/>
          <w:sz w:val="24"/>
          <w:szCs w:val="24"/>
        </w:rPr>
        <w:t>或备案文件</w:t>
      </w:r>
      <w:r>
        <w:rPr>
          <w:rFonts w:hint="eastAsia" w:ascii="Arial" w:hAnsi="Times New Roman" w:eastAsia="宋体" w:cs="Arial"/>
          <w:sz w:val="24"/>
          <w:szCs w:val="24"/>
        </w:rPr>
        <w:t>；</w:t>
      </w:r>
    </w:p>
    <w:p>
      <w:pPr>
        <w:spacing w:line="360" w:lineRule="auto"/>
        <w:ind w:firstLine="600" w:firstLineChars="250"/>
        <w:rPr>
          <w:rFonts w:ascii="Arial" w:hAnsi="Arial" w:eastAsia="宋体" w:cs="Arial"/>
          <w:sz w:val="24"/>
          <w:szCs w:val="24"/>
        </w:rPr>
      </w:pPr>
      <w:r>
        <w:rPr>
          <w:rFonts w:hint="eastAsia" w:ascii="Arial" w:hAnsi="Times New Roman" w:eastAsia="宋体" w:cs="Arial"/>
          <w:sz w:val="24"/>
          <w:szCs w:val="24"/>
        </w:rPr>
        <w:t>3.1.3 发行人和承销商就本期债券发行利率区间达成一致，并签署形式和内容如附件一所示的确认函予以确认；</w:t>
      </w:r>
    </w:p>
    <w:p>
      <w:pPr>
        <w:spacing w:line="360" w:lineRule="auto"/>
        <w:ind w:firstLine="600" w:firstLineChars="250"/>
        <w:rPr>
          <w:rFonts w:ascii="Arial" w:hAnsi="Arial" w:eastAsia="宋体" w:cs="Arial"/>
          <w:sz w:val="24"/>
          <w:szCs w:val="24"/>
        </w:rPr>
      </w:pPr>
      <w:r>
        <w:rPr>
          <w:rFonts w:hint="eastAsia" w:ascii="Arial" w:hAnsi="Times New Roman" w:eastAsia="宋体" w:cs="Arial"/>
          <w:sz w:val="24"/>
          <w:szCs w:val="24"/>
        </w:rPr>
        <w:t xml:space="preserve">3.1.4 </w:t>
      </w:r>
      <w:r>
        <w:rPr>
          <w:rFonts w:hint="eastAsia" w:ascii="Arial" w:hAnsi="Arial" w:eastAsia="宋体" w:cs="Arial"/>
          <w:sz w:val="24"/>
          <w:szCs w:val="24"/>
        </w:rPr>
        <w:t>发行人和承销商就本期债券发行条款和发行方案细节（包括债券期限、发行价格、利率、发行期限、发行规模、承销方式、募集款项的划付和承销商有关费用的支付等事项）达成一致；</w:t>
      </w:r>
    </w:p>
    <w:p>
      <w:pPr>
        <w:spacing w:line="360" w:lineRule="auto"/>
        <w:ind w:firstLine="600" w:firstLineChars="250"/>
        <w:rPr>
          <w:rFonts w:ascii="Arial" w:hAnsi="Arial" w:eastAsia="宋体" w:cs="Arial"/>
          <w:sz w:val="24"/>
          <w:szCs w:val="24"/>
        </w:rPr>
      </w:pPr>
      <w:r>
        <w:rPr>
          <w:rFonts w:hint="eastAsia" w:ascii="Arial" w:hAnsi="Times New Roman" w:eastAsia="宋体" w:cs="Arial"/>
          <w:sz w:val="24"/>
          <w:szCs w:val="24"/>
        </w:rPr>
        <w:t xml:space="preserve">3.1.5 </w:t>
      </w:r>
      <w:r>
        <w:rPr>
          <w:rFonts w:ascii="Arial" w:hAnsi="Times New Roman" w:eastAsia="宋体" w:cs="Arial"/>
          <w:sz w:val="24"/>
          <w:szCs w:val="24"/>
        </w:rPr>
        <w:t>依据</w:t>
      </w:r>
      <w:r>
        <w:rPr>
          <w:rFonts w:hint="eastAsia" w:ascii="Arial" w:hAnsi="Times New Roman" w:eastAsia="宋体" w:cs="Arial"/>
          <w:sz w:val="24"/>
          <w:szCs w:val="24"/>
        </w:rPr>
        <w:t>法律、法规和规则</w:t>
      </w:r>
      <w:r>
        <w:rPr>
          <w:rFonts w:ascii="Arial" w:hAnsi="Times New Roman" w:eastAsia="宋体" w:cs="Arial"/>
          <w:sz w:val="24"/>
          <w:szCs w:val="24"/>
        </w:rPr>
        <w:t>及债券发行文件规定，本次债券项下应当取得的所有批准、决议、承诺、担保、确认和授权等文件均已适当做出，并为甲方实际取得，且甲方取得该等文件后已向乙方及时提供了经甲方签章确认的该等文件；</w:t>
      </w:r>
    </w:p>
    <w:p>
      <w:pPr>
        <w:spacing w:line="360" w:lineRule="auto"/>
        <w:ind w:firstLine="600" w:firstLineChars="250"/>
        <w:rPr>
          <w:rFonts w:ascii="Arial" w:hAnsi="Arial" w:eastAsia="宋体" w:cs="Arial"/>
          <w:sz w:val="24"/>
          <w:szCs w:val="24"/>
        </w:rPr>
      </w:pPr>
      <w:r>
        <w:rPr>
          <w:rFonts w:hint="eastAsia" w:ascii="Arial" w:hAnsi="Arial" w:eastAsia="宋体" w:cs="Arial"/>
          <w:sz w:val="24"/>
          <w:szCs w:val="24"/>
        </w:rPr>
        <w:t>3.1.6 依据有关法律、法规和其他规范性文件的规定，本次债券发行需要予以披露的文件，包括但不限于募集说明书和发行公告，已按照有关法律、法规和其他规范性文件的规定，在法定的媒体上披露，且该等信息真实、准确、完整，简明清晰，通俗易懂，不含虚假陈述、误导性陈述及重大遗漏的内容；</w:t>
      </w:r>
    </w:p>
    <w:p>
      <w:pPr>
        <w:spacing w:line="360" w:lineRule="auto"/>
        <w:ind w:firstLine="600" w:firstLineChars="250"/>
        <w:rPr>
          <w:rFonts w:ascii="Arial" w:hAnsi="Arial" w:eastAsia="宋体" w:cs="Arial"/>
          <w:sz w:val="24"/>
          <w:szCs w:val="24"/>
        </w:rPr>
      </w:pPr>
      <w:r>
        <w:rPr>
          <w:rFonts w:hint="eastAsia" w:ascii="Arial" w:hAnsi="Arial" w:eastAsia="宋体" w:cs="Arial"/>
          <w:sz w:val="24"/>
          <w:szCs w:val="24"/>
        </w:rPr>
        <w:t>3.1.7 发行人所聘请的会计师事务所为本期发行及交易流通出具了符合法律规定的标准及行业标准且无保留意见的审计报告及其他必要之财务报告，前述审计报告及其他必要之财务报告格式和内容为主管机关认可，且截至本期债券发行首日持续有效；</w:t>
      </w:r>
    </w:p>
    <w:p>
      <w:pPr>
        <w:spacing w:line="360" w:lineRule="auto"/>
        <w:ind w:firstLine="600" w:firstLineChars="250"/>
        <w:rPr>
          <w:rFonts w:ascii="Arial" w:hAnsi="Arial" w:eastAsia="宋体" w:cs="Arial"/>
          <w:sz w:val="24"/>
          <w:szCs w:val="24"/>
        </w:rPr>
      </w:pPr>
      <w:r>
        <w:rPr>
          <w:rFonts w:hint="eastAsia" w:ascii="Arial" w:hAnsi="Arial" w:eastAsia="宋体" w:cs="Arial"/>
          <w:sz w:val="24"/>
          <w:szCs w:val="24"/>
        </w:rPr>
        <w:t>3.1.8发行人所聘请的信用评级机构为本次发行及交易流通出具了本期债券的信用评级报告，其内容与格式符合相关法律的规定且为主管机关认可，该信用评级截至本期债券发行首日持续有效，评级机构没有调低该信用级别；</w:t>
      </w:r>
    </w:p>
    <w:p>
      <w:pPr>
        <w:spacing w:line="360" w:lineRule="auto"/>
        <w:ind w:firstLine="600" w:firstLineChars="250"/>
        <w:rPr>
          <w:rFonts w:ascii="Arial" w:hAnsi="Arial" w:eastAsia="宋体" w:cs="Arial"/>
          <w:sz w:val="24"/>
          <w:szCs w:val="24"/>
        </w:rPr>
      </w:pPr>
      <w:r>
        <w:rPr>
          <w:rFonts w:hint="eastAsia" w:ascii="Arial" w:hAnsi="Arial" w:eastAsia="宋体" w:cs="Arial"/>
          <w:sz w:val="24"/>
          <w:szCs w:val="24"/>
        </w:rPr>
        <w:t>3.1.</w:t>
      </w:r>
      <w:r>
        <w:rPr>
          <w:rFonts w:ascii="Arial" w:hAnsi="Arial" w:eastAsia="宋体" w:cs="Arial"/>
          <w:sz w:val="24"/>
          <w:szCs w:val="24"/>
        </w:rPr>
        <w:t>9</w:t>
      </w:r>
      <w:r>
        <w:rPr>
          <w:rFonts w:hint="eastAsia" w:ascii="Arial" w:hAnsi="Arial" w:eastAsia="宋体" w:cs="Arial"/>
          <w:sz w:val="24"/>
          <w:szCs w:val="24"/>
        </w:rPr>
        <w:t>发行人所聘请的法律顾问为本期发行及交易流通出具了法律意见书，其内容与格式符合相关法律的规定且为主管机关认可，且截至本期债券发行首日持续有效；</w:t>
      </w:r>
    </w:p>
    <w:p>
      <w:pPr>
        <w:spacing w:line="360" w:lineRule="auto"/>
        <w:ind w:firstLine="600" w:firstLineChars="250"/>
        <w:rPr>
          <w:rFonts w:ascii="Arial" w:hAnsi="Times New Roman" w:eastAsia="宋体" w:cs="Arial"/>
          <w:sz w:val="24"/>
          <w:szCs w:val="24"/>
        </w:rPr>
      </w:pPr>
      <w:r>
        <w:rPr>
          <w:rFonts w:hint="eastAsia" w:ascii="Arial" w:hAnsi="Arial" w:eastAsia="宋体" w:cs="Arial"/>
          <w:sz w:val="24"/>
          <w:szCs w:val="24"/>
        </w:rPr>
        <w:t>3</w:t>
      </w:r>
      <w:r>
        <w:rPr>
          <w:rFonts w:hint="eastAsia" w:ascii="Arial" w:hAnsi="Times New Roman" w:eastAsia="宋体" w:cs="Arial"/>
          <w:sz w:val="24"/>
          <w:szCs w:val="24"/>
        </w:rPr>
        <w:t>.1.</w:t>
      </w:r>
      <w:r>
        <w:rPr>
          <w:rFonts w:ascii="Arial" w:hAnsi="Times New Roman" w:eastAsia="宋体" w:cs="Arial"/>
          <w:sz w:val="24"/>
          <w:szCs w:val="24"/>
        </w:rPr>
        <w:t>10甲方的股东（大）会已批准本次债券发行；</w:t>
      </w:r>
    </w:p>
    <w:p>
      <w:pPr>
        <w:spacing w:line="360" w:lineRule="auto"/>
        <w:ind w:firstLine="600" w:firstLineChars="250"/>
        <w:rPr>
          <w:rFonts w:ascii="Arial" w:hAnsi="Arial" w:eastAsia="宋体" w:cs="Arial"/>
          <w:sz w:val="24"/>
          <w:szCs w:val="24"/>
        </w:rPr>
      </w:pPr>
      <w:r>
        <w:rPr>
          <w:rFonts w:hint="eastAsia" w:ascii="Arial" w:hAnsi="Times New Roman" w:eastAsia="宋体" w:cs="Arial"/>
          <w:sz w:val="24"/>
          <w:szCs w:val="24"/>
        </w:rPr>
        <w:t xml:space="preserve">3.1.11 </w:t>
      </w:r>
      <w:r>
        <w:rPr>
          <w:rFonts w:ascii="Arial" w:hAnsi="Times New Roman" w:eastAsia="宋体" w:cs="Arial"/>
          <w:sz w:val="24"/>
          <w:szCs w:val="24"/>
        </w:rPr>
        <w:t>甲方与乙方已就本期债券的其他承销要件协商一致</w:t>
      </w:r>
      <w:r>
        <w:rPr>
          <w:rFonts w:hint="eastAsia" w:ascii="Arial" w:hAnsi="Times New Roman" w:eastAsia="宋体" w:cs="Arial"/>
          <w:sz w:val="24"/>
          <w:szCs w:val="24"/>
        </w:rPr>
        <w:t>；</w:t>
      </w:r>
    </w:p>
    <w:p>
      <w:pPr>
        <w:spacing w:line="360" w:lineRule="auto"/>
        <w:ind w:firstLine="600" w:firstLineChars="250"/>
        <w:rPr>
          <w:rFonts w:ascii="Arial" w:hAnsi="Arial" w:eastAsia="宋体" w:cs="Arial"/>
          <w:sz w:val="24"/>
          <w:szCs w:val="24"/>
        </w:rPr>
      </w:pPr>
      <w:r>
        <w:rPr>
          <w:rFonts w:hint="eastAsia" w:ascii="Arial" w:hAnsi="Arial" w:eastAsia="宋体" w:cs="Arial"/>
          <w:sz w:val="24"/>
          <w:szCs w:val="24"/>
        </w:rPr>
        <w:t>3.1.12 未发现发行人存在违反其在本协议和</w:t>
      </w:r>
      <w:r>
        <w:rPr>
          <w:rFonts w:ascii="Arial" w:hAnsi="Arial" w:eastAsia="宋体" w:cs="Arial"/>
          <w:sz w:val="24"/>
          <w:szCs w:val="24"/>
        </w:rPr>
        <w:t>/</w:t>
      </w:r>
      <w:r>
        <w:rPr>
          <w:rFonts w:hint="eastAsia" w:ascii="Arial" w:hAnsi="Arial" w:eastAsia="宋体" w:cs="Arial"/>
          <w:sz w:val="24"/>
          <w:szCs w:val="24"/>
        </w:rPr>
        <w:t>或所有发行文件中的任何实质性义务和陈述、保证的情况，未发生本协议第十三条约定的协议终止或其他违约等情况；</w:t>
      </w:r>
    </w:p>
    <w:p>
      <w:pPr>
        <w:spacing w:line="360" w:lineRule="auto"/>
        <w:ind w:firstLine="600" w:firstLineChars="250"/>
        <w:rPr>
          <w:rFonts w:ascii="Arial" w:hAnsi="Arial" w:eastAsia="宋体" w:cs="Arial"/>
          <w:sz w:val="24"/>
          <w:szCs w:val="24"/>
        </w:rPr>
      </w:pPr>
      <w:r>
        <w:rPr>
          <w:rFonts w:hint="eastAsia" w:ascii="Arial" w:hAnsi="Arial" w:eastAsia="宋体" w:cs="Arial"/>
          <w:sz w:val="24"/>
          <w:szCs w:val="24"/>
        </w:rPr>
        <w:t>3.1.13 国内或国际货币、金融、政治、经济或社会情况，或者利率、准备金率、准备金利率、货币兑换率或外汇管制等方面在发行期限前主承销商认为没有发生可能对本期债券发行及交易流通产生重大不利影响的变故，包括但不限于下列情况：（</w:t>
      </w:r>
      <w:r>
        <w:rPr>
          <w:rFonts w:ascii="Arial" w:hAnsi="Arial" w:eastAsia="宋体" w:cs="Arial"/>
          <w:sz w:val="24"/>
          <w:szCs w:val="24"/>
        </w:rPr>
        <w:t>1</w:t>
      </w:r>
      <w:r>
        <w:rPr>
          <w:rFonts w:hint="eastAsia" w:ascii="Arial" w:hAnsi="Arial" w:eastAsia="宋体" w:cs="Arial"/>
          <w:sz w:val="24"/>
          <w:szCs w:val="24"/>
        </w:rPr>
        <w:t>）相关证券交易市场暂停或限制一般债券或发行人债券的交易（如适用）；或者（</w:t>
      </w:r>
      <w:r>
        <w:rPr>
          <w:rFonts w:ascii="Arial" w:hAnsi="Arial" w:eastAsia="宋体" w:cs="Arial"/>
          <w:sz w:val="24"/>
          <w:szCs w:val="24"/>
        </w:rPr>
        <w:t>2</w:t>
      </w:r>
      <w:r>
        <w:rPr>
          <w:rFonts w:hint="eastAsia" w:ascii="Arial" w:hAnsi="Arial" w:eastAsia="宋体" w:cs="Arial"/>
          <w:sz w:val="24"/>
          <w:szCs w:val="24"/>
        </w:rPr>
        <w:t>）证券结算或清算服务或国内商业银行服务因故实质性中断，影响到本次债券发行及交易流通。</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3.2  主承销商可以自主酌情决定，以其认为适当的条件，豁免上述全部或部分先决条件。如在本协议签署日后的【】个月后，上述先决条件中的任何一项条件未能实现且未为主承销商书面豁免，主承销商有权终止本协议。</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3.3  甲方向乙方确认，本协议第七条所约定的簿记管理人向甲方的划款义务，以上述先决条件得到满足并在本协议签署后至各期债券缴款日前始终得到满足为前提。</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3.4  在上述条件全部满足之前，主承销商已经作出的任何决定和采取的任何行动不应被视为其承担本协议项下承销债券的义务，发行人应努力争取使本条先决条件得以实现。本协议签署之日起满【】个月，如任何先决条件没有实现，经主承销商通知发行人，各方在协商后可以在三个工作日内决定：</w:t>
      </w:r>
    </w:p>
    <w:p>
      <w:pPr>
        <w:spacing w:line="360" w:lineRule="auto"/>
        <w:ind w:firstLine="600" w:firstLineChars="250"/>
        <w:rPr>
          <w:rFonts w:ascii="Arial" w:hAnsi="Arial" w:eastAsia="宋体" w:cs="Arial"/>
          <w:sz w:val="24"/>
          <w:szCs w:val="24"/>
        </w:rPr>
      </w:pPr>
      <w:r>
        <w:rPr>
          <w:rFonts w:hint="eastAsia" w:ascii="Arial" w:hAnsi="Arial" w:eastAsia="宋体" w:cs="Arial"/>
          <w:sz w:val="24"/>
          <w:szCs w:val="24"/>
        </w:rPr>
        <w:t>3.4.1 以恰当的天数和方式，延长实现该先决条件的期限；或</w:t>
      </w:r>
    </w:p>
    <w:p>
      <w:pPr>
        <w:spacing w:line="360" w:lineRule="auto"/>
        <w:ind w:firstLine="600" w:firstLineChars="250"/>
        <w:rPr>
          <w:rFonts w:ascii="Arial" w:hAnsi="Arial" w:eastAsia="宋体" w:cs="Arial"/>
          <w:sz w:val="24"/>
          <w:szCs w:val="24"/>
        </w:rPr>
      </w:pPr>
      <w:r>
        <w:rPr>
          <w:rFonts w:hint="eastAsia" w:ascii="Arial" w:hAnsi="Arial" w:eastAsia="宋体" w:cs="Arial"/>
          <w:sz w:val="24"/>
          <w:szCs w:val="24"/>
        </w:rPr>
        <w:t>3.4.2 全部或部分放弃该先决条件。</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3.5  如果本条先决条件未能如期实现且各方未按照本条作出决定，主承销商共同向发行人发出书面通知后，有权终止本协议。</w:t>
      </w:r>
    </w:p>
    <w:p>
      <w:pPr>
        <w:spacing w:line="360" w:lineRule="auto"/>
        <w:ind w:firstLine="480" w:firstLineChars="200"/>
        <w:rPr>
          <w:rFonts w:ascii="Arial" w:hAnsi="Arial" w:eastAsia="宋体" w:cs="Arial"/>
          <w:sz w:val="24"/>
          <w:szCs w:val="24"/>
        </w:rPr>
      </w:pPr>
    </w:p>
    <w:p>
      <w:pPr>
        <w:spacing w:line="360" w:lineRule="auto"/>
        <w:jc w:val="center"/>
        <w:outlineLvl w:val="0"/>
        <w:rPr>
          <w:rFonts w:ascii="Arial" w:hAnsi="Arial" w:eastAsia="宋体" w:cs="Arial"/>
          <w:b/>
          <w:bCs/>
          <w:sz w:val="24"/>
          <w:szCs w:val="24"/>
        </w:rPr>
      </w:pPr>
      <w:r>
        <w:rPr>
          <w:rFonts w:ascii="Arial" w:hAnsi="Times New Roman" w:eastAsia="宋体" w:cs="Arial"/>
          <w:b/>
          <w:bCs/>
          <w:sz w:val="24"/>
          <w:szCs w:val="24"/>
        </w:rPr>
        <w:t>第四条</w:t>
      </w:r>
      <w:r>
        <w:rPr>
          <w:rFonts w:hint="eastAsia" w:ascii="Arial" w:hAnsi="Times New Roman" w:eastAsia="宋体" w:cs="Arial"/>
          <w:b/>
          <w:bCs/>
          <w:sz w:val="24"/>
          <w:szCs w:val="24"/>
        </w:rPr>
        <w:t xml:space="preserve">  </w:t>
      </w:r>
      <w:r>
        <w:rPr>
          <w:rFonts w:ascii="Arial" w:hAnsi="Times New Roman" w:eastAsia="宋体" w:cs="Arial"/>
          <w:b/>
          <w:bCs/>
          <w:sz w:val="24"/>
          <w:szCs w:val="24"/>
        </w:rPr>
        <w:t>承销种类、数量、金额及发行利率</w:t>
      </w:r>
    </w:p>
    <w:p>
      <w:pPr>
        <w:spacing w:line="360" w:lineRule="auto"/>
        <w:ind w:firstLine="480" w:firstLineChars="200"/>
        <w:outlineLvl w:val="0"/>
        <w:rPr>
          <w:rFonts w:ascii="Arial" w:hAnsi="Arial" w:eastAsia="宋体" w:cs="Arial"/>
          <w:b/>
          <w:bCs/>
          <w:sz w:val="24"/>
          <w:szCs w:val="24"/>
        </w:rPr>
      </w:pPr>
      <w:r>
        <w:rPr>
          <w:rFonts w:ascii="Arial" w:hAnsi="Arial" w:eastAsia="宋体" w:cs="Arial"/>
          <w:sz w:val="24"/>
          <w:szCs w:val="24"/>
        </w:rPr>
        <w:t xml:space="preserve">4.1  </w:t>
      </w:r>
      <w:r>
        <w:rPr>
          <w:rFonts w:ascii="Arial" w:hAnsi="Times New Roman" w:eastAsia="宋体" w:cs="Arial"/>
          <w:sz w:val="24"/>
          <w:szCs w:val="24"/>
        </w:rPr>
        <w:t>本次债券发行的债券种类为</w:t>
      </w:r>
      <w:r>
        <w:rPr>
          <w:rFonts w:hint="eastAsia" w:ascii="Arial" w:hAnsi="Times New Roman" w:eastAsia="宋体" w:cs="Arial"/>
          <w:sz w:val="24"/>
          <w:szCs w:val="24"/>
        </w:rPr>
        <w:t>非</w:t>
      </w:r>
      <w:r>
        <w:rPr>
          <w:rFonts w:ascii="Arial" w:hAnsi="Times New Roman" w:eastAsia="宋体" w:cs="Arial"/>
          <w:sz w:val="24"/>
          <w:szCs w:val="24"/>
        </w:rPr>
        <w:t>公开发行【实名制记账式】公司债券，每张面值为人民币</w:t>
      </w:r>
      <w:r>
        <w:rPr>
          <w:rFonts w:ascii="Arial" w:hAnsi="Arial" w:eastAsia="宋体" w:cs="Arial"/>
          <w:sz w:val="24"/>
          <w:szCs w:val="24"/>
        </w:rPr>
        <w:t>100</w:t>
      </w:r>
      <w:r>
        <w:rPr>
          <w:rFonts w:ascii="Arial" w:hAnsi="Times New Roman" w:eastAsia="宋体" w:cs="Arial"/>
          <w:sz w:val="24"/>
          <w:szCs w:val="24"/>
        </w:rPr>
        <w:t>元，</w:t>
      </w:r>
      <w:r>
        <w:rPr>
          <w:rFonts w:hint="eastAsia" w:ascii="Arial" w:hAnsi="Times New Roman" w:eastAsia="宋体" w:cs="Arial"/>
          <w:sz w:val="24"/>
          <w:szCs w:val="24"/>
        </w:rPr>
        <w:t>非</w:t>
      </w:r>
      <w:r>
        <w:rPr>
          <w:rFonts w:ascii="Arial" w:hAnsi="Times New Roman" w:eastAsia="宋体" w:cs="Arial"/>
          <w:sz w:val="24"/>
          <w:szCs w:val="24"/>
        </w:rPr>
        <w:t>公开发行数量为不超过人民</w:t>
      </w:r>
      <w:r>
        <w:rPr>
          <w:rFonts w:hint="eastAsia" w:ascii="Arial" w:hAnsi="Times New Roman" w:eastAsia="宋体" w:cs="Arial"/>
          <w:sz w:val="24"/>
          <w:szCs w:val="24"/>
        </w:rPr>
        <w:t>10亿</w:t>
      </w:r>
      <w:r>
        <w:rPr>
          <w:rFonts w:ascii="Arial" w:hAnsi="Times New Roman" w:eastAsia="宋体" w:cs="Arial"/>
          <w:sz w:val="24"/>
          <w:szCs w:val="24"/>
        </w:rPr>
        <w:t>元（含</w:t>
      </w:r>
      <w:r>
        <w:rPr>
          <w:rFonts w:hint="eastAsia" w:ascii="Arial" w:hAnsi="Times New Roman" w:eastAsia="宋体" w:cs="Arial"/>
          <w:sz w:val="24"/>
          <w:szCs w:val="24"/>
        </w:rPr>
        <w:t>1</w:t>
      </w:r>
      <w:r>
        <w:rPr>
          <w:rFonts w:ascii="Arial" w:hAnsi="Times New Roman" w:eastAsia="宋体" w:cs="Arial"/>
          <w:sz w:val="24"/>
          <w:szCs w:val="24"/>
        </w:rPr>
        <w:t>0</w:t>
      </w:r>
      <w:r>
        <w:rPr>
          <w:rFonts w:hint="eastAsia" w:ascii="Arial" w:hAnsi="Times New Roman" w:eastAsia="宋体" w:cs="Arial"/>
          <w:sz w:val="24"/>
          <w:szCs w:val="24"/>
        </w:rPr>
        <w:t>亿</w:t>
      </w:r>
      <w:r>
        <w:rPr>
          <w:rFonts w:ascii="Arial" w:hAnsi="Times New Roman" w:eastAsia="宋体" w:cs="Arial"/>
          <w:sz w:val="24"/>
          <w:szCs w:val="24"/>
        </w:rPr>
        <w:t>元）。</w:t>
      </w:r>
    </w:p>
    <w:p>
      <w:pPr>
        <w:spacing w:line="360" w:lineRule="auto"/>
        <w:ind w:firstLine="480"/>
        <w:outlineLvl w:val="0"/>
        <w:rPr>
          <w:rFonts w:ascii="Arial" w:hAnsi="Arial" w:eastAsia="宋体" w:cs="Arial"/>
          <w:b/>
          <w:bCs/>
          <w:sz w:val="24"/>
          <w:szCs w:val="24"/>
        </w:rPr>
      </w:pPr>
      <w:r>
        <w:rPr>
          <w:rFonts w:ascii="Arial" w:hAnsi="Arial" w:eastAsia="宋体" w:cs="Arial"/>
          <w:sz w:val="24"/>
          <w:szCs w:val="24"/>
        </w:rPr>
        <w:t>4.2</w:t>
      </w:r>
      <w:r>
        <w:rPr>
          <w:rFonts w:hint="eastAsia" w:ascii="Arial" w:hAnsi="Arial" w:eastAsia="宋体" w:cs="Arial"/>
          <w:sz w:val="24"/>
          <w:szCs w:val="24"/>
        </w:rPr>
        <w:t xml:space="preserve"> </w:t>
      </w:r>
      <w:r>
        <w:rPr>
          <w:rFonts w:ascii="Arial" w:hAnsi="Times New Roman" w:eastAsia="宋体" w:cs="Arial"/>
          <w:sz w:val="24"/>
          <w:szCs w:val="20"/>
        </w:rPr>
        <w:t>本期债券发行的发行利率由甲方与乙方</w:t>
      </w:r>
      <w:r>
        <w:rPr>
          <w:rFonts w:hint="eastAsia" w:ascii="Arial" w:hAnsi="Times New Roman" w:eastAsia="宋体" w:cs="Arial"/>
          <w:sz w:val="24"/>
          <w:szCs w:val="20"/>
        </w:rPr>
        <w:t>【</w:t>
      </w:r>
      <w:r>
        <w:rPr>
          <w:rFonts w:ascii="Arial" w:hAnsi="Times New Roman" w:eastAsia="宋体" w:cs="Arial"/>
          <w:sz w:val="24"/>
          <w:szCs w:val="20"/>
        </w:rPr>
        <w:t>根据市场询价结果协商一致后</w:t>
      </w:r>
      <w:r>
        <w:rPr>
          <w:rFonts w:hint="eastAsia" w:ascii="Arial" w:hAnsi="Times New Roman" w:eastAsia="宋体" w:cs="Arial"/>
          <w:sz w:val="24"/>
          <w:szCs w:val="20"/>
        </w:rPr>
        <w:t>】</w:t>
      </w:r>
      <w:r>
        <w:rPr>
          <w:rFonts w:ascii="Arial" w:hAnsi="Times New Roman" w:eastAsia="宋体" w:cs="Arial"/>
          <w:sz w:val="24"/>
          <w:szCs w:val="20"/>
        </w:rPr>
        <w:t>确定。</w:t>
      </w:r>
    </w:p>
    <w:p>
      <w:pPr>
        <w:spacing w:line="360" w:lineRule="auto"/>
        <w:ind w:firstLine="480"/>
        <w:rPr>
          <w:rFonts w:ascii="Arial" w:hAnsi="Arial" w:eastAsia="宋体" w:cs="Arial"/>
          <w:bCs/>
          <w:sz w:val="24"/>
          <w:szCs w:val="24"/>
        </w:rPr>
      </w:pPr>
    </w:p>
    <w:p>
      <w:pPr>
        <w:spacing w:line="360" w:lineRule="auto"/>
        <w:jc w:val="center"/>
        <w:outlineLvl w:val="0"/>
        <w:rPr>
          <w:rFonts w:ascii="Arial" w:hAnsi="Arial" w:eastAsia="宋体" w:cs="Arial"/>
          <w:b/>
          <w:sz w:val="24"/>
          <w:szCs w:val="24"/>
        </w:rPr>
      </w:pPr>
      <w:r>
        <w:rPr>
          <w:rFonts w:ascii="Arial" w:hAnsi="Times New Roman" w:eastAsia="宋体" w:cs="Arial"/>
          <w:b/>
          <w:sz w:val="24"/>
          <w:szCs w:val="24"/>
        </w:rPr>
        <w:t>第五条</w:t>
      </w:r>
      <w:r>
        <w:rPr>
          <w:rFonts w:hint="eastAsia" w:ascii="Arial" w:hAnsi="Times New Roman" w:eastAsia="宋体" w:cs="Arial"/>
          <w:b/>
          <w:sz w:val="24"/>
          <w:szCs w:val="24"/>
        </w:rPr>
        <w:t xml:space="preserve">  </w:t>
      </w:r>
      <w:r>
        <w:rPr>
          <w:rFonts w:ascii="Arial" w:hAnsi="Times New Roman" w:eastAsia="宋体" w:cs="Arial"/>
          <w:b/>
          <w:sz w:val="24"/>
          <w:szCs w:val="24"/>
        </w:rPr>
        <w:t>承销方式与承销责任</w:t>
      </w:r>
    </w:p>
    <w:p>
      <w:pPr>
        <w:spacing w:line="360" w:lineRule="auto"/>
        <w:ind w:firstLine="480" w:firstLineChars="200"/>
        <w:rPr>
          <w:rFonts w:ascii="Arial" w:hAnsi="Times New Roman" w:eastAsia="宋体" w:cs="Arial"/>
          <w:sz w:val="24"/>
          <w:szCs w:val="24"/>
        </w:rPr>
      </w:pPr>
      <w:r>
        <w:rPr>
          <w:rFonts w:ascii="Arial" w:hAnsi="Arial" w:eastAsia="宋体" w:cs="Arial"/>
          <w:bCs/>
          <w:sz w:val="24"/>
          <w:szCs w:val="24"/>
        </w:rPr>
        <w:t>5.1</w:t>
      </w:r>
      <w:r>
        <w:rPr>
          <w:rFonts w:ascii="Arial" w:hAnsi="Times New Roman" w:eastAsia="宋体" w:cs="Arial"/>
          <w:sz w:val="24"/>
          <w:szCs w:val="24"/>
        </w:rPr>
        <w:t>本期债券发行的承销方式为</w:t>
      </w:r>
      <w:r>
        <w:rPr>
          <w:rFonts w:hint="eastAsia" w:ascii="Arial" w:hAnsi="Times New Roman" w:eastAsia="宋体" w:cs="Arial"/>
          <w:sz w:val="24"/>
          <w:szCs w:val="24"/>
        </w:rPr>
        <w:t>【余额包销】，主承销商在本协议约定的先决条件获得满足后，以【余额包销】方式承销本期债券。</w:t>
      </w:r>
    </w:p>
    <w:p>
      <w:pPr>
        <w:spacing w:line="360" w:lineRule="auto"/>
        <w:ind w:firstLine="480" w:firstLineChars="200"/>
        <w:rPr>
          <w:rFonts w:ascii="Arial" w:hAnsi="Times New Roman" w:eastAsia="宋体" w:cs="Arial"/>
          <w:sz w:val="24"/>
          <w:szCs w:val="24"/>
        </w:rPr>
      </w:pPr>
      <w:r>
        <w:rPr>
          <w:rFonts w:hint="eastAsia" w:ascii="Arial" w:hAnsi="Times New Roman" w:eastAsia="宋体" w:cs="Arial"/>
          <w:sz w:val="24"/>
          <w:szCs w:val="24"/>
        </w:rPr>
        <w:t>承销期结束后对认购不足的本次债券（若分期发行，则为当期债券）余额由乙方组织承销团以本期发行利率区间上限全数认购，风险自担。</w:t>
      </w:r>
    </w:p>
    <w:p>
      <w:pPr>
        <w:spacing w:line="360" w:lineRule="auto"/>
        <w:ind w:firstLine="480" w:firstLineChars="200"/>
        <w:rPr>
          <w:rFonts w:hint="eastAsia" w:ascii="Arial" w:hAnsi="Times New Roman" w:eastAsia="宋体" w:cs="Arial"/>
          <w:sz w:val="24"/>
          <w:szCs w:val="24"/>
        </w:rPr>
      </w:pPr>
      <w:r>
        <w:rPr>
          <w:rFonts w:hint="eastAsia" w:ascii="Arial" w:hAnsi="Times New Roman" w:eastAsia="宋体" w:cs="Arial"/>
          <w:sz w:val="24"/>
          <w:szCs w:val="24"/>
        </w:rPr>
        <w:t>5.2 各主承销商对本期债券承担的承销义务相互独立，每一主承销商对其承销义务的违约不构成其他主承销商的违约。</w:t>
      </w:r>
    </w:p>
    <w:p>
      <w:pPr>
        <w:spacing w:line="360" w:lineRule="auto"/>
        <w:ind w:firstLine="480" w:firstLineChars="200"/>
        <w:rPr>
          <w:rFonts w:ascii="Arial" w:hAnsi="Arial" w:eastAsia="宋体" w:cs="Arial"/>
          <w:sz w:val="24"/>
          <w:szCs w:val="24"/>
        </w:rPr>
      </w:pPr>
      <w:r>
        <w:rPr>
          <w:rFonts w:hint="eastAsia" w:ascii="Arial" w:hAnsi="Times New Roman" w:eastAsia="宋体" w:cs="Arial"/>
          <w:sz w:val="24"/>
          <w:szCs w:val="24"/>
        </w:rPr>
        <w:t>5.3</w:t>
      </w:r>
      <w:r>
        <w:rPr>
          <w:rFonts w:ascii="Arial" w:hAnsi="Times New Roman" w:eastAsia="宋体" w:cs="Arial"/>
          <w:sz w:val="24"/>
          <w:szCs w:val="24"/>
        </w:rPr>
        <w:t>甲方特此确认，在乙方按照本协议的规定向甲方划付了本期债券所募集款项并扣除承销费用后的净额且甲方实际已收到了前述款项，并且乙方已按照本协议的规定向甲方提供了承销费用发票之后，乙方在本协议项下作为主承销商的承销义务和责任即告终止，但乙方在本协议项下的其他义务和责任以及有关法定责任并不因此而终止。</w:t>
      </w:r>
    </w:p>
    <w:p>
      <w:pPr>
        <w:spacing w:line="360" w:lineRule="auto"/>
        <w:ind w:firstLine="480" w:firstLineChars="200"/>
        <w:rPr>
          <w:rFonts w:ascii="Arial" w:hAnsi="Arial" w:eastAsia="宋体" w:cs="Arial"/>
          <w:color w:val="000000"/>
          <w:sz w:val="24"/>
          <w:szCs w:val="20"/>
        </w:rPr>
      </w:pPr>
    </w:p>
    <w:p>
      <w:pPr>
        <w:spacing w:line="360" w:lineRule="auto"/>
        <w:ind w:firstLine="482"/>
        <w:jc w:val="center"/>
        <w:outlineLvl w:val="0"/>
        <w:rPr>
          <w:rFonts w:ascii="Arial" w:hAnsi="Times New Roman" w:eastAsia="宋体" w:cs="Arial"/>
          <w:b/>
          <w:sz w:val="24"/>
          <w:szCs w:val="24"/>
        </w:rPr>
      </w:pPr>
      <w:r>
        <w:rPr>
          <w:rFonts w:hint="eastAsia" w:ascii="Arial" w:hAnsi="Times New Roman" w:eastAsia="宋体" w:cs="Arial"/>
          <w:b/>
          <w:sz w:val="24"/>
          <w:szCs w:val="24"/>
        </w:rPr>
        <w:t>第六条  发行、转让对象的范围</w:t>
      </w:r>
    </w:p>
    <w:p>
      <w:pPr>
        <w:spacing w:line="360" w:lineRule="auto"/>
        <w:ind w:firstLine="480" w:firstLineChars="200"/>
        <w:rPr>
          <w:rFonts w:ascii="Arial" w:hAnsi="Arial" w:eastAsia="宋体" w:cs="Arial"/>
          <w:color w:val="000000"/>
          <w:sz w:val="24"/>
          <w:szCs w:val="20"/>
        </w:rPr>
      </w:pPr>
      <w:r>
        <w:rPr>
          <w:rFonts w:hint="eastAsia" w:ascii="Arial" w:hAnsi="Arial" w:eastAsia="宋体" w:cs="Arial"/>
          <w:bCs/>
          <w:sz w:val="24"/>
          <w:szCs w:val="24"/>
        </w:rPr>
        <w:t>本次债券发行对象为应符合《管理办法》、《证券期货投资者适当性管理办法》以及《【上海/深圳】证券交易所债券市场投资者适当性管理办法》对于投资者的相关规定。</w:t>
      </w:r>
      <w:r>
        <w:rPr>
          <w:rFonts w:hint="eastAsia" w:ascii="Arial" w:hAnsi="Arial" w:eastAsia="宋体" w:cs="Arial"/>
          <w:color w:val="000000"/>
          <w:sz w:val="24"/>
          <w:szCs w:val="20"/>
        </w:rPr>
        <w:t>转让后，持有本次债券的专业投资者合计不得超过二百人。</w:t>
      </w:r>
    </w:p>
    <w:p>
      <w:pPr>
        <w:spacing w:line="360" w:lineRule="auto"/>
        <w:ind w:firstLine="480" w:firstLineChars="200"/>
        <w:rPr>
          <w:rFonts w:ascii="Arial" w:hAnsi="Arial" w:eastAsia="宋体" w:cs="Arial"/>
          <w:color w:val="000000"/>
          <w:sz w:val="24"/>
          <w:szCs w:val="20"/>
        </w:rPr>
      </w:pPr>
    </w:p>
    <w:p>
      <w:pPr>
        <w:spacing w:line="360" w:lineRule="auto"/>
        <w:jc w:val="center"/>
        <w:outlineLvl w:val="0"/>
        <w:rPr>
          <w:rFonts w:ascii="Arial" w:hAnsi="Arial" w:eastAsia="宋体" w:cs="Arial"/>
          <w:b/>
          <w:sz w:val="24"/>
          <w:szCs w:val="24"/>
        </w:rPr>
      </w:pPr>
      <w:r>
        <w:rPr>
          <w:rFonts w:ascii="Arial" w:hAnsi="Times New Roman" w:eastAsia="宋体" w:cs="Arial"/>
          <w:b/>
          <w:sz w:val="24"/>
          <w:szCs w:val="24"/>
        </w:rPr>
        <w:t>第</w:t>
      </w:r>
      <w:r>
        <w:rPr>
          <w:rFonts w:hint="eastAsia" w:ascii="Arial" w:hAnsi="Times New Roman" w:eastAsia="宋体" w:cs="Arial"/>
          <w:b/>
          <w:sz w:val="24"/>
          <w:szCs w:val="24"/>
        </w:rPr>
        <w:t>七</w:t>
      </w:r>
      <w:r>
        <w:rPr>
          <w:rFonts w:ascii="Arial" w:hAnsi="Times New Roman" w:eastAsia="宋体" w:cs="Arial"/>
          <w:b/>
          <w:sz w:val="24"/>
          <w:szCs w:val="24"/>
        </w:rPr>
        <w:t>条</w:t>
      </w:r>
      <w:r>
        <w:rPr>
          <w:rFonts w:hint="eastAsia" w:ascii="Arial" w:hAnsi="Times New Roman" w:eastAsia="宋体" w:cs="Arial"/>
          <w:b/>
          <w:sz w:val="24"/>
          <w:szCs w:val="24"/>
        </w:rPr>
        <w:t xml:space="preserve">  </w:t>
      </w:r>
      <w:r>
        <w:rPr>
          <w:rFonts w:ascii="Arial" w:hAnsi="Times New Roman" w:eastAsia="宋体" w:cs="Arial"/>
          <w:b/>
          <w:sz w:val="24"/>
          <w:szCs w:val="24"/>
        </w:rPr>
        <w:t>费用</w:t>
      </w:r>
    </w:p>
    <w:p>
      <w:pPr>
        <w:tabs>
          <w:tab w:val="left" w:pos="1080"/>
        </w:tabs>
        <w:spacing w:line="360" w:lineRule="auto"/>
        <w:ind w:firstLine="480"/>
        <w:rPr>
          <w:rFonts w:ascii="Arial" w:hAnsi="Times New Roman" w:eastAsia="宋体" w:cs="Arial"/>
          <w:sz w:val="24"/>
          <w:szCs w:val="24"/>
        </w:rPr>
      </w:pPr>
      <w:r>
        <w:rPr>
          <w:rFonts w:ascii="Arial" w:hAnsi="Arial" w:eastAsia="宋体" w:cs="Arial"/>
          <w:sz w:val="24"/>
          <w:szCs w:val="24"/>
        </w:rPr>
        <w:t xml:space="preserve">7.1  </w:t>
      </w:r>
      <w:r>
        <w:rPr>
          <w:rFonts w:ascii="Arial" w:hAnsi="Times New Roman" w:eastAsia="宋体" w:cs="Arial"/>
          <w:sz w:val="24"/>
          <w:szCs w:val="24"/>
        </w:rPr>
        <w:t>经甲乙双方协商确定，乙方为本</w:t>
      </w:r>
      <w:r>
        <w:rPr>
          <w:rFonts w:hint="eastAsia" w:ascii="Arial" w:hAnsi="Times New Roman" w:eastAsia="宋体" w:cs="Arial"/>
          <w:sz w:val="24"/>
          <w:szCs w:val="24"/>
        </w:rPr>
        <w:t>次债券</w:t>
      </w:r>
      <w:r>
        <w:rPr>
          <w:rFonts w:ascii="Arial" w:hAnsi="Times New Roman" w:eastAsia="宋体" w:cs="Arial"/>
          <w:sz w:val="24"/>
          <w:szCs w:val="24"/>
        </w:rPr>
        <w:t>履行承销职责向甲方收取的承销费为</w:t>
      </w:r>
      <w:r>
        <w:rPr>
          <w:rFonts w:hint="eastAsia" w:ascii="Arial" w:hAnsi="Times New Roman" w:eastAsia="宋体" w:cs="Arial"/>
          <w:sz w:val="24"/>
          <w:szCs w:val="24"/>
        </w:rPr>
        <w:t>增值税含税价，</w:t>
      </w:r>
      <w:r>
        <w:rPr>
          <w:rFonts w:ascii="Arial" w:hAnsi="Times New Roman" w:eastAsia="宋体" w:cs="Arial"/>
          <w:sz w:val="24"/>
          <w:szCs w:val="24"/>
        </w:rPr>
        <w:t>募集资金总额的</w:t>
      </w:r>
      <w:r>
        <w:rPr>
          <w:rFonts w:hint="eastAsia" w:ascii="Arial" w:hAnsi="Times New Roman" w:eastAsia="宋体" w:cs="Arial"/>
          <w:sz w:val="24"/>
          <w:szCs w:val="24"/>
        </w:rPr>
        <w:t>【】</w:t>
      </w:r>
      <w:r>
        <w:rPr>
          <w:rFonts w:ascii="Arial" w:hAnsi="Times New Roman" w:eastAsia="宋体" w:cs="Arial"/>
          <w:sz w:val="24"/>
          <w:szCs w:val="24"/>
        </w:rPr>
        <w:t>%计算</w:t>
      </w:r>
      <w:r>
        <w:rPr>
          <w:rFonts w:hint="eastAsia" w:ascii="Arial" w:hAnsi="Times New Roman" w:eastAsia="宋体" w:cs="Arial"/>
          <w:sz w:val="24"/>
          <w:szCs w:val="24"/>
        </w:rPr>
        <w:t>，适用增值税税率【6】</w:t>
      </w:r>
      <w:r>
        <w:rPr>
          <w:rFonts w:ascii="Arial" w:hAnsi="Times New Roman" w:eastAsia="宋体" w:cs="Arial"/>
          <w:sz w:val="24"/>
          <w:szCs w:val="24"/>
        </w:rPr>
        <w:t>%</w:t>
      </w:r>
      <w:r>
        <w:rPr>
          <w:rFonts w:hint="eastAsia" w:ascii="Arial" w:hAnsi="Times New Roman" w:eastAsia="宋体" w:cs="Arial"/>
          <w:sz w:val="24"/>
          <w:szCs w:val="24"/>
        </w:rPr>
        <w:t>。</w:t>
      </w:r>
      <w:r>
        <w:rPr>
          <w:rFonts w:ascii="Arial" w:hAnsi="Times New Roman" w:eastAsia="宋体" w:cs="Arial"/>
          <w:sz w:val="24"/>
          <w:szCs w:val="24"/>
        </w:rPr>
        <w:t>本期债券发行的承销费用由乙方从募集资金总额中一次性抵扣。</w:t>
      </w:r>
    </w:p>
    <w:p>
      <w:pPr>
        <w:spacing w:line="360" w:lineRule="auto"/>
        <w:ind w:firstLine="480" w:firstLineChars="200"/>
        <w:rPr>
          <w:rFonts w:ascii="Arial" w:hAnsi="Arial" w:eastAsia="宋体" w:cs="Arial"/>
          <w:sz w:val="24"/>
          <w:szCs w:val="24"/>
        </w:rPr>
      </w:pPr>
      <w:r>
        <w:rPr>
          <w:rFonts w:ascii="Arial" w:hAnsi="Arial" w:eastAsia="宋体" w:cs="Arial"/>
          <w:color w:val="000000"/>
          <w:sz w:val="24"/>
          <w:szCs w:val="20"/>
        </w:rPr>
        <w:t xml:space="preserve">7.2  </w:t>
      </w:r>
      <w:r>
        <w:rPr>
          <w:rFonts w:ascii="Arial" w:hAnsi="Times New Roman" w:eastAsia="宋体" w:cs="Arial"/>
          <w:color w:val="000000"/>
          <w:sz w:val="24"/>
          <w:szCs w:val="20"/>
        </w:rPr>
        <w:t>承销费用包括以下项目的开支：</w:t>
      </w:r>
    </w:p>
    <w:p>
      <w:pPr>
        <w:spacing w:line="360" w:lineRule="auto"/>
        <w:ind w:firstLine="600" w:firstLineChars="250"/>
        <w:rPr>
          <w:rFonts w:ascii="Arial" w:hAnsi="Arial" w:eastAsia="宋体" w:cs="Arial"/>
          <w:sz w:val="24"/>
          <w:szCs w:val="24"/>
        </w:rPr>
      </w:pPr>
      <w:r>
        <w:rPr>
          <w:rFonts w:ascii="Arial" w:hAnsi="Arial" w:eastAsia="宋体" w:cs="Arial"/>
          <w:sz w:val="24"/>
          <w:szCs w:val="24"/>
        </w:rPr>
        <w:t xml:space="preserve">7.2.1 </w:t>
      </w:r>
      <w:r>
        <w:rPr>
          <w:rFonts w:ascii="Arial" w:hAnsi="Times New Roman" w:eastAsia="宋体" w:cs="Arial"/>
          <w:sz w:val="24"/>
          <w:szCs w:val="24"/>
        </w:rPr>
        <w:t>甲方申报材料的编制费；</w:t>
      </w:r>
    </w:p>
    <w:p>
      <w:pPr>
        <w:spacing w:line="360" w:lineRule="auto"/>
        <w:ind w:firstLine="600" w:firstLineChars="250"/>
        <w:rPr>
          <w:rFonts w:ascii="Arial" w:hAnsi="Arial" w:eastAsia="宋体" w:cs="Arial"/>
          <w:sz w:val="24"/>
          <w:szCs w:val="24"/>
        </w:rPr>
      </w:pPr>
      <w:r>
        <w:rPr>
          <w:rFonts w:ascii="Arial" w:hAnsi="Arial" w:eastAsia="宋体" w:cs="Arial"/>
          <w:sz w:val="24"/>
          <w:szCs w:val="24"/>
        </w:rPr>
        <w:t xml:space="preserve">7.2.2 </w:t>
      </w:r>
      <w:r>
        <w:rPr>
          <w:rFonts w:ascii="Arial" w:hAnsi="Times New Roman" w:eastAsia="宋体" w:cs="Arial"/>
          <w:sz w:val="24"/>
          <w:szCs w:val="24"/>
        </w:rPr>
        <w:t>承销团的分销费（即承销佣金）。</w:t>
      </w:r>
    </w:p>
    <w:p>
      <w:pPr>
        <w:spacing w:line="360" w:lineRule="auto"/>
        <w:ind w:firstLine="480"/>
        <w:rPr>
          <w:rFonts w:ascii="Arial" w:hAnsi="Arial" w:eastAsia="宋体" w:cs="Arial"/>
          <w:sz w:val="24"/>
          <w:szCs w:val="24"/>
        </w:rPr>
      </w:pPr>
      <w:r>
        <w:rPr>
          <w:rFonts w:ascii="Arial" w:hAnsi="Arial" w:eastAsia="宋体" w:cs="Arial"/>
          <w:sz w:val="24"/>
          <w:szCs w:val="24"/>
        </w:rPr>
        <w:t xml:space="preserve">7.3  </w:t>
      </w:r>
      <w:r>
        <w:rPr>
          <w:rFonts w:ascii="Arial" w:hAnsi="Times New Roman" w:eastAsia="宋体" w:cs="Arial"/>
          <w:sz w:val="24"/>
          <w:szCs w:val="24"/>
        </w:rPr>
        <w:t>承销费用不包括以下项目的开支，下列各项开支由甲方支付：</w:t>
      </w:r>
    </w:p>
    <w:p>
      <w:pPr>
        <w:spacing w:line="360" w:lineRule="auto"/>
        <w:ind w:firstLine="600" w:firstLineChars="250"/>
        <w:rPr>
          <w:rFonts w:ascii="Arial" w:hAnsi="Times New Roman" w:eastAsia="宋体" w:cs="Arial"/>
          <w:sz w:val="24"/>
          <w:szCs w:val="24"/>
        </w:rPr>
      </w:pPr>
      <w:r>
        <w:rPr>
          <w:rFonts w:ascii="Arial" w:hAnsi="Arial" w:eastAsia="宋体" w:cs="Arial"/>
          <w:sz w:val="24"/>
          <w:szCs w:val="24"/>
        </w:rPr>
        <w:t xml:space="preserve">7.3.1 </w:t>
      </w:r>
      <w:r>
        <w:rPr>
          <w:rFonts w:ascii="Arial" w:hAnsi="Times New Roman" w:eastAsia="宋体" w:cs="Arial"/>
          <w:sz w:val="24"/>
          <w:szCs w:val="24"/>
        </w:rPr>
        <w:t>乙方在甲方现场开展工作、制作有关材料期间所发生的费用；</w:t>
      </w:r>
    </w:p>
    <w:p>
      <w:pPr>
        <w:spacing w:line="360" w:lineRule="auto"/>
        <w:ind w:firstLine="600" w:firstLineChars="250"/>
        <w:rPr>
          <w:rFonts w:ascii="Arial" w:hAnsi="Times New Roman" w:eastAsia="宋体" w:cs="Arial"/>
          <w:sz w:val="24"/>
          <w:szCs w:val="24"/>
        </w:rPr>
      </w:pPr>
      <w:r>
        <w:rPr>
          <w:rFonts w:ascii="Arial" w:hAnsi="Arial" w:eastAsia="宋体" w:cs="Arial"/>
          <w:sz w:val="24"/>
          <w:szCs w:val="24"/>
        </w:rPr>
        <w:t xml:space="preserve">7.3.2 </w:t>
      </w:r>
      <w:r>
        <w:rPr>
          <w:rFonts w:ascii="Arial" w:hAnsi="Times New Roman" w:eastAsia="宋体" w:cs="Arial"/>
          <w:sz w:val="24"/>
          <w:szCs w:val="24"/>
        </w:rPr>
        <w:t>甲方自行承担为</w:t>
      </w:r>
      <w:r>
        <w:rPr>
          <w:rFonts w:hint="eastAsia" w:ascii="Arial" w:hAnsi="Times New Roman" w:eastAsia="宋体" w:cs="Arial"/>
          <w:sz w:val="24"/>
          <w:szCs w:val="24"/>
        </w:rPr>
        <w:t>本次</w:t>
      </w:r>
      <w:r>
        <w:rPr>
          <w:rFonts w:ascii="Arial" w:hAnsi="Times New Roman" w:eastAsia="宋体" w:cs="Arial"/>
          <w:sz w:val="24"/>
          <w:szCs w:val="24"/>
        </w:rPr>
        <w:t>债券发行目的而产生的相关担保费用；</w:t>
      </w:r>
    </w:p>
    <w:p>
      <w:pPr>
        <w:spacing w:line="360" w:lineRule="auto"/>
        <w:ind w:firstLine="600" w:firstLineChars="250"/>
        <w:rPr>
          <w:rFonts w:ascii="Arial" w:hAnsi="Times New Roman" w:eastAsia="宋体" w:cs="Arial"/>
          <w:sz w:val="24"/>
          <w:szCs w:val="24"/>
        </w:rPr>
      </w:pPr>
      <w:r>
        <w:rPr>
          <w:rFonts w:ascii="Arial" w:hAnsi="Arial" w:eastAsia="宋体" w:cs="Arial"/>
          <w:sz w:val="24"/>
          <w:szCs w:val="24"/>
        </w:rPr>
        <w:t xml:space="preserve">7.3.3 </w:t>
      </w:r>
      <w:r>
        <w:rPr>
          <w:rFonts w:ascii="Arial" w:hAnsi="Times New Roman" w:eastAsia="宋体" w:cs="Arial"/>
          <w:sz w:val="24"/>
          <w:szCs w:val="24"/>
        </w:rPr>
        <w:t>甲方所聘请的律师、会计师、资信评级机构</w:t>
      </w:r>
      <w:r>
        <w:rPr>
          <w:rFonts w:hint="eastAsia" w:ascii="Arial" w:hAnsi="Times New Roman" w:eastAsia="宋体" w:cs="Arial"/>
          <w:sz w:val="24"/>
          <w:szCs w:val="24"/>
        </w:rPr>
        <w:t>（若有）</w:t>
      </w:r>
      <w:r>
        <w:rPr>
          <w:rFonts w:ascii="Arial" w:hAnsi="Times New Roman" w:eastAsia="宋体" w:cs="Arial"/>
          <w:sz w:val="24"/>
          <w:szCs w:val="24"/>
        </w:rPr>
        <w:t>及独立研究机构等其他中介机构的服务费用；</w:t>
      </w:r>
    </w:p>
    <w:p>
      <w:pPr>
        <w:spacing w:line="360" w:lineRule="auto"/>
        <w:ind w:firstLine="600" w:firstLineChars="250"/>
        <w:rPr>
          <w:rFonts w:ascii="Arial" w:hAnsi="Times New Roman" w:eastAsia="宋体" w:cs="Arial"/>
          <w:sz w:val="24"/>
          <w:szCs w:val="24"/>
        </w:rPr>
      </w:pPr>
      <w:r>
        <w:rPr>
          <w:rFonts w:ascii="Arial" w:hAnsi="Arial" w:eastAsia="宋体" w:cs="Arial"/>
          <w:sz w:val="24"/>
          <w:szCs w:val="24"/>
        </w:rPr>
        <w:t xml:space="preserve">7.3.4 </w:t>
      </w:r>
      <w:r>
        <w:rPr>
          <w:rFonts w:ascii="Arial" w:hAnsi="Times New Roman" w:eastAsia="宋体" w:cs="Arial"/>
          <w:sz w:val="24"/>
          <w:szCs w:val="24"/>
        </w:rPr>
        <w:t>甲方通过各种媒体进行宣传和推介活动所发生的费用；</w:t>
      </w:r>
    </w:p>
    <w:p>
      <w:pPr>
        <w:spacing w:line="360" w:lineRule="auto"/>
        <w:ind w:firstLine="600" w:firstLineChars="250"/>
        <w:rPr>
          <w:rFonts w:ascii="Arial" w:hAnsi="Times New Roman" w:eastAsia="宋体" w:cs="Arial"/>
          <w:sz w:val="24"/>
          <w:szCs w:val="24"/>
        </w:rPr>
      </w:pPr>
      <w:r>
        <w:rPr>
          <w:rFonts w:ascii="Arial" w:hAnsi="Arial" w:eastAsia="宋体" w:cs="Arial"/>
          <w:sz w:val="24"/>
          <w:szCs w:val="24"/>
        </w:rPr>
        <w:t xml:space="preserve">7.3.5 </w:t>
      </w:r>
      <w:r>
        <w:rPr>
          <w:rFonts w:ascii="Arial" w:hAnsi="Times New Roman" w:eastAsia="宋体" w:cs="Arial"/>
          <w:sz w:val="24"/>
          <w:szCs w:val="24"/>
        </w:rPr>
        <w:t>未在本协议中列示但与</w:t>
      </w:r>
      <w:r>
        <w:rPr>
          <w:rFonts w:hint="eastAsia" w:ascii="Arial" w:hAnsi="Times New Roman" w:eastAsia="宋体" w:cs="Arial"/>
          <w:sz w:val="24"/>
          <w:szCs w:val="24"/>
        </w:rPr>
        <w:t>本次</w:t>
      </w:r>
      <w:r>
        <w:rPr>
          <w:rFonts w:ascii="Arial" w:hAnsi="Times New Roman" w:eastAsia="宋体" w:cs="Arial"/>
          <w:sz w:val="24"/>
          <w:szCs w:val="24"/>
        </w:rPr>
        <w:t>债券发行及</w:t>
      </w:r>
      <w:r>
        <w:rPr>
          <w:rFonts w:hint="eastAsia" w:ascii="Arial" w:hAnsi="Times New Roman" w:eastAsia="宋体" w:cs="Arial"/>
          <w:sz w:val="24"/>
          <w:szCs w:val="24"/>
        </w:rPr>
        <w:t>挂牌转让</w:t>
      </w:r>
      <w:r>
        <w:rPr>
          <w:rFonts w:ascii="Arial" w:hAnsi="Times New Roman" w:eastAsia="宋体" w:cs="Arial"/>
          <w:sz w:val="24"/>
          <w:szCs w:val="24"/>
        </w:rPr>
        <w:t>有关的所有其他费用，包括但不限于：</w:t>
      </w:r>
      <w:r>
        <w:rPr>
          <w:rFonts w:hint="eastAsia" w:ascii="Arial" w:hAnsi="Times New Roman" w:eastAsia="宋体" w:cs="Arial"/>
          <w:sz w:val="24"/>
          <w:szCs w:val="24"/>
        </w:rPr>
        <w:t>本期债券登记托管费、兑付手续费、</w:t>
      </w:r>
      <w:r>
        <w:rPr>
          <w:rFonts w:ascii="Arial" w:hAnsi="Times New Roman" w:eastAsia="宋体" w:cs="Arial"/>
          <w:sz w:val="24"/>
          <w:szCs w:val="24"/>
        </w:rPr>
        <w:t>交易所规费、交易所系统手续费、登记公司登记结算费、上网发行费、路演宣传费等费用。</w:t>
      </w:r>
    </w:p>
    <w:p>
      <w:pPr>
        <w:spacing w:line="360" w:lineRule="auto"/>
        <w:ind w:firstLine="480" w:firstLineChars="200"/>
        <w:rPr>
          <w:rFonts w:hint="eastAsia" w:ascii="Arial" w:hAnsi="Times New Roman" w:eastAsia="宋体" w:cs="Arial"/>
          <w:sz w:val="24"/>
          <w:szCs w:val="24"/>
        </w:rPr>
      </w:pPr>
      <w:r>
        <w:rPr>
          <w:rFonts w:hint="eastAsia" w:ascii="Arial" w:hAnsi="Times New Roman" w:eastAsia="宋体" w:cs="Arial"/>
          <w:sz w:val="24"/>
          <w:szCs w:val="24"/>
        </w:rPr>
        <w:t>7.4  当期承销费用由【】、【】公司按【】:【】进行分配。</w:t>
      </w:r>
    </w:p>
    <w:p>
      <w:pPr>
        <w:spacing w:line="360" w:lineRule="auto"/>
        <w:ind w:firstLine="480" w:firstLineChars="200"/>
        <w:rPr>
          <w:rFonts w:ascii="Arial" w:hAnsi="Times New Roman" w:eastAsia="宋体" w:cs="Arial"/>
          <w:sz w:val="24"/>
          <w:szCs w:val="24"/>
        </w:rPr>
      </w:pPr>
      <w:r>
        <w:rPr>
          <w:rFonts w:ascii="Arial" w:hAnsi="Arial" w:eastAsia="宋体" w:cs="Arial"/>
          <w:sz w:val="24"/>
          <w:szCs w:val="24"/>
        </w:rPr>
        <w:t>7.</w:t>
      </w:r>
      <w:r>
        <w:rPr>
          <w:rFonts w:hint="eastAsia" w:ascii="Arial" w:hAnsi="Arial" w:eastAsia="宋体" w:cs="Arial"/>
          <w:sz w:val="24"/>
          <w:szCs w:val="24"/>
        </w:rPr>
        <w:t>5</w:t>
      </w:r>
      <w:r>
        <w:rPr>
          <w:rFonts w:ascii="Arial" w:hAnsi="Times New Roman" w:eastAsia="宋体" w:cs="Arial"/>
          <w:sz w:val="24"/>
          <w:szCs w:val="24"/>
        </w:rPr>
        <w:t>乙方应及时开具与实收承销费数额相等、抬头为甲方的发票</w:t>
      </w:r>
      <w:r>
        <w:rPr>
          <w:rFonts w:hint="eastAsia" w:ascii="Arial" w:hAnsi="Times New Roman" w:eastAsia="宋体" w:cs="Arial"/>
          <w:sz w:val="24"/>
          <w:szCs w:val="24"/>
        </w:rPr>
        <w:t>，所涉条款以本协议附件二为准。</w:t>
      </w:r>
    </w:p>
    <w:p>
      <w:pPr>
        <w:spacing w:line="360" w:lineRule="auto"/>
        <w:ind w:firstLine="480" w:firstLineChars="200"/>
        <w:rPr>
          <w:rFonts w:hint="eastAsia" w:ascii="Arial" w:hAnsi="Times New Roman" w:eastAsia="宋体" w:cs="Arial"/>
          <w:sz w:val="24"/>
          <w:szCs w:val="24"/>
        </w:rPr>
      </w:pPr>
      <w:r>
        <w:rPr>
          <w:rFonts w:hint="eastAsia" w:ascii="Arial" w:hAnsi="Times New Roman" w:eastAsia="宋体" w:cs="Arial"/>
          <w:sz w:val="24"/>
          <w:szCs w:val="24"/>
        </w:rPr>
        <w:t>7.6  【】在收到发行人承销费用以及【】、【】开具的合格发票后的十（10）个工作日内，向【】、【】划付对应的承销费用的合计款项。</w:t>
      </w:r>
    </w:p>
    <w:p>
      <w:pPr>
        <w:spacing w:line="360" w:lineRule="auto"/>
        <w:ind w:firstLine="480" w:firstLineChars="200"/>
        <w:rPr>
          <w:rFonts w:ascii="Arial" w:hAnsi="Arial" w:eastAsia="宋体" w:cs="Arial"/>
          <w:sz w:val="24"/>
          <w:szCs w:val="24"/>
        </w:rPr>
      </w:pPr>
    </w:p>
    <w:p>
      <w:pPr>
        <w:spacing w:line="360" w:lineRule="auto"/>
        <w:jc w:val="center"/>
        <w:outlineLvl w:val="0"/>
        <w:rPr>
          <w:rFonts w:ascii="Arial" w:hAnsi="Arial" w:eastAsia="宋体" w:cs="Arial"/>
          <w:b/>
          <w:bCs/>
          <w:sz w:val="24"/>
          <w:szCs w:val="24"/>
        </w:rPr>
      </w:pPr>
      <w:r>
        <w:rPr>
          <w:rFonts w:hint="eastAsia" w:ascii="Arial" w:hAnsi="Times New Roman" w:eastAsia="宋体" w:cs="Arial"/>
          <w:b/>
          <w:bCs/>
          <w:sz w:val="24"/>
          <w:szCs w:val="24"/>
        </w:rPr>
        <w:t>第八条  募集资金的支付方式及日期</w:t>
      </w:r>
    </w:p>
    <w:p>
      <w:pPr>
        <w:tabs>
          <w:tab w:val="left" w:pos="1701"/>
        </w:tabs>
        <w:spacing w:line="360" w:lineRule="auto"/>
        <w:ind w:firstLine="480"/>
        <w:rPr>
          <w:rFonts w:ascii="Arial" w:hAnsi="Arial" w:eastAsia="宋体" w:cs="Arial"/>
          <w:sz w:val="24"/>
          <w:szCs w:val="24"/>
        </w:rPr>
      </w:pPr>
      <w:r>
        <w:rPr>
          <w:rFonts w:hint="eastAsia" w:ascii="Arial" w:hAnsi="Arial" w:eastAsia="宋体" w:cs="Arial"/>
          <w:sz w:val="24"/>
          <w:szCs w:val="24"/>
        </w:rPr>
        <w:t>8</w:t>
      </w:r>
      <w:r>
        <w:rPr>
          <w:rFonts w:ascii="Arial" w:hAnsi="Arial" w:eastAsia="宋体" w:cs="Arial"/>
          <w:sz w:val="24"/>
          <w:szCs w:val="24"/>
        </w:rPr>
        <w:t xml:space="preserve">.1  </w:t>
      </w:r>
      <w:r>
        <w:rPr>
          <w:rFonts w:ascii="Arial" w:hAnsi="Times New Roman" w:eastAsia="宋体" w:cs="Arial"/>
          <w:sz w:val="24"/>
          <w:szCs w:val="24"/>
        </w:rPr>
        <w:t>若本期债券在发行期限内（</w:t>
      </w:r>
      <w:r>
        <w:rPr>
          <w:rFonts w:hint="eastAsia" w:ascii="Arial" w:hAnsi="Times New Roman" w:eastAsia="宋体" w:cs="Arial"/>
          <w:sz w:val="24"/>
          <w:szCs w:val="24"/>
        </w:rPr>
        <w:t>相关备案发行</w:t>
      </w:r>
      <w:r>
        <w:rPr>
          <w:rFonts w:ascii="Arial" w:hAnsi="Times New Roman" w:eastAsia="宋体" w:cs="Arial"/>
          <w:sz w:val="24"/>
          <w:szCs w:val="24"/>
        </w:rPr>
        <w:t>批文有效期内）全部售出，则乙方应在发行期满后</w:t>
      </w:r>
      <w:r>
        <w:rPr>
          <w:rFonts w:ascii="Arial" w:hAnsi="Arial" w:eastAsia="宋体" w:cs="Arial"/>
          <w:sz w:val="24"/>
          <w:szCs w:val="24"/>
        </w:rPr>
        <w:t>5</w:t>
      </w:r>
      <w:r>
        <w:rPr>
          <w:rFonts w:ascii="Arial" w:hAnsi="Times New Roman" w:eastAsia="宋体" w:cs="Arial"/>
          <w:sz w:val="24"/>
          <w:szCs w:val="24"/>
        </w:rPr>
        <w:t>个工作日内，将扣除承销费用后的募集资金净额划入甲方指定的银行账户，并将划款凭证传真给甲方。</w:t>
      </w:r>
    </w:p>
    <w:p>
      <w:pPr>
        <w:tabs>
          <w:tab w:val="left" w:pos="1080"/>
        </w:tabs>
        <w:spacing w:line="360" w:lineRule="auto"/>
        <w:ind w:firstLine="480"/>
        <w:rPr>
          <w:rFonts w:ascii="Arial" w:hAnsi="Times New Roman" w:eastAsia="宋体" w:cs="Arial"/>
          <w:b/>
          <w:i/>
          <w:sz w:val="24"/>
          <w:szCs w:val="24"/>
        </w:rPr>
      </w:pPr>
      <w:r>
        <w:rPr>
          <w:rFonts w:hint="eastAsia" w:ascii="Arial" w:hAnsi="Arial" w:eastAsia="宋体" w:cs="Arial"/>
          <w:sz w:val="24"/>
          <w:szCs w:val="24"/>
        </w:rPr>
        <w:t>8</w:t>
      </w:r>
      <w:r>
        <w:rPr>
          <w:rFonts w:ascii="Arial" w:hAnsi="Arial" w:eastAsia="宋体" w:cs="Arial"/>
          <w:sz w:val="24"/>
          <w:szCs w:val="24"/>
        </w:rPr>
        <w:t xml:space="preserve">.2  </w:t>
      </w:r>
      <w:r>
        <w:rPr>
          <w:rFonts w:ascii="Arial" w:hAnsi="Times New Roman" w:eastAsia="宋体" w:cs="Arial"/>
          <w:sz w:val="24"/>
          <w:szCs w:val="24"/>
        </w:rPr>
        <w:t>若本期债券在发行期（</w:t>
      </w:r>
      <w:r>
        <w:rPr>
          <w:rFonts w:hint="eastAsia" w:ascii="Arial" w:hAnsi="Times New Roman" w:eastAsia="宋体" w:cs="Arial"/>
          <w:sz w:val="24"/>
          <w:szCs w:val="24"/>
        </w:rPr>
        <w:t>相关备案发行</w:t>
      </w:r>
      <w:r>
        <w:rPr>
          <w:rFonts w:ascii="Arial" w:hAnsi="Times New Roman" w:eastAsia="宋体" w:cs="Arial"/>
          <w:sz w:val="24"/>
          <w:szCs w:val="24"/>
        </w:rPr>
        <w:t>批文有效期内）满后未被全部认购，则由乙方</w:t>
      </w:r>
      <w:r>
        <w:rPr>
          <w:rFonts w:hint="eastAsia" w:ascii="Arial" w:hAnsi="Times New Roman" w:eastAsia="宋体" w:cs="Arial"/>
          <w:sz w:val="24"/>
          <w:szCs w:val="24"/>
        </w:rPr>
        <w:t>【</w:t>
      </w:r>
      <w:r>
        <w:rPr>
          <w:rFonts w:ascii="Arial" w:hAnsi="Times New Roman" w:eastAsia="宋体" w:cs="Arial"/>
          <w:sz w:val="24"/>
          <w:szCs w:val="24"/>
        </w:rPr>
        <w:t>组织的承销团按各自的承销比例分别承担包销责任</w:t>
      </w:r>
      <w:r>
        <w:rPr>
          <w:rFonts w:hint="eastAsia" w:ascii="Arial" w:hAnsi="Times New Roman" w:eastAsia="宋体" w:cs="Arial"/>
          <w:sz w:val="24"/>
          <w:szCs w:val="24"/>
        </w:rPr>
        <w:t>】</w:t>
      </w:r>
      <w:r>
        <w:rPr>
          <w:rFonts w:ascii="Arial" w:hAnsi="Times New Roman" w:eastAsia="宋体" w:cs="Arial"/>
          <w:sz w:val="24"/>
          <w:szCs w:val="24"/>
        </w:rPr>
        <w:t>。乙方应在发行期满后</w:t>
      </w:r>
      <w:r>
        <w:rPr>
          <w:rFonts w:ascii="Arial" w:hAnsi="Arial" w:eastAsia="宋体" w:cs="Arial"/>
          <w:sz w:val="24"/>
          <w:szCs w:val="24"/>
        </w:rPr>
        <w:t>10</w:t>
      </w:r>
      <w:r>
        <w:rPr>
          <w:rFonts w:ascii="Arial" w:hAnsi="Times New Roman" w:eastAsia="宋体" w:cs="Arial"/>
          <w:sz w:val="24"/>
          <w:szCs w:val="24"/>
        </w:rPr>
        <w:t>个工作日内，将扣除承销费用后的募集资金净额划入甲方指定的银行账户，并将划款凭证传真给甲方。</w:t>
      </w:r>
    </w:p>
    <w:p>
      <w:pPr>
        <w:tabs>
          <w:tab w:val="left" w:pos="1080"/>
        </w:tabs>
        <w:spacing w:line="360" w:lineRule="auto"/>
        <w:ind w:firstLine="480"/>
        <w:rPr>
          <w:rFonts w:ascii="Arial" w:hAnsi="Times New Roman" w:eastAsia="宋体" w:cs="Arial"/>
          <w:b/>
          <w:i/>
          <w:sz w:val="24"/>
          <w:szCs w:val="24"/>
        </w:rPr>
      </w:pPr>
    </w:p>
    <w:p>
      <w:pPr>
        <w:spacing w:line="360" w:lineRule="auto"/>
        <w:jc w:val="center"/>
        <w:outlineLvl w:val="0"/>
        <w:rPr>
          <w:rFonts w:ascii="Arial" w:hAnsi="Times New Roman" w:eastAsia="宋体" w:cs="Arial"/>
          <w:b/>
          <w:bCs/>
          <w:sz w:val="24"/>
          <w:szCs w:val="24"/>
        </w:rPr>
      </w:pPr>
      <w:r>
        <w:rPr>
          <w:rFonts w:hint="eastAsia" w:ascii="Arial" w:hAnsi="Times New Roman" w:eastAsia="宋体" w:cs="Arial"/>
          <w:b/>
          <w:bCs/>
          <w:sz w:val="24"/>
          <w:szCs w:val="24"/>
        </w:rPr>
        <w:t>第九条  付息和本金兑付</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9.1  本次债券经批准在证券交易市场挂牌转让之后，本次债券的本金和利息的支付将通过证券登记公司及其他有关证券登记托管机构办理。</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9.2  甲方应根据其与证券登记公司及其他相关证券登记托管机构签订的有关协议以及证券交易场所的有关规定将有关的本金或利息款项及时足额划至证券登记公司及其他相关证券登记托管机构指定的账户。</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9.3  如甲方到期无力偿还本次债券本息，甲方应按照本次债券受托管理协议的约定通知乙方及债券受托管理人。乙方无义务垫支任何还本付息款项，乙方对甲方无力偿还债券本息不承担任何法律责任。</w:t>
      </w:r>
    </w:p>
    <w:p>
      <w:pPr>
        <w:spacing w:line="360" w:lineRule="auto"/>
        <w:ind w:firstLine="480"/>
        <w:rPr>
          <w:rFonts w:ascii="Arial" w:hAnsi="Arial" w:eastAsia="宋体" w:cs="Arial"/>
          <w:sz w:val="24"/>
          <w:szCs w:val="24"/>
        </w:rPr>
      </w:pPr>
    </w:p>
    <w:p>
      <w:pPr>
        <w:spacing w:line="360" w:lineRule="auto"/>
        <w:jc w:val="center"/>
        <w:outlineLvl w:val="0"/>
        <w:rPr>
          <w:rFonts w:ascii="Arial" w:hAnsi="Arial" w:eastAsia="宋体" w:cs="Arial"/>
          <w:b/>
          <w:bCs/>
          <w:sz w:val="24"/>
          <w:szCs w:val="24"/>
        </w:rPr>
      </w:pPr>
      <w:r>
        <w:rPr>
          <w:rFonts w:ascii="Arial" w:hAnsi="Times New Roman" w:eastAsia="宋体" w:cs="Arial"/>
          <w:b/>
          <w:bCs/>
          <w:sz w:val="24"/>
          <w:szCs w:val="24"/>
        </w:rPr>
        <w:t>第</w:t>
      </w:r>
      <w:r>
        <w:rPr>
          <w:rFonts w:hint="eastAsia" w:ascii="Arial" w:hAnsi="Times New Roman" w:eastAsia="宋体" w:cs="Arial"/>
          <w:b/>
          <w:bCs/>
          <w:sz w:val="24"/>
          <w:szCs w:val="24"/>
        </w:rPr>
        <w:t>十</w:t>
      </w:r>
      <w:r>
        <w:rPr>
          <w:rFonts w:ascii="Arial" w:hAnsi="Times New Roman" w:eastAsia="宋体" w:cs="Arial"/>
          <w:b/>
          <w:bCs/>
          <w:sz w:val="24"/>
          <w:szCs w:val="24"/>
        </w:rPr>
        <w:t>条</w:t>
      </w:r>
      <w:r>
        <w:rPr>
          <w:rFonts w:hint="eastAsia" w:ascii="Arial" w:hAnsi="Times New Roman" w:eastAsia="宋体" w:cs="Arial"/>
          <w:b/>
          <w:bCs/>
          <w:sz w:val="24"/>
          <w:szCs w:val="24"/>
        </w:rPr>
        <w:t xml:space="preserve">  </w:t>
      </w:r>
      <w:r>
        <w:rPr>
          <w:rFonts w:ascii="Arial" w:hAnsi="Times New Roman" w:eastAsia="宋体" w:cs="Arial"/>
          <w:b/>
          <w:bCs/>
          <w:sz w:val="24"/>
          <w:szCs w:val="24"/>
        </w:rPr>
        <w:t>声明、保证和承诺</w:t>
      </w:r>
    </w:p>
    <w:p>
      <w:pPr>
        <w:tabs>
          <w:tab w:val="left" w:pos="1080"/>
          <w:tab w:val="left" w:pos="1260"/>
        </w:tabs>
        <w:spacing w:line="360" w:lineRule="auto"/>
        <w:ind w:firstLine="480" w:firstLineChars="200"/>
        <w:rPr>
          <w:rFonts w:ascii="Arial" w:hAnsi="Times New Roman" w:eastAsia="宋体" w:cs="Arial"/>
          <w:sz w:val="24"/>
          <w:szCs w:val="24"/>
        </w:rPr>
      </w:pPr>
      <w:r>
        <w:rPr>
          <w:rFonts w:hint="eastAsia" w:ascii="Arial" w:hAnsi="Arial" w:eastAsia="宋体" w:cs="Arial"/>
          <w:sz w:val="24"/>
          <w:szCs w:val="24"/>
        </w:rPr>
        <w:t>10</w:t>
      </w:r>
      <w:r>
        <w:rPr>
          <w:rFonts w:ascii="Arial" w:hAnsi="Arial" w:eastAsia="宋体" w:cs="Arial"/>
          <w:sz w:val="24"/>
          <w:szCs w:val="24"/>
        </w:rPr>
        <w:t xml:space="preserve">.1  </w:t>
      </w:r>
      <w:r>
        <w:rPr>
          <w:rFonts w:ascii="Arial" w:hAnsi="Times New Roman" w:eastAsia="宋体" w:cs="Arial"/>
          <w:sz w:val="24"/>
          <w:szCs w:val="24"/>
        </w:rPr>
        <w:t>甲、乙双方的各项声明、保证与承诺被视为依据本协议签署日存在的事实情况而作出，并在本协议有效期内始终恪守。在本期债券发行期限结束前和</w:t>
      </w:r>
      <w:r>
        <w:rPr>
          <w:rFonts w:hint="eastAsia" w:ascii="Arial" w:hAnsi="Times New Roman" w:eastAsia="宋体" w:cs="Arial"/>
          <w:sz w:val="24"/>
          <w:szCs w:val="24"/>
        </w:rPr>
        <w:t>申请挂牌转让</w:t>
      </w:r>
      <w:r>
        <w:rPr>
          <w:rFonts w:ascii="Arial" w:hAnsi="Times New Roman" w:eastAsia="宋体" w:cs="Arial"/>
          <w:sz w:val="24"/>
          <w:szCs w:val="24"/>
        </w:rPr>
        <w:t>完成前的任何时候，若协议任何一方了解到任何使其声明、保证和承诺不真实、不确定或误导的事实情况，应立即通知对方共商对策，以防止损失扩大，并按双方协商确定的结果采取必要措施予以补救或披露。对于业已发生的损失，由责任方承担。</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 xml:space="preserve">.2  </w:t>
      </w:r>
      <w:r>
        <w:rPr>
          <w:rFonts w:ascii="Arial" w:hAnsi="Times New Roman" w:eastAsia="宋体" w:cs="Arial"/>
          <w:sz w:val="24"/>
          <w:szCs w:val="24"/>
        </w:rPr>
        <w:t>甲方向乙方作出下列声明、保证和承诺：</w:t>
      </w:r>
    </w:p>
    <w:p>
      <w:pPr>
        <w:tabs>
          <w:tab w:val="left" w:pos="1080"/>
          <w:tab w:val="left" w:pos="1260"/>
          <w:tab w:val="left" w:pos="1440"/>
        </w:tabs>
        <w:spacing w:line="360" w:lineRule="auto"/>
        <w:ind w:firstLine="566" w:firstLineChars="236"/>
        <w:rPr>
          <w:rFonts w:ascii="Arial" w:hAnsi="Times New Roman" w:eastAsia="宋体" w:cs="Arial"/>
          <w:sz w:val="24"/>
          <w:szCs w:val="24"/>
        </w:rPr>
      </w:pPr>
      <w:r>
        <w:rPr>
          <w:rFonts w:hint="eastAsia" w:ascii="Arial" w:hAnsi="Arial" w:eastAsia="宋体" w:cs="Arial"/>
          <w:sz w:val="24"/>
          <w:szCs w:val="24"/>
        </w:rPr>
        <w:t>10</w:t>
      </w:r>
      <w:r>
        <w:rPr>
          <w:rFonts w:ascii="Arial" w:hAnsi="Arial" w:eastAsia="宋体" w:cs="Arial"/>
          <w:sz w:val="24"/>
          <w:szCs w:val="24"/>
        </w:rPr>
        <w:t xml:space="preserve">.2.1 </w:t>
      </w:r>
      <w:r>
        <w:rPr>
          <w:rFonts w:ascii="Arial" w:hAnsi="Times New Roman" w:eastAsia="宋体" w:cs="Arial"/>
          <w:sz w:val="24"/>
          <w:szCs w:val="24"/>
        </w:rPr>
        <w:t>甲方是依法成立并有效存续的</w:t>
      </w:r>
      <w:r>
        <w:rPr>
          <w:rFonts w:hint="eastAsia" w:ascii="Arial" w:hAnsi="Times New Roman" w:eastAsia="宋体" w:cs="Arial"/>
          <w:sz w:val="24"/>
          <w:szCs w:val="24"/>
        </w:rPr>
        <w:t>有限责任</w:t>
      </w:r>
      <w:r>
        <w:rPr>
          <w:rFonts w:ascii="Arial" w:hAnsi="Times New Roman" w:eastAsia="宋体" w:cs="Arial"/>
          <w:sz w:val="24"/>
          <w:szCs w:val="24"/>
        </w:rPr>
        <w:t>公司，具备签署本协议的权利能力和行为能力，</w:t>
      </w:r>
      <w:r>
        <w:rPr>
          <w:rFonts w:hint="eastAsia" w:ascii="Arial" w:hAnsi="Times New Roman" w:eastAsia="宋体" w:cs="Arial"/>
          <w:sz w:val="24"/>
          <w:szCs w:val="24"/>
        </w:rPr>
        <w:t>并已履行了必要的内部批准程序，代表发行人的本协议签字人已获授权，不存在任何导致发行人不符合本期发行及交易流通条件的情况，</w:t>
      </w:r>
      <w:r>
        <w:rPr>
          <w:rFonts w:ascii="Arial" w:hAnsi="Times New Roman" w:eastAsia="宋体" w:cs="Arial"/>
          <w:sz w:val="24"/>
          <w:szCs w:val="24"/>
        </w:rPr>
        <w:t>本协议一经签署即对甲方具有法律约束力。</w:t>
      </w:r>
    </w:p>
    <w:p>
      <w:pPr>
        <w:tabs>
          <w:tab w:val="left" w:pos="1080"/>
          <w:tab w:val="left" w:pos="1260"/>
          <w:tab w:val="left" w:pos="1440"/>
        </w:tabs>
        <w:spacing w:line="360" w:lineRule="auto"/>
        <w:ind w:firstLine="566" w:firstLineChars="236"/>
        <w:rPr>
          <w:rFonts w:ascii="Arial" w:hAnsi="Times New Roman" w:eastAsia="宋体" w:cs="Arial"/>
          <w:sz w:val="24"/>
          <w:szCs w:val="24"/>
        </w:rPr>
      </w:pPr>
      <w:r>
        <w:rPr>
          <w:rFonts w:hint="eastAsia" w:ascii="Arial" w:hAnsi="Arial" w:eastAsia="宋体" w:cs="Arial"/>
          <w:sz w:val="24"/>
          <w:szCs w:val="24"/>
        </w:rPr>
        <w:t>10</w:t>
      </w:r>
      <w:r>
        <w:rPr>
          <w:rFonts w:ascii="Arial" w:hAnsi="Arial" w:eastAsia="宋体" w:cs="Arial"/>
          <w:sz w:val="24"/>
          <w:szCs w:val="24"/>
        </w:rPr>
        <w:t xml:space="preserve">.2.2 </w:t>
      </w:r>
      <w:r>
        <w:rPr>
          <w:rFonts w:ascii="Arial" w:hAnsi="Times New Roman" w:eastAsia="宋体" w:cs="Arial"/>
          <w:sz w:val="24"/>
          <w:szCs w:val="24"/>
        </w:rPr>
        <w:t>甲方公司治理在所有重大方面符合我国</w:t>
      </w:r>
      <w:r>
        <w:rPr>
          <w:rFonts w:hint="eastAsia" w:ascii="Arial" w:hAnsi="Times New Roman" w:eastAsia="宋体" w:cs="Arial"/>
          <w:sz w:val="24"/>
          <w:szCs w:val="24"/>
        </w:rPr>
        <w:t>法律、法规和规则</w:t>
      </w:r>
      <w:r>
        <w:rPr>
          <w:rFonts w:ascii="Arial" w:hAnsi="Times New Roman" w:eastAsia="宋体" w:cs="Arial"/>
          <w:sz w:val="24"/>
          <w:szCs w:val="24"/>
        </w:rPr>
        <w:t>及公司章程所规定的要求，</w:t>
      </w:r>
      <w:r>
        <w:rPr>
          <w:rFonts w:hint="eastAsia" w:ascii="Arial" w:hAnsi="Times New Roman" w:eastAsia="宋体" w:cs="Arial"/>
          <w:sz w:val="24"/>
          <w:szCs w:val="24"/>
        </w:rPr>
        <w:t>本次</w:t>
      </w:r>
      <w:r>
        <w:rPr>
          <w:rFonts w:ascii="Arial" w:hAnsi="Times New Roman" w:eastAsia="宋体" w:cs="Arial"/>
          <w:sz w:val="24"/>
          <w:szCs w:val="24"/>
        </w:rPr>
        <w:t>债券发行不与甲方承担的任何合同义务相冲突，亦不违反任何</w:t>
      </w:r>
      <w:r>
        <w:rPr>
          <w:rFonts w:hint="eastAsia" w:ascii="Arial" w:hAnsi="Times New Roman" w:eastAsia="宋体" w:cs="Arial"/>
          <w:sz w:val="24"/>
          <w:szCs w:val="24"/>
        </w:rPr>
        <w:t>法律、法规和规则</w:t>
      </w:r>
      <w:r>
        <w:rPr>
          <w:rFonts w:ascii="Arial" w:hAnsi="Times New Roman" w:eastAsia="宋体" w:cs="Arial"/>
          <w:sz w:val="24"/>
          <w:szCs w:val="24"/>
        </w:rPr>
        <w:t>。</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10.2.3 甲方已经按照有关机构的要求，按时将所有的报告、决议、申报单或其他要求递交的文件以适当的形式向其递交、登记或备案。</w:t>
      </w:r>
    </w:p>
    <w:p>
      <w:pPr>
        <w:tabs>
          <w:tab w:val="left" w:pos="1080"/>
          <w:tab w:val="left" w:pos="1260"/>
          <w:tab w:val="left" w:pos="1440"/>
        </w:tabs>
        <w:spacing w:line="360" w:lineRule="auto"/>
        <w:ind w:firstLine="566" w:firstLineChars="236"/>
        <w:rPr>
          <w:rFonts w:ascii="Arial" w:hAnsi="Times New Roman"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 xml:space="preserve">4 </w:t>
      </w:r>
      <w:r>
        <w:rPr>
          <w:rFonts w:ascii="Arial" w:hAnsi="Times New Roman" w:eastAsia="宋体" w:cs="Arial"/>
          <w:sz w:val="24"/>
          <w:szCs w:val="24"/>
        </w:rPr>
        <w:t>甲方依本协议而承担的义务是合法有效的义务，本协议的签署及履行与甲方依据其他协议或文件而承担的义务不相冲突，与我国的</w:t>
      </w:r>
      <w:r>
        <w:rPr>
          <w:rFonts w:hint="eastAsia" w:ascii="Arial" w:hAnsi="Times New Roman" w:eastAsia="宋体" w:cs="Arial"/>
          <w:sz w:val="24"/>
          <w:szCs w:val="24"/>
        </w:rPr>
        <w:t>法律、法规和规则</w:t>
      </w:r>
      <w:r>
        <w:rPr>
          <w:rFonts w:ascii="Arial" w:hAnsi="Times New Roman" w:eastAsia="宋体" w:cs="Arial"/>
          <w:sz w:val="24"/>
          <w:szCs w:val="24"/>
        </w:rPr>
        <w:t>亦无抵触。</w:t>
      </w:r>
      <w:r>
        <w:rPr>
          <w:rFonts w:hint="eastAsia" w:ascii="Arial" w:hAnsi="Times New Roman" w:eastAsia="宋体" w:cs="Arial"/>
          <w:sz w:val="24"/>
          <w:szCs w:val="24"/>
        </w:rPr>
        <w:t>如果存在相抵触的情况，发行人已经取得相应的有效豁免或批准，并且这些豁免或批准具有法律约束力，可以通过司法途径得到强制执行。</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 xml:space="preserve">5 </w:t>
      </w:r>
      <w:r>
        <w:rPr>
          <w:rFonts w:ascii="Arial" w:hAnsi="Times New Roman" w:eastAsia="宋体" w:cs="Arial"/>
          <w:sz w:val="24"/>
          <w:szCs w:val="24"/>
        </w:rPr>
        <w:t>甲方将及时向会计师、律师、资信评级机构</w:t>
      </w:r>
      <w:r>
        <w:rPr>
          <w:rFonts w:hint="eastAsia" w:ascii="Arial" w:hAnsi="Times New Roman" w:eastAsia="宋体" w:cs="Arial"/>
          <w:sz w:val="24"/>
          <w:szCs w:val="24"/>
        </w:rPr>
        <w:t>（若有）</w:t>
      </w:r>
      <w:r>
        <w:rPr>
          <w:rFonts w:ascii="Arial" w:hAnsi="Times New Roman" w:eastAsia="宋体" w:cs="Arial"/>
          <w:sz w:val="24"/>
          <w:szCs w:val="24"/>
        </w:rPr>
        <w:t>、乙方提供</w:t>
      </w:r>
      <w:r>
        <w:rPr>
          <w:rFonts w:hint="eastAsia" w:ascii="Arial" w:hAnsi="Times New Roman" w:eastAsia="宋体" w:cs="Arial"/>
          <w:sz w:val="24"/>
          <w:szCs w:val="24"/>
        </w:rPr>
        <w:t>本次</w:t>
      </w:r>
      <w:r>
        <w:rPr>
          <w:rFonts w:ascii="Arial" w:hAnsi="Times New Roman" w:eastAsia="宋体" w:cs="Arial"/>
          <w:sz w:val="24"/>
          <w:szCs w:val="24"/>
        </w:rPr>
        <w:t>债券发行工作所需的全部文件、资料、证明，保证该等文件资料的真实性、准确性、完整性，并确保债券募集说明书及其他发行申请文件不会因引用该等资料而产生任何虚假记载、误导性陈述或重大遗漏。</w:t>
      </w:r>
    </w:p>
    <w:p>
      <w:pPr>
        <w:tabs>
          <w:tab w:val="left" w:pos="126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 xml:space="preserve">6 </w:t>
      </w:r>
      <w:r>
        <w:rPr>
          <w:rFonts w:ascii="Arial" w:hAnsi="Times New Roman" w:eastAsia="宋体" w:cs="Arial"/>
          <w:sz w:val="24"/>
          <w:szCs w:val="24"/>
        </w:rPr>
        <w:t>甲方</w:t>
      </w:r>
      <w:r>
        <w:rPr>
          <w:rFonts w:hint="eastAsia" w:ascii="Arial" w:hAnsi="Times New Roman" w:eastAsia="宋体" w:cs="Arial"/>
          <w:sz w:val="24"/>
          <w:szCs w:val="24"/>
        </w:rPr>
        <w:t>及其董事、监事、高级管理人员</w:t>
      </w:r>
      <w:r>
        <w:rPr>
          <w:rFonts w:ascii="Arial" w:hAnsi="Times New Roman" w:eastAsia="宋体" w:cs="Arial"/>
          <w:sz w:val="24"/>
          <w:szCs w:val="24"/>
        </w:rPr>
        <w:t>保证债券募集说明书中：</w:t>
      </w:r>
    </w:p>
    <w:p>
      <w:pPr>
        <w:spacing w:line="360" w:lineRule="auto"/>
        <w:ind w:left="420" w:leftChars="200" w:firstLine="480" w:firstLineChars="200"/>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6</w:t>
      </w:r>
      <w:r>
        <w:rPr>
          <w:rFonts w:ascii="Arial" w:hAnsi="Arial" w:eastAsia="宋体" w:cs="Arial"/>
          <w:sz w:val="24"/>
          <w:szCs w:val="24"/>
        </w:rPr>
        <w:t xml:space="preserve">.1 </w:t>
      </w:r>
      <w:r>
        <w:rPr>
          <w:rFonts w:ascii="Arial" w:hAnsi="Times New Roman" w:eastAsia="宋体" w:cs="Arial"/>
          <w:sz w:val="24"/>
          <w:szCs w:val="24"/>
        </w:rPr>
        <w:t>已包括有关甲方的全部实质性问题；</w:t>
      </w:r>
    </w:p>
    <w:p>
      <w:pPr>
        <w:spacing w:line="360" w:lineRule="auto"/>
        <w:ind w:left="420" w:leftChars="200" w:firstLine="480" w:firstLineChars="200"/>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6</w:t>
      </w:r>
      <w:r>
        <w:rPr>
          <w:rFonts w:ascii="Arial" w:hAnsi="Arial" w:eastAsia="宋体" w:cs="Arial"/>
          <w:sz w:val="24"/>
          <w:szCs w:val="24"/>
        </w:rPr>
        <w:t xml:space="preserve">.2 </w:t>
      </w:r>
      <w:r>
        <w:rPr>
          <w:rFonts w:ascii="Arial" w:hAnsi="Times New Roman" w:eastAsia="宋体" w:cs="Arial"/>
          <w:sz w:val="24"/>
          <w:szCs w:val="24"/>
        </w:rPr>
        <w:t>所有陈述均真实、准确、完整，无任何虚假记载、误导性陈述或重大遗漏；</w:t>
      </w:r>
    </w:p>
    <w:p>
      <w:pPr>
        <w:spacing w:line="360" w:lineRule="auto"/>
        <w:ind w:left="420" w:leftChars="200" w:firstLine="480" w:firstLineChars="200"/>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6</w:t>
      </w:r>
      <w:r>
        <w:rPr>
          <w:rFonts w:ascii="Arial" w:hAnsi="Arial" w:eastAsia="宋体" w:cs="Arial"/>
          <w:sz w:val="24"/>
          <w:szCs w:val="24"/>
        </w:rPr>
        <w:t xml:space="preserve">.3 </w:t>
      </w:r>
      <w:r>
        <w:rPr>
          <w:rFonts w:ascii="Arial" w:hAnsi="Times New Roman" w:eastAsia="宋体" w:cs="Arial"/>
          <w:sz w:val="24"/>
          <w:szCs w:val="24"/>
        </w:rPr>
        <w:t>一切包含的意见、意向、期望均在诚信、公平的基础上，并在认真、适当地考虑了所有相关情况后才作出的，反映了合理的预期。</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 xml:space="preserve">7 </w:t>
      </w:r>
      <w:r>
        <w:rPr>
          <w:rFonts w:ascii="Arial" w:hAnsi="Arial" w:eastAsia="宋体" w:cs="Arial"/>
          <w:sz w:val="24"/>
          <w:szCs w:val="24"/>
        </w:rPr>
        <w:t>截至债券募集说明书签署之日，除债券募集说明书已披露的信息外，不存在对甲方的生产经营、财务状况具有重大不利影响的任何其他未予披露的重大事件和重大合同。</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 xml:space="preserve">8 </w:t>
      </w:r>
      <w:r>
        <w:rPr>
          <w:rFonts w:ascii="Arial" w:hAnsi="Arial" w:eastAsia="宋体" w:cs="Arial"/>
          <w:sz w:val="24"/>
          <w:szCs w:val="24"/>
        </w:rPr>
        <w:t>据甲方所知，不存在对甲方业务活动、财务状况、未来前景可以产生重大不利影响的诉讼或仲裁；尽甲方所知，甲方的董事、监事及其高级管理人员没有正在进行中的刑事诉讼或者受到刑事诉讼的可能或威胁。</w:t>
      </w:r>
      <w:r>
        <w:rPr>
          <w:rFonts w:hint="eastAsia" w:ascii="Arial" w:hAnsi="Arial" w:eastAsia="宋体" w:cs="Arial"/>
          <w:sz w:val="24"/>
          <w:szCs w:val="24"/>
        </w:rPr>
        <w:t>甲方及其子公司各自的董事、监事、高级管理人员在履行职务过程中，甲方及其子公司在日常经营过程中均严格遵守适用的法律规定（包括但不限于有关税收、治理商业贿赂、反洗钱等方面的法律）。</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10.2.9 本期债券募集所得的资金将严格按照募集说明书载明的或者根据相关法律规定变更的用途使用，不会直接或间接用于任何可能违反所适用的法律等有关规定的用途。</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10.2.10发行人及其控股股东、实际控制人、董事、监事、高级管理人员保证不存在、后续也不会出现怠于履行偿债义务或者通过财产转移、关联交易等方式逃废债务，蓄意损害债券持有人权益的情况。</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10.2.11 本期债券发行符合地方政府性债务管理的相关规定，不存在新增政府债务的情形。</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10.2.12 甲方承诺在本次债券发行过程中不存在直接或间接认购债券的情况；如存在甲方董事、监事、高级管理人员、持股比例超过百分之五的股东及其他关联方认购或交易、转让本期债券的，甲方将进行披露。</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10.2.13 发行人及其子公司应遵守反洗钱法规，并且在一切实质方面遵守其他适用的保存财务记录和报告的规定、有关政府机关颁布、管理、实施的反洗钱方面的条例、规定和指引（统称为“反洗钱法律法规”），而且没有任何法院、政府机构、部门、机关或者任何仲裁员正在、即将或据发行人所知可能提起任何有关反洗钱法律并涉及发行人或发行人任何子公司的行动、诉讼或法律程序：发行人、发行人的任何子公司，及据发行人所知任何董事、高级管理人员、代理人、普通员工或者控股附属机构或控股附属机构的下属机构，目前均未被美国财政部外国资产管理办公司（OFAC）制裁，或受到任何联合国、中国、美国、欧盟的经济制裁（以下简称“制裁对象”）。发行人不会直接或间接使用债券募集资金、将债券募集资金贷款或以其它捐赠或提供给任何子公司、合资伙伴或其他个人或实体用于资助联合国、中国、美国、欧盟的制裁对象。</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 xml:space="preserve">14 </w:t>
      </w:r>
      <w:r>
        <w:rPr>
          <w:rFonts w:ascii="Arial" w:hAnsi="Arial" w:eastAsia="宋体" w:cs="Arial"/>
          <w:sz w:val="24"/>
          <w:szCs w:val="24"/>
        </w:rPr>
        <w:t>截止本协议签订之日，甲方的财务状况、发展前景、生产经营没有发生实质性的不利变化。</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 xml:space="preserve">15 </w:t>
      </w:r>
      <w:r>
        <w:rPr>
          <w:rFonts w:ascii="Arial" w:hAnsi="Arial" w:eastAsia="宋体" w:cs="Arial"/>
          <w:sz w:val="24"/>
          <w:szCs w:val="24"/>
        </w:rPr>
        <w:t>甲方进一步承诺：</w:t>
      </w:r>
    </w:p>
    <w:p>
      <w:pPr>
        <w:spacing w:line="360" w:lineRule="auto"/>
        <w:ind w:left="420" w:leftChars="200" w:firstLine="480" w:firstLineChars="200"/>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15</w:t>
      </w:r>
      <w:r>
        <w:rPr>
          <w:rFonts w:ascii="Arial" w:hAnsi="Arial" w:eastAsia="宋体" w:cs="Arial"/>
          <w:sz w:val="24"/>
          <w:szCs w:val="24"/>
        </w:rPr>
        <w:t>.1除我国</w:t>
      </w:r>
      <w:r>
        <w:rPr>
          <w:rFonts w:hint="eastAsia" w:ascii="Arial" w:hAnsi="Arial" w:eastAsia="宋体" w:cs="Arial"/>
          <w:sz w:val="24"/>
          <w:szCs w:val="24"/>
        </w:rPr>
        <w:t>法律、法规和规则</w:t>
      </w:r>
      <w:r>
        <w:rPr>
          <w:rFonts w:ascii="Arial" w:hAnsi="Arial" w:eastAsia="宋体" w:cs="Arial"/>
          <w:sz w:val="24"/>
          <w:szCs w:val="24"/>
        </w:rPr>
        <w:t>另有规定，或甲方从事正常业务经营活动需要公告外，从本协议签署之日起至承销期结束之日止，甲方在事先未与乙方就内容、形式和时机进行协商并认可的情况下，将不以新闻发布或散发文件等形式，向公众披露债券募集说明书之外的，可能影响</w:t>
      </w:r>
      <w:r>
        <w:rPr>
          <w:rFonts w:hint="eastAsia" w:ascii="Arial" w:hAnsi="Arial" w:eastAsia="宋体" w:cs="Arial"/>
          <w:sz w:val="24"/>
          <w:szCs w:val="24"/>
        </w:rPr>
        <w:t>本次</w:t>
      </w:r>
      <w:r>
        <w:rPr>
          <w:rFonts w:ascii="Arial" w:hAnsi="Arial" w:eastAsia="宋体" w:cs="Arial"/>
          <w:sz w:val="24"/>
          <w:szCs w:val="24"/>
        </w:rPr>
        <w:t>债券发行成功的信息。</w:t>
      </w:r>
    </w:p>
    <w:p>
      <w:pPr>
        <w:spacing w:line="360" w:lineRule="auto"/>
        <w:ind w:left="420" w:leftChars="200" w:firstLine="480" w:firstLineChars="200"/>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.2.</w:t>
      </w:r>
      <w:r>
        <w:rPr>
          <w:rFonts w:hint="eastAsia" w:ascii="Arial" w:hAnsi="Arial" w:eastAsia="宋体" w:cs="Arial"/>
          <w:sz w:val="24"/>
          <w:szCs w:val="24"/>
        </w:rPr>
        <w:t>15</w:t>
      </w:r>
      <w:r>
        <w:rPr>
          <w:rFonts w:ascii="Arial" w:hAnsi="Arial" w:eastAsia="宋体" w:cs="Arial"/>
          <w:sz w:val="24"/>
          <w:szCs w:val="24"/>
        </w:rPr>
        <w:t>.2甲方将根据本协议双方的合理要求，采取必要的行动和措施，以保障本协议的目的得以实现。</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 xml:space="preserve">.3  </w:t>
      </w:r>
      <w:r>
        <w:rPr>
          <w:rFonts w:ascii="Arial" w:hAnsi="Times New Roman" w:eastAsia="宋体" w:cs="Arial"/>
          <w:sz w:val="24"/>
          <w:szCs w:val="24"/>
        </w:rPr>
        <w:t>乙方向甲方作出下列声明、保证和承诺：</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.3.1乙方为依法成立并有效存续的法人，具有从事中国证监会认可的</w:t>
      </w:r>
      <w:r>
        <w:rPr>
          <w:rFonts w:hint="eastAsia" w:ascii="Arial" w:hAnsi="Arial" w:eastAsia="宋体" w:cs="Arial"/>
          <w:sz w:val="24"/>
          <w:szCs w:val="24"/>
        </w:rPr>
        <w:t>本次</w:t>
      </w:r>
      <w:r>
        <w:rPr>
          <w:rFonts w:ascii="Arial" w:hAnsi="Arial" w:eastAsia="宋体" w:cs="Arial"/>
          <w:sz w:val="24"/>
          <w:szCs w:val="24"/>
        </w:rPr>
        <w:t>公司债券承销的业务资格，具备签署本协议的权利能力和行为能力，本协议一经签署即对乙方具有法律约束力。</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.3.2 乙方依本协议而承担的义务是合法有效的义务，本协议的签署及履行与乙方依据其他协议或文件而承担的义务不相冲突，与我国的</w:t>
      </w:r>
      <w:r>
        <w:rPr>
          <w:rFonts w:hint="eastAsia" w:ascii="Arial" w:hAnsi="Arial" w:eastAsia="宋体" w:cs="Arial"/>
          <w:sz w:val="24"/>
          <w:szCs w:val="24"/>
        </w:rPr>
        <w:t>法律、法规和规则</w:t>
      </w:r>
      <w:r>
        <w:rPr>
          <w:rFonts w:ascii="Arial" w:hAnsi="Arial" w:eastAsia="宋体" w:cs="Arial"/>
          <w:sz w:val="24"/>
          <w:szCs w:val="24"/>
        </w:rPr>
        <w:t>亦无抵触。</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.3.3 乙方将根据国家</w:t>
      </w:r>
      <w:r>
        <w:rPr>
          <w:rFonts w:hint="eastAsia" w:ascii="Arial" w:hAnsi="Arial" w:eastAsia="宋体" w:cs="Arial"/>
          <w:sz w:val="24"/>
          <w:szCs w:val="24"/>
        </w:rPr>
        <w:t>法律、法规和规则</w:t>
      </w:r>
      <w:r>
        <w:rPr>
          <w:rFonts w:ascii="Arial" w:hAnsi="Arial" w:eastAsia="宋体" w:cs="Arial"/>
          <w:sz w:val="24"/>
          <w:szCs w:val="24"/>
        </w:rPr>
        <w:t>及本协议的约定，勤勉尽责，尽最大努力协助甲方完成</w:t>
      </w:r>
      <w:r>
        <w:rPr>
          <w:rFonts w:hint="eastAsia" w:ascii="Arial" w:hAnsi="Arial" w:eastAsia="宋体" w:cs="Arial"/>
          <w:sz w:val="24"/>
          <w:szCs w:val="24"/>
        </w:rPr>
        <w:t>本次</w:t>
      </w:r>
      <w:r>
        <w:rPr>
          <w:rFonts w:ascii="Arial" w:hAnsi="Arial" w:eastAsia="宋体" w:cs="Arial"/>
          <w:sz w:val="24"/>
          <w:szCs w:val="24"/>
        </w:rPr>
        <w:t>债券发行工作。</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.3.4 除我国</w:t>
      </w:r>
      <w:r>
        <w:rPr>
          <w:rFonts w:hint="eastAsia" w:ascii="Arial" w:hAnsi="Arial" w:eastAsia="宋体" w:cs="Arial"/>
          <w:sz w:val="24"/>
          <w:szCs w:val="24"/>
        </w:rPr>
        <w:t>法律、法规和规则</w:t>
      </w:r>
      <w:r>
        <w:rPr>
          <w:rFonts w:ascii="Arial" w:hAnsi="Arial" w:eastAsia="宋体" w:cs="Arial"/>
          <w:sz w:val="24"/>
          <w:szCs w:val="24"/>
        </w:rPr>
        <w:t>另有规定外，从本协议签署之日起至承销期结束之日止，乙方在事先未获得甲方书面认可的情况下，不得以新闻发布或散发文件等形式，向公众披露债券募集说明书之外的，可能影响</w:t>
      </w:r>
      <w:r>
        <w:rPr>
          <w:rFonts w:hint="eastAsia" w:ascii="Arial" w:hAnsi="Arial" w:eastAsia="宋体" w:cs="Arial"/>
          <w:sz w:val="24"/>
          <w:szCs w:val="24"/>
        </w:rPr>
        <w:t>本次</w:t>
      </w:r>
      <w:r>
        <w:rPr>
          <w:rFonts w:ascii="Arial" w:hAnsi="Arial" w:eastAsia="宋体" w:cs="Arial"/>
          <w:sz w:val="24"/>
          <w:szCs w:val="24"/>
        </w:rPr>
        <w:t>债券发行成功的信息。</w:t>
      </w:r>
    </w:p>
    <w:p>
      <w:pPr>
        <w:tabs>
          <w:tab w:val="left" w:pos="1080"/>
          <w:tab w:val="left" w:pos="1260"/>
          <w:tab w:val="left" w:pos="1440"/>
        </w:tabs>
        <w:spacing w:line="360" w:lineRule="auto"/>
        <w:ind w:firstLine="566" w:firstLineChars="236"/>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.3.5 乙方将依据甲方向其提供的、与债券募集说明书的制作有关的全部信息，尽快完成债券募集说明书的起草，以便由甲方及时审定并按照相关规定申报或公布。</w:t>
      </w:r>
    </w:p>
    <w:p>
      <w:pPr>
        <w:spacing w:line="360" w:lineRule="auto"/>
        <w:ind w:firstLine="480"/>
        <w:rPr>
          <w:rFonts w:ascii="Arial" w:hAnsi="Arial" w:eastAsia="宋体" w:cs="Arial"/>
          <w:sz w:val="24"/>
          <w:szCs w:val="24"/>
        </w:rPr>
      </w:pPr>
      <w:r>
        <w:rPr>
          <w:rFonts w:hint="eastAsia" w:ascii="Arial" w:hAnsi="Arial" w:eastAsia="宋体" w:cs="Arial"/>
          <w:sz w:val="24"/>
          <w:szCs w:val="24"/>
        </w:rPr>
        <w:t>10</w:t>
      </w:r>
      <w:r>
        <w:rPr>
          <w:rFonts w:ascii="Arial" w:hAnsi="Arial" w:eastAsia="宋体" w:cs="Arial"/>
          <w:sz w:val="24"/>
          <w:szCs w:val="24"/>
        </w:rPr>
        <w:t xml:space="preserve">.4  </w:t>
      </w:r>
      <w:r>
        <w:rPr>
          <w:rFonts w:ascii="Arial" w:hAnsi="Times New Roman" w:eastAsia="宋体" w:cs="Arial"/>
          <w:sz w:val="24"/>
          <w:szCs w:val="24"/>
        </w:rPr>
        <w:t>由于违背上述声明、保证和承诺而引起的任何法律责任及受损失方的索赔权，不因</w:t>
      </w:r>
      <w:r>
        <w:rPr>
          <w:rFonts w:hint="eastAsia" w:ascii="Arial" w:hAnsi="Times New Roman" w:eastAsia="宋体" w:cs="Arial"/>
          <w:sz w:val="24"/>
          <w:szCs w:val="24"/>
        </w:rPr>
        <w:t>本次</w:t>
      </w:r>
      <w:r>
        <w:rPr>
          <w:rFonts w:ascii="Arial" w:hAnsi="Times New Roman" w:eastAsia="宋体" w:cs="Arial"/>
          <w:sz w:val="24"/>
          <w:szCs w:val="24"/>
        </w:rPr>
        <w:t>债券发行完成而受到任何影响。</w:t>
      </w:r>
    </w:p>
    <w:p>
      <w:pPr>
        <w:spacing w:line="360" w:lineRule="auto"/>
        <w:ind w:firstLine="480"/>
        <w:rPr>
          <w:rFonts w:ascii="Arial" w:hAnsi="Arial" w:eastAsia="宋体" w:cs="Arial"/>
          <w:sz w:val="24"/>
          <w:szCs w:val="24"/>
        </w:rPr>
      </w:pPr>
    </w:p>
    <w:p>
      <w:pPr>
        <w:spacing w:line="360" w:lineRule="auto"/>
        <w:jc w:val="center"/>
        <w:outlineLvl w:val="0"/>
        <w:rPr>
          <w:rFonts w:ascii="Arial" w:hAnsi="Arial" w:eastAsia="宋体" w:cs="Arial"/>
          <w:b/>
          <w:sz w:val="24"/>
          <w:szCs w:val="24"/>
        </w:rPr>
      </w:pPr>
      <w:r>
        <w:rPr>
          <w:rFonts w:ascii="Arial" w:hAnsi="Times New Roman" w:eastAsia="宋体" w:cs="Arial"/>
          <w:b/>
          <w:sz w:val="24"/>
          <w:szCs w:val="24"/>
        </w:rPr>
        <w:t>第</w:t>
      </w:r>
      <w:r>
        <w:rPr>
          <w:rFonts w:hint="eastAsia" w:ascii="Arial" w:hAnsi="Times New Roman" w:eastAsia="宋体" w:cs="Arial"/>
          <w:b/>
          <w:sz w:val="24"/>
          <w:szCs w:val="24"/>
        </w:rPr>
        <w:t>十一</w:t>
      </w:r>
      <w:r>
        <w:rPr>
          <w:rFonts w:ascii="Arial" w:hAnsi="Times New Roman" w:eastAsia="宋体" w:cs="Arial"/>
          <w:b/>
          <w:sz w:val="24"/>
          <w:szCs w:val="24"/>
        </w:rPr>
        <w:t>条</w:t>
      </w:r>
      <w:r>
        <w:rPr>
          <w:rFonts w:hint="eastAsia" w:ascii="Arial" w:hAnsi="Times New Roman" w:eastAsia="宋体" w:cs="Arial"/>
          <w:b/>
          <w:sz w:val="24"/>
          <w:szCs w:val="24"/>
        </w:rPr>
        <w:t xml:space="preserve">  </w:t>
      </w:r>
      <w:r>
        <w:rPr>
          <w:rFonts w:ascii="Arial" w:hAnsi="Times New Roman" w:eastAsia="宋体" w:cs="Arial"/>
          <w:b/>
          <w:sz w:val="24"/>
          <w:szCs w:val="24"/>
        </w:rPr>
        <w:t>双方的权利和义务</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11</w:t>
      </w:r>
      <w:r>
        <w:rPr>
          <w:rFonts w:ascii="Arial" w:hAnsi="Arial" w:eastAsia="宋体" w:cs="Arial"/>
          <w:sz w:val="24"/>
          <w:szCs w:val="24"/>
        </w:rPr>
        <w:t xml:space="preserve">.1  </w:t>
      </w:r>
      <w:r>
        <w:rPr>
          <w:rFonts w:ascii="Arial" w:hAnsi="Times New Roman" w:eastAsia="宋体" w:cs="Arial"/>
          <w:sz w:val="24"/>
          <w:szCs w:val="24"/>
        </w:rPr>
        <w:t>甲方</w:t>
      </w:r>
      <w:r>
        <w:rPr>
          <w:rFonts w:hint="eastAsia" w:ascii="Arial" w:hAnsi="Times New Roman" w:eastAsia="宋体" w:cs="Arial"/>
          <w:sz w:val="24"/>
          <w:szCs w:val="24"/>
        </w:rPr>
        <w:t>及其控股股东、实际控制人应全面配合乙方相关工作的开展，</w:t>
      </w:r>
      <w:r>
        <w:rPr>
          <w:rFonts w:ascii="Arial" w:hAnsi="Times New Roman" w:eastAsia="宋体" w:cs="Arial"/>
          <w:sz w:val="24"/>
          <w:szCs w:val="24"/>
        </w:rPr>
        <w:t>按乙方要求及时向乙方提供</w:t>
      </w:r>
      <w:r>
        <w:rPr>
          <w:rFonts w:hint="eastAsia" w:ascii="Arial" w:hAnsi="Times New Roman" w:eastAsia="宋体" w:cs="Arial"/>
          <w:sz w:val="24"/>
          <w:szCs w:val="24"/>
        </w:rPr>
        <w:t>本次</w:t>
      </w:r>
      <w:r>
        <w:rPr>
          <w:rFonts w:ascii="Arial" w:hAnsi="Times New Roman" w:eastAsia="宋体" w:cs="Arial"/>
          <w:sz w:val="24"/>
          <w:szCs w:val="24"/>
        </w:rPr>
        <w:t>债券发行所需的一切资料、数据和文件，并对该等资料、数据和文件的真实性、准确性和完整性承担全部责任。</w:t>
      </w:r>
      <w:r>
        <w:rPr>
          <w:rFonts w:hint="eastAsia" w:ascii="Arial" w:hAnsi="Times New Roman" w:eastAsia="宋体" w:cs="Arial"/>
          <w:sz w:val="24"/>
          <w:szCs w:val="24"/>
        </w:rPr>
        <w:t>若因募集说明书及其摘要存在虚假记载、误导性陈述或者重大遗漏，致使投资者在证券交易中遭受损失的，由甲方承担赔偿责任，同时赔偿乙方因承担相关责任而造成的全部损失。</w:t>
      </w:r>
    </w:p>
    <w:p>
      <w:pPr>
        <w:spacing w:line="360" w:lineRule="auto"/>
        <w:ind w:firstLine="480"/>
        <w:rPr>
          <w:rFonts w:ascii="Arial" w:hAnsi="Times New Roman" w:eastAsia="宋体" w:cs="Arial"/>
          <w:sz w:val="24"/>
          <w:szCs w:val="24"/>
        </w:rPr>
      </w:pPr>
      <w:r>
        <w:rPr>
          <w:rFonts w:hint="eastAsia" w:ascii="Arial" w:hAnsi="Arial" w:eastAsia="宋体" w:cs="Arial"/>
          <w:color w:val="000000"/>
          <w:sz w:val="24"/>
          <w:szCs w:val="20"/>
        </w:rPr>
        <w:t>11</w:t>
      </w:r>
      <w:r>
        <w:rPr>
          <w:rFonts w:ascii="Arial" w:hAnsi="Arial" w:eastAsia="宋体" w:cs="Arial"/>
          <w:color w:val="000000"/>
          <w:sz w:val="24"/>
          <w:szCs w:val="20"/>
        </w:rPr>
        <w:t xml:space="preserve">.2  </w:t>
      </w:r>
      <w:r>
        <w:rPr>
          <w:rFonts w:ascii="Arial" w:hAnsi="Times New Roman" w:eastAsia="宋体" w:cs="Arial"/>
          <w:sz w:val="24"/>
          <w:szCs w:val="24"/>
        </w:rPr>
        <w:t>甲方应指定专人配合乙方工作，为乙方的现场工作提供必要的工作条件，并根据乙方的工作计划安排与合理请求，及时给予全面支持和配合。</w:t>
      </w:r>
    </w:p>
    <w:p>
      <w:pPr>
        <w:spacing w:line="360" w:lineRule="auto"/>
        <w:ind w:firstLine="480"/>
        <w:rPr>
          <w:rFonts w:ascii="Arial" w:hAnsi="Arial" w:eastAsia="宋体" w:cs="Arial"/>
          <w:sz w:val="24"/>
          <w:szCs w:val="24"/>
        </w:rPr>
      </w:pPr>
      <w:r>
        <w:rPr>
          <w:rFonts w:hint="eastAsia" w:ascii="Arial" w:hAnsi="Times New Roman" w:eastAsia="宋体" w:cs="Arial"/>
          <w:sz w:val="24"/>
          <w:szCs w:val="24"/>
        </w:rPr>
        <w:t>如出现未能按时兑付本息等违约事项时，甲方应当严格按法律、法规和规则的要求及募集说明书的约定积极组织落实相应的还本付息安排。</w:t>
      </w:r>
    </w:p>
    <w:p>
      <w:pPr>
        <w:spacing w:line="360" w:lineRule="auto"/>
        <w:ind w:firstLine="480"/>
        <w:rPr>
          <w:rFonts w:ascii="Arial" w:hAnsi="Times New Roman" w:eastAsia="宋体" w:cs="Arial"/>
          <w:sz w:val="24"/>
          <w:szCs w:val="24"/>
        </w:rPr>
      </w:pPr>
      <w:r>
        <w:rPr>
          <w:rFonts w:hint="eastAsia" w:ascii="Arial" w:hAnsi="Arial" w:eastAsia="宋体" w:cs="Arial"/>
          <w:sz w:val="24"/>
          <w:szCs w:val="24"/>
        </w:rPr>
        <w:t>11</w:t>
      </w:r>
      <w:r>
        <w:rPr>
          <w:rFonts w:ascii="Arial" w:hAnsi="Arial" w:eastAsia="宋体" w:cs="Arial"/>
          <w:sz w:val="24"/>
          <w:szCs w:val="24"/>
        </w:rPr>
        <w:t xml:space="preserve">.3  </w:t>
      </w:r>
      <w:r>
        <w:rPr>
          <w:rFonts w:ascii="Arial" w:hAnsi="Times New Roman" w:eastAsia="宋体" w:cs="Arial"/>
          <w:sz w:val="24"/>
          <w:szCs w:val="24"/>
        </w:rPr>
        <w:t>乙方应根据</w:t>
      </w:r>
      <w:r>
        <w:rPr>
          <w:rFonts w:hint="eastAsia" w:ascii="Arial" w:hAnsi="Times New Roman" w:eastAsia="宋体" w:cs="Arial"/>
          <w:sz w:val="24"/>
          <w:szCs w:val="24"/>
        </w:rPr>
        <w:t>法律、法规和规则</w:t>
      </w:r>
      <w:r>
        <w:rPr>
          <w:rFonts w:ascii="Arial" w:hAnsi="Times New Roman" w:eastAsia="宋体" w:cs="Arial"/>
          <w:sz w:val="24"/>
          <w:szCs w:val="24"/>
        </w:rPr>
        <w:t>的规定和甲方的实际情况，从有利于</w:t>
      </w:r>
      <w:r>
        <w:rPr>
          <w:rFonts w:hint="eastAsia" w:ascii="Arial" w:hAnsi="Times New Roman" w:eastAsia="宋体" w:cs="Arial"/>
          <w:sz w:val="24"/>
          <w:szCs w:val="24"/>
        </w:rPr>
        <w:t>本次</w:t>
      </w:r>
      <w:r>
        <w:rPr>
          <w:rFonts w:ascii="Arial" w:hAnsi="Times New Roman" w:eastAsia="宋体" w:cs="Arial"/>
          <w:sz w:val="24"/>
          <w:szCs w:val="24"/>
        </w:rPr>
        <w:t>债券的成功发行出发，积极认真地为甲方提供与</w:t>
      </w:r>
      <w:r>
        <w:rPr>
          <w:rFonts w:hint="eastAsia" w:ascii="Arial" w:hAnsi="Times New Roman" w:eastAsia="宋体" w:cs="Arial"/>
          <w:sz w:val="24"/>
          <w:szCs w:val="24"/>
        </w:rPr>
        <w:t>本次</w:t>
      </w:r>
      <w:r>
        <w:rPr>
          <w:rFonts w:ascii="Arial" w:hAnsi="Times New Roman" w:eastAsia="宋体" w:cs="Arial"/>
          <w:sz w:val="24"/>
          <w:szCs w:val="24"/>
        </w:rPr>
        <w:t>债券发行有关的全套服务工作，包括合理设计和确定</w:t>
      </w:r>
      <w:r>
        <w:rPr>
          <w:rFonts w:hint="eastAsia" w:ascii="Arial" w:hAnsi="Times New Roman" w:eastAsia="宋体" w:cs="Arial"/>
          <w:sz w:val="24"/>
          <w:szCs w:val="24"/>
        </w:rPr>
        <w:t>本次</w:t>
      </w:r>
      <w:r>
        <w:rPr>
          <w:rFonts w:ascii="Arial" w:hAnsi="Times New Roman" w:eastAsia="宋体" w:cs="Arial"/>
          <w:sz w:val="24"/>
          <w:szCs w:val="24"/>
        </w:rPr>
        <w:t>债券的发行规模、期限、票面利率及安排与协调会计师、律师及资信评级机构</w:t>
      </w:r>
      <w:r>
        <w:rPr>
          <w:rFonts w:hint="eastAsia" w:ascii="Arial" w:hAnsi="Times New Roman" w:eastAsia="宋体" w:cs="Arial"/>
          <w:sz w:val="24"/>
          <w:szCs w:val="24"/>
        </w:rPr>
        <w:t>（若有）</w:t>
      </w:r>
      <w:r>
        <w:rPr>
          <w:rFonts w:ascii="Arial" w:hAnsi="Times New Roman" w:eastAsia="宋体" w:cs="Arial"/>
          <w:sz w:val="24"/>
          <w:szCs w:val="24"/>
        </w:rPr>
        <w:t>工作，并积极协助甲方办理向主管部门和中国证监会的申报手续</w:t>
      </w:r>
      <w:r>
        <w:rPr>
          <w:rFonts w:ascii="Arial" w:hAnsi="Arial" w:eastAsia="宋体" w:cs="Arial"/>
          <w:sz w:val="24"/>
          <w:szCs w:val="24"/>
        </w:rPr>
        <w:t>,</w:t>
      </w:r>
      <w:r>
        <w:rPr>
          <w:rFonts w:ascii="Arial" w:hAnsi="Times New Roman" w:eastAsia="宋体" w:cs="Arial"/>
          <w:sz w:val="24"/>
          <w:szCs w:val="24"/>
        </w:rPr>
        <w:t>及后续的发行、</w:t>
      </w:r>
      <w:r>
        <w:rPr>
          <w:rFonts w:hint="eastAsia" w:ascii="Arial" w:hAnsi="Times New Roman" w:eastAsia="宋体" w:cs="Arial"/>
          <w:sz w:val="24"/>
          <w:szCs w:val="24"/>
        </w:rPr>
        <w:t>挂牌转让</w:t>
      </w:r>
      <w:r>
        <w:rPr>
          <w:rFonts w:ascii="Arial" w:hAnsi="Times New Roman" w:eastAsia="宋体" w:cs="Arial"/>
          <w:sz w:val="24"/>
          <w:szCs w:val="24"/>
        </w:rPr>
        <w:t>工作。</w:t>
      </w:r>
    </w:p>
    <w:p>
      <w:pPr>
        <w:spacing w:line="360" w:lineRule="auto"/>
        <w:ind w:firstLine="480"/>
        <w:rPr>
          <w:rFonts w:ascii="Arial" w:hAnsi="Arial" w:eastAsia="宋体" w:cs="Arial"/>
          <w:sz w:val="24"/>
          <w:szCs w:val="24"/>
        </w:rPr>
      </w:pPr>
      <w:r>
        <w:rPr>
          <w:rFonts w:hint="eastAsia" w:ascii="Arial" w:hAnsi="Arial" w:eastAsia="宋体" w:cs="Arial"/>
          <w:sz w:val="24"/>
          <w:szCs w:val="24"/>
        </w:rPr>
        <w:t>11.4  甲方及其控股股东、实际控制人、董事、监事、高级管理人员应遵守有关法律法规、规范性文件、自律规则的规定要求，，履行持续的信息披露义务，以维护本期债券的良好市场形象和信用等级。除非法律另有规定，自本协议签署日起至本期债券交易流通首日止，未经与主承销商事先达成一致，甲方及其子公司不得以新闻发布、散发文件或其他任何形式，向社会公众披露或向其他无关人员泄露发行文件的内容或对本期发行及交易流通可能造成影响的任何信息。</w:t>
      </w:r>
    </w:p>
    <w:p>
      <w:pPr>
        <w:spacing w:line="360" w:lineRule="auto"/>
        <w:ind w:firstLine="480"/>
        <w:rPr>
          <w:rFonts w:ascii="Arial" w:hAnsi="Arial" w:eastAsia="宋体" w:cs="Arial"/>
          <w:sz w:val="24"/>
          <w:szCs w:val="24"/>
        </w:rPr>
      </w:pPr>
      <w:r>
        <w:rPr>
          <w:rFonts w:hint="eastAsia" w:ascii="Arial" w:hAnsi="Arial" w:eastAsia="宋体" w:cs="Arial"/>
          <w:sz w:val="24"/>
          <w:szCs w:val="24"/>
        </w:rPr>
        <w:t>11.5  甲方在本期债券存续期间，应按照有关法律的规定及时向主管机关和有关证券交易场所办理有关手续。</w:t>
      </w:r>
    </w:p>
    <w:p>
      <w:pPr>
        <w:spacing w:line="360" w:lineRule="auto"/>
        <w:ind w:firstLine="480"/>
        <w:rPr>
          <w:rFonts w:ascii="Arial" w:hAnsi="Arial" w:eastAsia="宋体" w:cs="Arial"/>
          <w:sz w:val="24"/>
          <w:szCs w:val="24"/>
        </w:rPr>
      </w:pPr>
      <w:r>
        <w:rPr>
          <w:rFonts w:hint="eastAsia" w:ascii="Arial" w:hAnsi="Arial" w:eastAsia="宋体" w:cs="Arial"/>
          <w:sz w:val="24"/>
          <w:szCs w:val="24"/>
        </w:rPr>
        <w:t>11.6  甲方承诺按本协议约定支付承销费用。在不损害前述的原则性约定的前提下，发行人不可撤销地授权【】证券可在将本期债券募集款项划给发行人之前，根据本协议约定，自该等资金中扣除或留存承销费用。</w:t>
      </w:r>
    </w:p>
    <w:p>
      <w:pPr>
        <w:spacing w:line="360" w:lineRule="auto"/>
        <w:ind w:firstLine="480"/>
        <w:rPr>
          <w:rFonts w:ascii="Arial" w:hAnsi="Times New Roman" w:eastAsia="宋体" w:cs="Arial"/>
          <w:color w:val="000000"/>
          <w:sz w:val="24"/>
          <w:szCs w:val="20"/>
        </w:rPr>
      </w:pPr>
      <w:r>
        <w:rPr>
          <w:rFonts w:hint="eastAsia" w:ascii="Arial" w:hAnsi="Arial" w:eastAsia="宋体" w:cs="Arial"/>
          <w:color w:val="000000"/>
          <w:sz w:val="24"/>
          <w:szCs w:val="20"/>
        </w:rPr>
        <w:t>11</w:t>
      </w:r>
      <w:r>
        <w:rPr>
          <w:rFonts w:ascii="Arial" w:hAnsi="Arial" w:eastAsia="宋体" w:cs="Arial"/>
          <w:color w:val="000000"/>
          <w:sz w:val="24"/>
          <w:szCs w:val="20"/>
        </w:rPr>
        <w:t>.</w:t>
      </w:r>
      <w:r>
        <w:rPr>
          <w:rFonts w:hint="eastAsia" w:ascii="Arial" w:hAnsi="Arial" w:eastAsia="宋体" w:cs="Arial"/>
          <w:color w:val="000000"/>
          <w:sz w:val="24"/>
          <w:szCs w:val="20"/>
        </w:rPr>
        <w:t xml:space="preserve">7  </w:t>
      </w:r>
      <w:r>
        <w:rPr>
          <w:rFonts w:ascii="Arial" w:hAnsi="Times New Roman" w:eastAsia="宋体" w:cs="Arial"/>
          <w:color w:val="000000"/>
          <w:sz w:val="24"/>
          <w:szCs w:val="20"/>
        </w:rPr>
        <w:t>甲、乙双方对</w:t>
      </w:r>
      <w:r>
        <w:rPr>
          <w:rFonts w:hint="eastAsia" w:ascii="Arial" w:hAnsi="Times New Roman" w:eastAsia="宋体" w:cs="Arial"/>
          <w:color w:val="000000"/>
          <w:sz w:val="24"/>
          <w:szCs w:val="20"/>
        </w:rPr>
        <w:t>本次</w:t>
      </w:r>
      <w:r>
        <w:rPr>
          <w:rFonts w:ascii="Arial" w:hAnsi="Times New Roman" w:eastAsia="宋体" w:cs="Arial"/>
          <w:color w:val="000000"/>
          <w:sz w:val="24"/>
          <w:szCs w:val="20"/>
        </w:rPr>
        <w:t>债券发行工作中涉及到的内幕信息、商业秘密均负有保密义务，除</w:t>
      </w:r>
      <w:r>
        <w:rPr>
          <w:rFonts w:hint="eastAsia" w:ascii="Arial" w:hAnsi="Times New Roman" w:eastAsia="宋体" w:cs="Arial"/>
          <w:sz w:val="24"/>
          <w:szCs w:val="24"/>
        </w:rPr>
        <w:t>法律、法规和规则或有关监管机关</w:t>
      </w:r>
      <w:r>
        <w:rPr>
          <w:rFonts w:ascii="Arial" w:hAnsi="Times New Roman" w:eastAsia="宋体" w:cs="Arial"/>
          <w:color w:val="000000"/>
          <w:sz w:val="24"/>
          <w:szCs w:val="20"/>
        </w:rPr>
        <w:t>要求披露外，双方在任何时间、在任何情况下都不得以任何方式予以泄露或不正当地使用。</w:t>
      </w:r>
    </w:p>
    <w:p>
      <w:pPr>
        <w:spacing w:line="360" w:lineRule="auto"/>
        <w:ind w:firstLine="480"/>
        <w:rPr>
          <w:rFonts w:ascii="Arial" w:hAnsi="Times New Roman" w:eastAsia="宋体" w:cs="Arial"/>
          <w:color w:val="000000"/>
          <w:sz w:val="24"/>
          <w:szCs w:val="20"/>
        </w:rPr>
      </w:pPr>
    </w:p>
    <w:p>
      <w:pPr>
        <w:spacing w:line="360" w:lineRule="auto"/>
        <w:jc w:val="center"/>
        <w:outlineLvl w:val="0"/>
        <w:rPr>
          <w:rFonts w:ascii="Arial" w:hAnsi="Times New Roman" w:eastAsia="宋体" w:cs="Arial"/>
          <w:b/>
          <w:bCs/>
          <w:sz w:val="24"/>
          <w:szCs w:val="24"/>
        </w:rPr>
      </w:pPr>
      <w:r>
        <w:rPr>
          <w:rFonts w:hint="eastAsia" w:ascii="Arial" w:hAnsi="Times New Roman" w:eastAsia="宋体" w:cs="Arial"/>
          <w:b/>
          <w:bCs/>
          <w:sz w:val="24"/>
          <w:szCs w:val="24"/>
        </w:rPr>
        <w:t>第十二条  受托管理事项</w:t>
      </w:r>
    </w:p>
    <w:p>
      <w:pPr>
        <w:spacing w:line="360" w:lineRule="auto"/>
        <w:ind w:firstLine="480" w:firstLineChars="200"/>
        <w:jc w:val="left"/>
        <w:outlineLvl w:val="0"/>
        <w:rPr>
          <w:rFonts w:ascii="Arial" w:hAnsi="Arial" w:eastAsia="宋体" w:cs="Arial"/>
          <w:color w:val="000000"/>
          <w:sz w:val="24"/>
          <w:szCs w:val="20"/>
        </w:rPr>
      </w:pPr>
      <w:r>
        <w:rPr>
          <w:rFonts w:ascii="Arial" w:hAnsi="Arial" w:eastAsia="宋体" w:cs="Arial"/>
          <w:color w:val="000000"/>
          <w:sz w:val="24"/>
          <w:szCs w:val="20"/>
        </w:rPr>
        <w:t>12.1</w:t>
      </w:r>
      <w:r>
        <w:rPr>
          <w:rFonts w:hint="eastAsia" w:ascii="Arial" w:hAnsi="Arial" w:eastAsia="宋体" w:cs="Arial"/>
          <w:color w:val="000000"/>
          <w:sz w:val="24"/>
          <w:szCs w:val="20"/>
        </w:rPr>
        <w:t>为维护本期债券全体债券持有人的权益，发行人聘请【】证券为本期债券受托管理人，并同意接受受托管理人的监督。</w:t>
      </w:r>
    </w:p>
    <w:p>
      <w:pPr>
        <w:spacing w:line="360" w:lineRule="auto"/>
        <w:ind w:firstLine="480"/>
        <w:rPr>
          <w:rFonts w:ascii="Arial" w:hAnsi="Arial" w:eastAsia="宋体" w:cs="Arial"/>
          <w:sz w:val="24"/>
          <w:szCs w:val="24"/>
        </w:rPr>
      </w:pPr>
      <w:r>
        <w:rPr>
          <w:rFonts w:hint="eastAsia" w:ascii="Arial" w:hAnsi="Arial" w:eastAsia="宋体" w:cs="Arial"/>
          <w:sz w:val="24"/>
          <w:szCs w:val="24"/>
        </w:rPr>
        <w:t>12.2  在本期债券存续期内，受托管理人应当勤勉尽责，根据相关法律、法规和规则、募集说明书、本协议及债券持有人会议规则的规定，行使权利和履行义务。</w:t>
      </w:r>
    </w:p>
    <w:p>
      <w:pPr>
        <w:spacing w:line="360" w:lineRule="auto"/>
        <w:ind w:firstLine="480"/>
        <w:rPr>
          <w:rFonts w:ascii="Arial" w:hAnsi="Arial" w:eastAsia="宋体" w:cs="Arial"/>
          <w:sz w:val="24"/>
          <w:szCs w:val="24"/>
        </w:rPr>
      </w:pPr>
      <w:r>
        <w:rPr>
          <w:rFonts w:hint="eastAsia" w:ascii="Arial" w:hAnsi="Arial" w:eastAsia="宋体" w:cs="Arial"/>
          <w:sz w:val="24"/>
          <w:szCs w:val="24"/>
        </w:rPr>
        <w:t>12.3  凡通过认购、交易、受让、继承、承继或其他合法方式取得并持有本期债券的投资者，均视同自愿接受【】证券担任本期债券的受托管理人，同意受托管理协议的相关约定（具体约定内容详见受托管理协议文本）。</w:t>
      </w:r>
    </w:p>
    <w:p>
      <w:pPr>
        <w:spacing w:line="360" w:lineRule="auto"/>
        <w:ind w:firstLine="480"/>
        <w:rPr>
          <w:rFonts w:ascii="Arial" w:hAnsi="Arial" w:eastAsia="宋体" w:cs="Arial"/>
          <w:sz w:val="24"/>
          <w:szCs w:val="24"/>
        </w:rPr>
      </w:pPr>
    </w:p>
    <w:p>
      <w:pPr>
        <w:spacing w:line="360" w:lineRule="auto"/>
        <w:jc w:val="center"/>
        <w:outlineLvl w:val="0"/>
        <w:rPr>
          <w:rFonts w:ascii="Arial" w:hAnsi="Arial" w:eastAsia="宋体" w:cs="Arial"/>
          <w:b/>
          <w:bCs/>
          <w:sz w:val="24"/>
          <w:szCs w:val="24"/>
        </w:rPr>
      </w:pPr>
      <w:r>
        <w:rPr>
          <w:rFonts w:ascii="Arial" w:hAnsi="Times New Roman" w:eastAsia="宋体" w:cs="Arial"/>
          <w:b/>
          <w:bCs/>
          <w:sz w:val="24"/>
          <w:szCs w:val="24"/>
        </w:rPr>
        <w:t>第十</w:t>
      </w:r>
      <w:r>
        <w:rPr>
          <w:rFonts w:hint="eastAsia" w:ascii="Arial" w:hAnsi="Times New Roman" w:eastAsia="宋体" w:cs="Arial"/>
          <w:b/>
          <w:bCs/>
          <w:sz w:val="24"/>
          <w:szCs w:val="24"/>
        </w:rPr>
        <w:t>三</w:t>
      </w:r>
      <w:r>
        <w:rPr>
          <w:rFonts w:ascii="Arial" w:hAnsi="Times New Roman" w:eastAsia="宋体" w:cs="Arial"/>
          <w:b/>
          <w:bCs/>
          <w:sz w:val="24"/>
          <w:szCs w:val="24"/>
        </w:rPr>
        <w:t>条</w:t>
      </w:r>
      <w:r>
        <w:rPr>
          <w:rFonts w:hint="eastAsia" w:ascii="Arial" w:hAnsi="Times New Roman" w:eastAsia="宋体" w:cs="Arial"/>
          <w:b/>
          <w:bCs/>
          <w:sz w:val="24"/>
          <w:szCs w:val="24"/>
        </w:rPr>
        <w:t xml:space="preserve">  </w:t>
      </w:r>
      <w:r>
        <w:rPr>
          <w:rFonts w:ascii="Arial" w:hAnsi="Times New Roman" w:eastAsia="宋体" w:cs="Arial"/>
          <w:b/>
          <w:bCs/>
          <w:sz w:val="24"/>
          <w:szCs w:val="24"/>
        </w:rPr>
        <w:t>协议的承受和转让</w:t>
      </w:r>
    </w:p>
    <w:p>
      <w:pPr>
        <w:spacing w:line="360" w:lineRule="auto"/>
        <w:ind w:firstLine="480"/>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3</w:t>
      </w:r>
      <w:r>
        <w:rPr>
          <w:rFonts w:ascii="Arial" w:hAnsi="Arial" w:eastAsia="宋体" w:cs="Arial"/>
          <w:sz w:val="24"/>
          <w:szCs w:val="24"/>
        </w:rPr>
        <w:t xml:space="preserve">.1  </w:t>
      </w:r>
      <w:r>
        <w:rPr>
          <w:rFonts w:ascii="Arial" w:hAnsi="Times New Roman" w:eastAsia="宋体" w:cs="Arial"/>
          <w:sz w:val="24"/>
          <w:szCs w:val="24"/>
        </w:rPr>
        <w:t>本协议对协议各方及其承受人均有约束力。</w:t>
      </w:r>
    </w:p>
    <w:p>
      <w:pPr>
        <w:spacing w:line="360" w:lineRule="auto"/>
        <w:ind w:firstLine="480"/>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3</w:t>
      </w:r>
      <w:r>
        <w:rPr>
          <w:rFonts w:ascii="Arial" w:hAnsi="Arial" w:eastAsia="宋体" w:cs="Arial"/>
          <w:sz w:val="24"/>
          <w:szCs w:val="24"/>
        </w:rPr>
        <w:t xml:space="preserve">.2  </w:t>
      </w:r>
      <w:r>
        <w:rPr>
          <w:rFonts w:ascii="Arial" w:hAnsi="Times New Roman" w:eastAsia="宋体" w:cs="Arial"/>
          <w:sz w:val="24"/>
          <w:szCs w:val="24"/>
        </w:rPr>
        <w:t>未经对方书面同意，一方不得转让其在本协议项下的任何权利和义务。</w:t>
      </w:r>
    </w:p>
    <w:p>
      <w:pPr>
        <w:spacing w:line="360" w:lineRule="auto"/>
        <w:ind w:firstLine="480"/>
        <w:rPr>
          <w:rFonts w:ascii="Arial" w:hAnsi="Arial" w:eastAsia="宋体" w:cs="Arial"/>
          <w:sz w:val="24"/>
          <w:szCs w:val="24"/>
        </w:rPr>
      </w:pPr>
    </w:p>
    <w:p>
      <w:pPr>
        <w:spacing w:line="360" w:lineRule="auto"/>
        <w:jc w:val="center"/>
        <w:outlineLvl w:val="0"/>
        <w:rPr>
          <w:rFonts w:ascii="Arial" w:hAnsi="Arial" w:eastAsia="宋体" w:cs="Arial"/>
          <w:b/>
          <w:bCs/>
          <w:sz w:val="24"/>
          <w:szCs w:val="24"/>
        </w:rPr>
      </w:pPr>
      <w:r>
        <w:rPr>
          <w:rFonts w:ascii="Arial" w:hAnsi="Times New Roman" w:eastAsia="宋体" w:cs="Arial"/>
          <w:b/>
          <w:bCs/>
          <w:sz w:val="24"/>
          <w:szCs w:val="24"/>
        </w:rPr>
        <w:t>第十</w:t>
      </w:r>
      <w:r>
        <w:rPr>
          <w:rFonts w:hint="eastAsia" w:ascii="Arial" w:hAnsi="Times New Roman" w:eastAsia="宋体" w:cs="Arial"/>
          <w:b/>
          <w:bCs/>
          <w:sz w:val="24"/>
          <w:szCs w:val="24"/>
        </w:rPr>
        <w:t>四</w:t>
      </w:r>
      <w:r>
        <w:rPr>
          <w:rFonts w:ascii="Arial" w:hAnsi="Times New Roman" w:eastAsia="宋体" w:cs="Arial"/>
          <w:b/>
          <w:bCs/>
          <w:sz w:val="24"/>
          <w:szCs w:val="24"/>
        </w:rPr>
        <w:t>条</w:t>
      </w:r>
      <w:r>
        <w:rPr>
          <w:rFonts w:hint="eastAsia" w:ascii="Arial" w:hAnsi="Times New Roman" w:eastAsia="宋体" w:cs="Arial"/>
          <w:b/>
          <w:bCs/>
          <w:sz w:val="24"/>
          <w:szCs w:val="24"/>
        </w:rPr>
        <w:t xml:space="preserve">  </w:t>
      </w:r>
      <w:r>
        <w:rPr>
          <w:rFonts w:ascii="Arial" w:hAnsi="Times New Roman" w:eastAsia="宋体" w:cs="Arial"/>
          <w:b/>
          <w:bCs/>
          <w:sz w:val="24"/>
          <w:szCs w:val="24"/>
        </w:rPr>
        <w:t>协议的终止</w:t>
      </w:r>
    </w:p>
    <w:p>
      <w:pPr>
        <w:spacing w:line="360" w:lineRule="auto"/>
        <w:ind w:firstLine="480"/>
        <w:rPr>
          <w:rFonts w:ascii="Arial" w:hAnsi="Arial" w:eastAsia="宋体" w:cs="Arial"/>
          <w:bCs/>
          <w:sz w:val="24"/>
          <w:szCs w:val="24"/>
        </w:rPr>
      </w:pPr>
      <w:r>
        <w:rPr>
          <w:rFonts w:ascii="Arial" w:hAnsi="Arial" w:eastAsia="宋体" w:cs="Arial"/>
          <w:sz w:val="24"/>
          <w:szCs w:val="24"/>
        </w:rPr>
        <w:t>1</w:t>
      </w:r>
      <w:r>
        <w:rPr>
          <w:rFonts w:hint="eastAsia" w:ascii="Arial" w:hAnsi="Arial" w:eastAsia="宋体" w:cs="Arial"/>
          <w:sz w:val="24"/>
          <w:szCs w:val="24"/>
        </w:rPr>
        <w:t>4</w:t>
      </w:r>
      <w:r>
        <w:rPr>
          <w:rFonts w:ascii="Arial" w:hAnsi="Arial" w:eastAsia="宋体" w:cs="Arial"/>
          <w:sz w:val="24"/>
          <w:szCs w:val="24"/>
        </w:rPr>
        <w:t xml:space="preserve">.1  </w:t>
      </w:r>
      <w:r>
        <w:rPr>
          <w:rFonts w:ascii="Arial" w:hAnsi="Times New Roman" w:eastAsia="宋体" w:cs="Arial"/>
          <w:sz w:val="24"/>
          <w:szCs w:val="24"/>
        </w:rPr>
        <w:t>本协议中与</w:t>
      </w:r>
      <w:r>
        <w:rPr>
          <w:rFonts w:hint="eastAsia" w:ascii="Arial" w:hAnsi="Times New Roman" w:eastAsia="宋体" w:cs="Arial"/>
          <w:sz w:val="24"/>
          <w:szCs w:val="24"/>
        </w:rPr>
        <w:t>本次</w:t>
      </w:r>
      <w:r>
        <w:rPr>
          <w:rFonts w:ascii="Arial" w:hAnsi="Times New Roman" w:eastAsia="宋体" w:cs="Arial"/>
          <w:sz w:val="24"/>
          <w:szCs w:val="24"/>
        </w:rPr>
        <w:t>债券发行有关的条款，在乙方依据本协议规定将</w:t>
      </w:r>
      <w:r>
        <w:rPr>
          <w:rFonts w:hint="eastAsia" w:ascii="Arial" w:hAnsi="Times New Roman" w:eastAsia="宋体" w:cs="Arial"/>
          <w:sz w:val="24"/>
          <w:szCs w:val="24"/>
        </w:rPr>
        <w:t>本次</w:t>
      </w:r>
      <w:r>
        <w:rPr>
          <w:rFonts w:ascii="Arial" w:hAnsi="Times New Roman" w:eastAsia="宋体" w:cs="Arial"/>
          <w:sz w:val="24"/>
          <w:szCs w:val="24"/>
        </w:rPr>
        <w:t>债券发行的债券募集资金净额划入甲方指定银行账户并向甲方提供相关资料</w:t>
      </w:r>
      <w:r>
        <w:rPr>
          <w:rFonts w:ascii="Arial" w:hAnsi="Times New Roman" w:eastAsia="宋体" w:cs="Arial"/>
          <w:bCs/>
          <w:sz w:val="24"/>
          <w:szCs w:val="24"/>
        </w:rPr>
        <w:t>之日起自行终止。</w:t>
      </w:r>
    </w:p>
    <w:p>
      <w:pPr>
        <w:widowControl w:val="0"/>
        <w:spacing w:line="360" w:lineRule="auto"/>
        <w:ind w:firstLine="480" w:firstLineChars="200"/>
        <w:jc w:val="both"/>
        <w:rPr>
          <w:rFonts w:ascii="Arial" w:hAnsi="Arial" w:eastAsia="宋体" w:cs="Arial"/>
          <w:kern w:val="2"/>
          <w:sz w:val="24"/>
          <w:szCs w:val="20"/>
          <w:lang w:val="en-US" w:eastAsia="zh-CN" w:bidi="ar-SA"/>
        </w:rPr>
      </w:pPr>
      <w:r>
        <w:rPr>
          <w:rFonts w:ascii="Arial" w:hAnsi="Arial" w:eastAsia="宋体" w:cs="Arial"/>
          <w:kern w:val="2"/>
          <w:sz w:val="24"/>
          <w:szCs w:val="20"/>
          <w:lang w:val="en-US" w:eastAsia="zh-CN" w:bidi="ar-SA"/>
        </w:rPr>
        <w:t>1</w:t>
      </w:r>
      <w:r>
        <w:rPr>
          <w:rFonts w:hint="eastAsia" w:ascii="Arial" w:hAnsi="Arial" w:eastAsia="宋体" w:cs="Arial"/>
          <w:kern w:val="2"/>
          <w:sz w:val="24"/>
          <w:szCs w:val="20"/>
          <w:lang w:val="en-US" w:eastAsia="zh-CN" w:bidi="ar-SA"/>
        </w:rPr>
        <w:t>4</w:t>
      </w:r>
      <w:r>
        <w:rPr>
          <w:rFonts w:ascii="Arial" w:hAnsi="Arial" w:eastAsia="宋体" w:cs="Arial"/>
          <w:kern w:val="2"/>
          <w:sz w:val="24"/>
          <w:szCs w:val="20"/>
          <w:lang w:val="en-US" w:eastAsia="zh-CN" w:bidi="ar-SA"/>
        </w:rPr>
        <w:t xml:space="preserve">.2  </w:t>
      </w:r>
      <w:r>
        <w:rPr>
          <w:rFonts w:ascii="Arial" w:hAnsi="Times New Roman" w:eastAsia="宋体" w:cs="Arial"/>
          <w:kern w:val="2"/>
          <w:sz w:val="24"/>
          <w:szCs w:val="20"/>
          <w:lang w:val="en-US" w:eastAsia="zh-CN" w:bidi="ar-SA"/>
        </w:rPr>
        <w:t>在本协议履行中的任何时候出现下列情形之一，任何一方有权在书面通知对方后终止本协议：</w:t>
      </w:r>
    </w:p>
    <w:p>
      <w:pPr>
        <w:spacing w:line="360" w:lineRule="auto"/>
        <w:ind w:firstLine="600" w:firstLineChars="250"/>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4</w:t>
      </w:r>
      <w:r>
        <w:rPr>
          <w:rFonts w:ascii="Arial" w:hAnsi="Arial" w:eastAsia="宋体" w:cs="Arial"/>
          <w:sz w:val="24"/>
          <w:szCs w:val="24"/>
        </w:rPr>
        <w:t xml:space="preserve">.2.1 </w:t>
      </w:r>
      <w:r>
        <w:rPr>
          <w:rFonts w:ascii="Arial" w:hAnsi="Times New Roman" w:eastAsia="宋体" w:cs="Arial"/>
          <w:sz w:val="24"/>
          <w:szCs w:val="24"/>
        </w:rPr>
        <w:t>出现对于</w:t>
      </w:r>
      <w:r>
        <w:rPr>
          <w:rFonts w:hint="eastAsia" w:ascii="Arial" w:hAnsi="Times New Roman" w:eastAsia="宋体" w:cs="Arial"/>
          <w:sz w:val="24"/>
          <w:szCs w:val="24"/>
        </w:rPr>
        <w:t>本次</w:t>
      </w:r>
      <w:r>
        <w:rPr>
          <w:rFonts w:ascii="Arial" w:hAnsi="Times New Roman" w:eastAsia="宋体" w:cs="Arial"/>
          <w:sz w:val="24"/>
          <w:szCs w:val="24"/>
        </w:rPr>
        <w:t>债券发行无法预料也无法避免、且其后果又无法克服的事件（不论属于自然灾害或政治、经济、金融、法律或其他方面），并且任何一方有确凿证据证明或双方一致认为该事件的发生和后果对于甲方的业务经营、财务状况、发展前景或</w:t>
      </w:r>
      <w:r>
        <w:rPr>
          <w:rFonts w:hint="eastAsia" w:ascii="Arial" w:hAnsi="Times New Roman" w:eastAsia="宋体" w:cs="Arial"/>
          <w:sz w:val="24"/>
          <w:szCs w:val="24"/>
        </w:rPr>
        <w:t>本次</w:t>
      </w:r>
      <w:r>
        <w:rPr>
          <w:rFonts w:ascii="Arial" w:hAnsi="Times New Roman" w:eastAsia="宋体" w:cs="Arial"/>
          <w:sz w:val="24"/>
          <w:szCs w:val="24"/>
        </w:rPr>
        <w:t>债券发行</w:t>
      </w:r>
      <w:r>
        <w:rPr>
          <w:rFonts w:hint="eastAsia" w:ascii="Arial" w:hAnsi="Times New Roman" w:eastAsia="宋体" w:cs="Arial"/>
          <w:sz w:val="24"/>
          <w:szCs w:val="24"/>
        </w:rPr>
        <w:t>挂牌转让</w:t>
      </w:r>
      <w:r>
        <w:rPr>
          <w:rFonts w:ascii="Arial" w:hAnsi="Times New Roman" w:eastAsia="宋体" w:cs="Arial"/>
          <w:sz w:val="24"/>
          <w:szCs w:val="24"/>
        </w:rPr>
        <w:t>产生了实质性的不利影响；</w:t>
      </w:r>
    </w:p>
    <w:p>
      <w:pPr>
        <w:tabs>
          <w:tab w:val="left" w:pos="540"/>
          <w:tab w:val="left" w:pos="1440"/>
        </w:tabs>
        <w:spacing w:line="360" w:lineRule="auto"/>
        <w:ind w:firstLine="600" w:firstLineChars="250"/>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4</w:t>
      </w:r>
      <w:r>
        <w:rPr>
          <w:rFonts w:ascii="Arial" w:hAnsi="Arial" w:eastAsia="宋体" w:cs="Arial"/>
          <w:sz w:val="24"/>
          <w:szCs w:val="24"/>
        </w:rPr>
        <w:t xml:space="preserve">.2.2 </w:t>
      </w:r>
      <w:r>
        <w:rPr>
          <w:rFonts w:ascii="Arial" w:hAnsi="Times New Roman" w:eastAsia="宋体" w:cs="Arial"/>
          <w:sz w:val="24"/>
          <w:szCs w:val="24"/>
        </w:rPr>
        <w:t>一方违反本协议的任何条款，且该违约行为导致本协议的目的无法实现；</w:t>
      </w:r>
    </w:p>
    <w:p>
      <w:pPr>
        <w:widowControl w:val="0"/>
        <w:spacing w:line="360" w:lineRule="auto"/>
        <w:ind w:firstLine="600" w:firstLineChars="250"/>
        <w:jc w:val="both"/>
        <w:rPr>
          <w:rFonts w:ascii="Arial" w:hAnsi="Arial" w:eastAsia="宋体" w:cs="Arial"/>
          <w:kern w:val="2"/>
          <w:sz w:val="24"/>
          <w:szCs w:val="20"/>
          <w:lang w:val="en-US" w:eastAsia="zh-CN" w:bidi="ar-SA"/>
        </w:rPr>
      </w:pPr>
      <w:r>
        <w:rPr>
          <w:rFonts w:ascii="Arial" w:hAnsi="Arial" w:eastAsia="宋体" w:cs="Arial"/>
          <w:kern w:val="2"/>
          <w:sz w:val="24"/>
          <w:szCs w:val="20"/>
          <w:lang w:val="en-US" w:eastAsia="zh-CN" w:bidi="ar-SA"/>
        </w:rPr>
        <w:t>1</w:t>
      </w:r>
      <w:r>
        <w:rPr>
          <w:rFonts w:hint="eastAsia" w:ascii="Arial" w:hAnsi="Arial" w:eastAsia="宋体" w:cs="Arial"/>
          <w:kern w:val="2"/>
          <w:sz w:val="24"/>
          <w:szCs w:val="20"/>
          <w:lang w:val="en-US" w:eastAsia="zh-CN" w:bidi="ar-SA"/>
        </w:rPr>
        <w:t>4</w:t>
      </w:r>
      <w:r>
        <w:rPr>
          <w:rFonts w:ascii="Arial" w:hAnsi="Arial" w:eastAsia="宋体" w:cs="Arial"/>
          <w:kern w:val="2"/>
          <w:sz w:val="24"/>
          <w:szCs w:val="20"/>
          <w:lang w:val="en-US" w:eastAsia="zh-CN" w:bidi="ar-SA"/>
        </w:rPr>
        <w:t xml:space="preserve">.2.3 </w:t>
      </w:r>
      <w:r>
        <w:rPr>
          <w:rFonts w:ascii="Arial" w:hAnsi="Times New Roman" w:eastAsia="宋体" w:cs="Arial"/>
          <w:kern w:val="2"/>
          <w:sz w:val="24"/>
          <w:szCs w:val="20"/>
          <w:lang w:val="en-US" w:eastAsia="zh-CN" w:bidi="ar-SA"/>
        </w:rPr>
        <w:t>出现任何使一方的声明、保证和承诺在实质意义上不真实、不确定或者产生误导的事实或情况，且双方无法就此经协商达成一致</w:t>
      </w:r>
      <w:r>
        <w:rPr>
          <w:rFonts w:hint="eastAsia" w:ascii="Arial" w:hAnsi="Times New Roman" w:eastAsia="宋体" w:cs="Arial"/>
          <w:kern w:val="2"/>
          <w:sz w:val="24"/>
          <w:szCs w:val="20"/>
          <w:lang w:val="en-US" w:eastAsia="zh-CN" w:bidi="ar-SA"/>
        </w:rPr>
        <w:t>；</w:t>
      </w:r>
    </w:p>
    <w:p>
      <w:pPr>
        <w:spacing w:line="360" w:lineRule="auto"/>
        <w:ind w:firstLine="600" w:firstLineChars="250"/>
        <w:rPr>
          <w:rFonts w:ascii="Arial" w:hAnsi="Arial" w:eastAsia="宋体" w:cs="Arial"/>
          <w:sz w:val="24"/>
          <w:szCs w:val="20"/>
        </w:rPr>
      </w:pPr>
      <w:r>
        <w:rPr>
          <w:rFonts w:ascii="Arial" w:hAnsi="Arial" w:eastAsia="宋体" w:cs="Arial"/>
          <w:sz w:val="24"/>
          <w:szCs w:val="20"/>
        </w:rPr>
        <w:t>1</w:t>
      </w:r>
      <w:r>
        <w:rPr>
          <w:rFonts w:hint="eastAsia" w:ascii="Arial" w:hAnsi="Arial" w:eastAsia="宋体" w:cs="Arial"/>
          <w:sz w:val="24"/>
          <w:szCs w:val="20"/>
        </w:rPr>
        <w:t>4</w:t>
      </w:r>
      <w:r>
        <w:rPr>
          <w:rFonts w:ascii="Arial" w:hAnsi="Arial" w:eastAsia="宋体" w:cs="Arial"/>
          <w:sz w:val="24"/>
          <w:szCs w:val="20"/>
        </w:rPr>
        <w:t xml:space="preserve">.2.4 </w:t>
      </w:r>
      <w:r>
        <w:rPr>
          <w:rFonts w:ascii="Arial" w:hAnsi="Times New Roman" w:eastAsia="宋体" w:cs="Arial"/>
          <w:sz w:val="24"/>
          <w:szCs w:val="20"/>
        </w:rPr>
        <w:t>甲乙双方就本期公司债券的发行时间或发行利率无法经协商达成一致。</w:t>
      </w:r>
    </w:p>
    <w:p>
      <w:pPr>
        <w:spacing w:line="360" w:lineRule="auto"/>
        <w:rPr>
          <w:rFonts w:ascii="Arial" w:hAnsi="Times New Roman" w:eastAsia="宋体" w:cs="Arial"/>
          <w:sz w:val="24"/>
          <w:szCs w:val="20"/>
        </w:rPr>
      </w:pPr>
      <w:r>
        <w:rPr>
          <w:rFonts w:ascii="Arial" w:hAnsi="Times New Roman" w:eastAsia="宋体" w:cs="Arial"/>
          <w:sz w:val="24"/>
          <w:szCs w:val="20"/>
        </w:rPr>
        <w:t>上述情形下终止本协议的，甲方免于向乙方支付承销费用，但应按乙方已完成的工作量及发生费用支付补偿金，具体数额由双方另行协商确定。</w:t>
      </w:r>
    </w:p>
    <w:p>
      <w:pPr>
        <w:spacing w:line="360" w:lineRule="auto"/>
        <w:ind w:firstLine="480" w:firstLineChars="200"/>
        <w:rPr>
          <w:rFonts w:ascii="Arial" w:hAnsi="Arial" w:eastAsia="宋体" w:cs="Arial"/>
          <w:sz w:val="24"/>
          <w:szCs w:val="20"/>
        </w:rPr>
      </w:pPr>
      <w:r>
        <w:rPr>
          <w:rFonts w:hint="eastAsia" w:ascii="Arial" w:hAnsi="Arial" w:eastAsia="宋体" w:cs="Arial"/>
          <w:sz w:val="24"/>
          <w:szCs w:val="20"/>
        </w:rPr>
        <w:t>14.3  如果主管机关通过口头或书面的方式取消本期发行及交易流通，或者根据监管要求暂停本期发行及交易流通且未能在暂停之日起12个月内取消暂停状态的，主承销商协商一致有权向发行人发出书面通知，立即终止本协议。</w:t>
      </w:r>
    </w:p>
    <w:p>
      <w:pPr>
        <w:spacing w:line="360" w:lineRule="auto"/>
        <w:ind w:firstLine="480" w:firstLineChars="200"/>
        <w:rPr>
          <w:rFonts w:ascii="Arial" w:hAnsi="Arial" w:eastAsia="宋体" w:cs="Arial"/>
          <w:sz w:val="24"/>
          <w:szCs w:val="24"/>
        </w:rPr>
      </w:pPr>
      <w:r>
        <w:rPr>
          <w:rFonts w:ascii="Arial" w:hAnsi="Arial" w:eastAsia="宋体" w:cs="Arial"/>
          <w:sz w:val="24"/>
          <w:szCs w:val="20"/>
        </w:rPr>
        <w:t>1</w:t>
      </w:r>
      <w:r>
        <w:rPr>
          <w:rFonts w:hint="eastAsia" w:ascii="Arial" w:hAnsi="Arial" w:eastAsia="宋体" w:cs="Arial"/>
          <w:sz w:val="24"/>
          <w:szCs w:val="20"/>
        </w:rPr>
        <w:t>4</w:t>
      </w:r>
      <w:r>
        <w:rPr>
          <w:rFonts w:ascii="Arial" w:hAnsi="Arial" w:eastAsia="宋体" w:cs="Arial"/>
          <w:sz w:val="24"/>
          <w:szCs w:val="20"/>
        </w:rPr>
        <w:t>.</w:t>
      </w:r>
      <w:r>
        <w:rPr>
          <w:rFonts w:hint="eastAsia" w:ascii="Arial" w:hAnsi="Arial" w:eastAsia="宋体" w:cs="Arial"/>
          <w:sz w:val="24"/>
          <w:szCs w:val="20"/>
        </w:rPr>
        <w:t xml:space="preserve">4  </w:t>
      </w:r>
      <w:r>
        <w:rPr>
          <w:rFonts w:ascii="Arial" w:hAnsi="Times New Roman" w:eastAsia="宋体" w:cs="Arial"/>
          <w:sz w:val="24"/>
          <w:szCs w:val="24"/>
        </w:rPr>
        <w:t>本协议的终止并不影响：</w:t>
      </w:r>
    </w:p>
    <w:p>
      <w:pPr>
        <w:spacing w:line="360" w:lineRule="auto"/>
        <w:ind w:left="210" w:leftChars="100" w:firstLine="480" w:firstLineChars="200"/>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4</w:t>
      </w:r>
      <w:r>
        <w:rPr>
          <w:rFonts w:ascii="Arial" w:hAnsi="Arial" w:eastAsia="宋体" w:cs="Arial"/>
          <w:sz w:val="24"/>
          <w:szCs w:val="24"/>
        </w:rPr>
        <w:t>.</w:t>
      </w:r>
      <w:r>
        <w:rPr>
          <w:rFonts w:hint="eastAsia" w:ascii="Arial" w:hAnsi="Arial" w:eastAsia="宋体" w:cs="Arial"/>
          <w:sz w:val="24"/>
          <w:szCs w:val="24"/>
        </w:rPr>
        <w:t>4</w:t>
      </w:r>
      <w:r>
        <w:rPr>
          <w:rFonts w:ascii="Arial" w:hAnsi="Arial" w:eastAsia="宋体" w:cs="Arial"/>
          <w:sz w:val="24"/>
          <w:szCs w:val="24"/>
        </w:rPr>
        <w:t>.1 任何双方业已形成的权利或主张；</w:t>
      </w:r>
    </w:p>
    <w:p>
      <w:pPr>
        <w:spacing w:line="360" w:lineRule="auto"/>
        <w:ind w:left="210" w:leftChars="100" w:firstLine="480" w:firstLineChars="200"/>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4</w:t>
      </w:r>
      <w:r>
        <w:rPr>
          <w:rFonts w:ascii="Arial" w:hAnsi="Arial" w:eastAsia="宋体" w:cs="Arial"/>
          <w:sz w:val="24"/>
          <w:szCs w:val="24"/>
        </w:rPr>
        <w:t>.</w:t>
      </w:r>
      <w:r>
        <w:rPr>
          <w:rFonts w:hint="eastAsia" w:ascii="Arial" w:hAnsi="Arial" w:eastAsia="宋体" w:cs="Arial"/>
          <w:sz w:val="24"/>
          <w:szCs w:val="24"/>
        </w:rPr>
        <w:t>4</w:t>
      </w:r>
      <w:r>
        <w:rPr>
          <w:rFonts w:ascii="Arial" w:hAnsi="Arial" w:eastAsia="宋体" w:cs="Arial"/>
          <w:sz w:val="24"/>
          <w:szCs w:val="24"/>
        </w:rPr>
        <w:t>.2 各方依其在本协议中的声明、保证和承诺所需承担的责任</w:t>
      </w:r>
      <w:r>
        <w:rPr>
          <w:rFonts w:hint="eastAsia" w:ascii="Arial" w:hAnsi="Arial" w:eastAsia="宋体" w:cs="Arial"/>
          <w:sz w:val="24"/>
          <w:szCs w:val="24"/>
        </w:rPr>
        <w:t>。</w:t>
      </w:r>
    </w:p>
    <w:p>
      <w:pPr>
        <w:spacing w:line="360" w:lineRule="auto"/>
        <w:ind w:firstLine="480" w:firstLineChars="200"/>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4</w:t>
      </w:r>
      <w:r>
        <w:rPr>
          <w:rFonts w:ascii="Arial" w:hAnsi="Arial" w:eastAsia="宋体" w:cs="Arial"/>
          <w:sz w:val="24"/>
          <w:szCs w:val="24"/>
        </w:rPr>
        <w:t>.</w:t>
      </w:r>
      <w:r>
        <w:rPr>
          <w:rFonts w:hint="eastAsia" w:ascii="Arial" w:hAnsi="Arial" w:eastAsia="宋体" w:cs="Arial"/>
          <w:sz w:val="24"/>
          <w:szCs w:val="24"/>
        </w:rPr>
        <w:t xml:space="preserve">5  </w:t>
      </w:r>
      <w:r>
        <w:rPr>
          <w:rFonts w:ascii="Arial" w:hAnsi="Times New Roman" w:eastAsia="宋体" w:cs="Arial"/>
          <w:sz w:val="24"/>
          <w:szCs w:val="24"/>
        </w:rPr>
        <w:t>本协议终止后：</w:t>
      </w:r>
    </w:p>
    <w:p>
      <w:pPr>
        <w:spacing w:line="360" w:lineRule="auto"/>
        <w:ind w:firstLine="480" w:firstLineChars="200"/>
        <w:rPr>
          <w:rFonts w:ascii="Arial" w:hAnsi="Arial" w:eastAsia="宋体" w:cs="Arial"/>
          <w:sz w:val="24"/>
          <w:szCs w:val="24"/>
        </w:rPr>
      </w:pPr>
      <w:r>
        <w:rPr>
          <w:rFonts w:ascii="Arial" w:hAnsi="Times New Roman" w:eastAsia="宋体" w:cs="Arial"/>
          <w:sz w:val="24"/>
          <w:szCs w:val="24"/>
        </w:rPr>
        <w:t>除本协议终止之前因本协议履行已产生的权利、义务外，双方在本协议项下的权利和义务即行终止，各方不再享有本协议中的权利，亦不再承担本协议中的义务。</w:t>
      </w:r>
    </w:p>
    <w:p>
      <w:pPr>
        <w:spacing w:line="360" w:lineRule="auto"/>
        <w:ind w:firstLine="480" w:firstLineChars="200"/>
        <w:rPr>
          <w:rFonts w:ascii="Arial" w:hAnsi="Arial" w:eastAsia="宋体" w:cs="Arial"/>
          <w:sz w:val="24"/>
          <w:szCs w:val="24"/>
        </w:rPr>
      </w:pPr>
    </w:p>
    <w:p>
      <w:pPr>
        <w:spacing w:line="360" w:lineRule="auto"/>
        <w:jc w:val="center"/>
        <w:outlineLvl w:val="0"/>
        <w:rPr>
          <w:rFonts w:ascii="Arial" w:hAnsi="Arial" w:eastAsia="宋体" w:cs="Arial"/>
          <w:b/>
          <w:bCs/>
          <w:sz w:val="24"/>
          <w:szCs w:val="24"/>
        </w:rPr>
      </w:pPr>
      <w:r>
        <w:rPr>
          <w:rFonts w:ascii="Arial" w:hAnsi="Times New Roman" w:eastAsia="宋体" w:cs="Arial"/>
          <w:b/>
          <w:bCs/>
          <w:sz w:val="24"/>
          <w:szCs w:val="24"/>
        </w:rPr>
        <w:t>第十</w:t>
      </w:r>
      <w:r>
        <w:rPr>
          <w:rFonts w:hint="eastAsia" w:ascii="Arial" w:hAnsi="Times New Roman" w:eastAsia="宋体" w:cs="Arial"/>
          <w:b/>
          <w:bCs/>
          <w:sz w:val="24"/>
          <w:szCs w:val="24"/>
        </w:rPr>
        <w:t>五</w:t>
      </w:r>
      <w:r>
        <w:rPr>
          <w:rFonts w:ascii="Arial" w:hAnsi="Times New Roman" w:eastAsia="宋体" w:cs="Arial"/>
          <w:b/>
          <w:bCs/>
          <w:sz w:val="24"/>
          <w:szCs w:val="24"/>
        </w:rPr>
        <w:t>条</w:t>
      </w:r>
      <w:r>
        <w:rPr>
          <w:rFonts w:hint="eastAsia" w:ascii="Arial" w:hAnsi="Times New Roman" w:eastAsia="宋体" w:cs="Arial"/>
          <w:b/>
          <w:bCs/>
          <w:sz w:val="24"/>
          <w:szCs w:val="24"/>
        </w:rPr>
        <w:t xml:space="preserve">  </w:t>
      </w:r>
      <w:r>
        <w:rPr>
          <w:rFonts w:ascii="Arial" w:hAnsi="Times New Roman" w:eastAsia="宋体" w:cs="Arial"/>
          <w:b/>
          <w:bCs/>
          <w:sz w:val="24"/>
          <w:szCs w:val="24"/>
        </w:rPr>
        <w:t>违约责任与损害赔偿</w:t>
      </w:r>
    </w:p>
    <w:p>
      <w:pPr>
        <w:spacing w:line="360" w:lineRule="auto"/>
        <w:ind w:firstLine="480" w:firstLineChars="200"/>
        <w:rPr>
          <w:rFonts w:ascii="Arial" w:hAnsi="Times New Roman" w:eastAsia="宋体" w:cs="Arial"/>
          <w:sz w:val="24"/>
          <w:szCs w:val="24"/>
        </w:rPr>
      </w:pPr>
      <w:r>
        <w:rPr>
          <w:rFonts w:ascii="Arial" w:hAnsi="Arial" w:eastAsia="宋体" w:cs="Arial"/>
          <w:sz w:val="24"/>
          <w:szCs w:val="24"/>
        </w:rPr>
        <w:t>1</w:t>
      </w:r>
      <w:r>
        <w:rPr>
          <w:rFonts w:hint="eastAsia" w:ascii="Arial" w:hAnsi="Arial" w:eastAsia="宋体" w:cs="Arial"/>
          <w:sz w:val="24"/>
          <w:szCs w:val="24"/>
        </w:rPr>
        <w:t>5</w:t>
      </w:r>
      <w:r>
        <w:rPr>
          <w:rFonts w:ascii="Arial" w:hAnsi="Arial" w:eastAsia="宋体" w:cs="Arial"/>
          <w:sz w:val="24"/>
          <w:szCs w:val="24"/>
        </w:rPr>
        <w:t>.1</w:t>
      </w:r>
      <w:r>
        <w:rPr>
          <w:rFonts w:ascii="Arial" w:hAnsi="Times New Roman" w:eastAsia="宋体" w:cs="Arial"/>
          <w:sz w:val="24"/>
          <w:szCs w:val="24"/>
        </w:rPr>
        <w:t>若甲方违反本协议约定另行聘请其他公司或机构担任与乙方相同或类似角色的，则甲方仍应履行本协议，并应承担由此给乙方造成的一切损失。</w:t>
      </w:r>
    </w:p>
    <w:p>
      <w:pPr>
        <w:spacing w:line="360" w:lineRule="auto"/>
        <w:ind w:firstLine="480" w:firstLineChars="200"/>
        <w:rPr>
          <w:rFonts w:ascii="Arial" w:hAnsi="Arial" w:eastAsia="宋体" w:cs="Arial"/>
          <w:sz w:val="24"/>
          <w:szCs w:val="24"/>
        </w:rPr>
      </w:pPr>
      <w:r>
        <w:rPr>
          <w:rFonts w:hint="eastAsia" w:ascii="Arial" w:hAnsi="Times New Roman" w:eastAsia="宋体" w:cs="Arial"/>
          <w:sz w:val="24"/>
          <w:szCs w:val="24"/>
        </w:rPr>
        <w:t>15.</w:t>
      </w:r>
      <w:r>
        <w:rPr>
          <w:rFonts w:ascii="Arial" w:hAnsi="Times New Roman" w:eastAsia="宋体" w:cs="Arial"/>
          <w:sz w:val="24"/>
          <w:szCs w:val="24"/>
        </w:rPr>
        <w:t>2</w:t>
      </w:r>
      <w:r>
        <w:rPr>
          <w:rFonts w:hint="eastAsia" w:ascii="Arial" w:hAnsi="Arial" w:eastAsia="宋体" w:cs="Arial"/>
          <w:sz w:val="24"/>
          <w:szCs w:val="24"/>
        </w:rPr>
        <w:t>本协议任何一方的董事、监事、高级管理人员、雇员、代理人（合称“关联人士”）履行与本期债券有关的义务时，因过错而造成其他一方或多方损失的，该协议方应依法承担由此产生的一切责任。</w:t>
      </w:r>
    </w:p>
    <w:p>
      <w:pPr>
        <w:spacing w:line="360" w:lineRule="auto"/>
        <w:ind w:firstLine="480" w:firstLineChars="200"/>
        <w:rPr>
          <w:rFonts w:ascii="Arial" w:hAnsi="Times New Roman" w:eastAsia="宋体" w:cs="Arial"/>
          <w:sz w:val="24"/>
          <w:szCs w:val="24"/>
        </w:rPr>
      </w:pPr>
      <w:r>
        <w:rPr>
          <w:rFonts w:ascii="Arial" w:hAnsi="Arial" w:eastAsia="宋体" w:cs="Arial"/>
          <w:sz w:val="24"/>
          <w:szCs w:val="24"/>
        </w:rPr>
        <w:t>1</w:t>
      </w:r>
      <w:r>
        <w:rPr>
          <w:rFonts w:hint="eastAsia" w:ascii="Arial" w:hAnsi="Arial" w:eastAsia="宋体" w:cs="Arial"/>
          <w:sz w:val="24"/>
          <w:szCs w:val="24"/>
        </w:rPr>
        <w:t>5</w:t>
      </w:r>
      <w:r>
        <w:rPr>
          <w:rFonts w:ascii="Arial" w:hAnsi="Arial" w:eastAsia="宋体" w:cs="Arial"/>
          <w:sz w:val="24"/>
          <w:szCs w:val="24"/>
        </w:rPr>
        <w:t>.3</w:t>
      </w:r>
      <w:r>
        <w:rPr>
          <w:rFonts w:ascii="Arial" w:hAnsi="Times New Roman" w:eastAsia="宋体" w:cs="Arial"/>
          <w:sz w:val="24"/>
          <w:szCs w:val="24"/>
        </w:rPr>
        <w:t>若甲方违反其声明、保证和承诺或者不履行本协议中的其他义务，致使乙方或其董事、管理人员、职员、代理人被起诉、索赔、处罚或提出权利请求的，甲方将对乙方或其董事、管理人员、职员、代理人提供全面、充分、有效的赔偿，其中包括乙方就提出上述赔偿而产生的一切损失、费用和开支。但由于乙方的故意或重大过失而造成的损失除外。</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15.</w:t>
      </w:r>
      <w:r>
        <w:rPr>
          <w:rFonts w:ascii="Arial" w:hAnsi="Arial" w:eastAsia="宋体" w:cs="Arial"/>
          <w:sz w:val="24"/>
          <w:szCs w:val="24"/>
        </w:rPr>
        <w:t>4</w:t>
      </w:r>
      <w:r>
        <w:rPr>
          <w:rFonts w:hint="eastAsia" w:ascii="Arial" w:hAnsi="Arial" w:eastAsia="宋体" w:cs="Arial"/>
          <w:sz w:val="24"/>
          <w:szCs w:val="24"/>
        </w:rPr>
        <w:t>如果有关本期债券、本期发行及交易流通的文件、公告及其他任何信息披露中包含有或被指包含有任何虚假记载、误导性陈述或重大遗漏，发行人应对由此给承销商、承销商联合体及其各自的关联人士造成的损失或损害提供充分有效的赔偿。</w:t>
      </w:r>
    </w:p>
    <w:p>
      <w:pPr>
        <w:spacing w:line="360" w:lineRule="auto"/>
        <w:ind w:firstLine="480" w:firstLineChars="200"/>
        <w:rPr>
          <w:rFonts w:ascii="Arial" w:hAnsi="Times New Roman" w:eastAsia="宋体" w:cs="Arial"/>
          <w:sz w:val="24"/>
          <w:szCs w:val="24"/>
        </w:rPr>
      </w:pPr>
      <w:r>
        <w:rPr>
          <w:rFonts w:ascii="Arial" w:hAnsi="Arial" w:eastAsia="宋体" w:cs="Arial"/>
          <w:sz w:val="24"/>
          <w:szCs w:val="24"/>
        </w:rPr>
        <w:t>1</w:t>
      </w:r>
      <w:r>
        <w:rPr>
          <w:rFonts w:hint="eastAsia" w:ascii="Arial" w:hAnsi="Arial" w:eastAsia="宋体" w:cs="Arial"/>
          <w:sz w:val="24"/>
          <w:szCs w:val="24"/>
        </w:rPr>
        <w:t>5</w:t>
      </w:r>
      <w:r>
        <w:rPr>
          <w:rFonts w:ascii="Arial" w:hAnsi="Arial" w:eastAsia="宋体" w:cs="Arial"/>
          <w:sz w:val="24"/>
          <w:szCs w:val="24"/>
        </w:rPr>
        <w:t>.5</w:t>
      </w:r>
      <w:r>
        <w:rPr>
          <w:rFonts w:ascii="Arial" w:hAnsi="Times New Roman" w:eastAsia="宋体" w:cs="Arial"/>
          <w:sz w:val="24"/>
          <w:szCs w:val="24"/>
        </w:rPr>
        <w:t>若由于乙方的故意或重大过失，造成上报材料中出现与甲方提供的真实材料严重不符情况而给甲方造成损失的，乙方应对因此而导致甲方的一切损失、费用和开支承担全部的赔偿责任，其中包括甲方就提出上述赔偿而产生的一切损失、费用和开支。</w:t>
      </w:r>
    </w:p>
    <w:p>
      <w:pPr>
        <w:spacing w:line="360" w:lineRule="auto"/>
        <w:ind w:firstLine="480" w:firstLineChars="200"/>
        <w:rPr>
          <w:rFonts w:hint="eastAsia" w:ascii="Arial" w:hAnsi="Times New Roman" w:eastAsia="宋体" w:cs="Arial"/>
          <w:sz w:val="24"/>
          <w:szCs w:val="24"/>
        </w:rPr>
      </w:pPr>
      <w:r>
        <w:rPr>
          <w:rFonts w:hint="eastAsia" w:ascii="Arial" w:hAnsi="Times New Roman" w:eastAsia="宋体" w:cs="Arial"/>
          <w:sz w:val="24"/>
          <w:szCs w:val="24"/>
        </w:rPr>
        <w:t>15.6 每一主承销商在本协议下的义务各自独立，任一主承销商不应对其他主承销商的义务履行承担责任，且任一主承销商的违约或不履行或失责行为不构成其他主承销商的违约或不履行或失责行为。任一主承销商对于因其他承销商的违约行为、采取的行动或提出的意见而造成的任何损失、赔偿、损坏或债务，均不承担任何连带责任。</w:t>
      </w:r>
    </w:p>
    <w:p>
      <w:pPr>
        <w:spacing w:line="360" w:lineRule="auto"/>
        <w:rPr>
          <w:rFonts w:ascii="Arial" w:hAnsi="Arial" w:eastAsia="宋体" w:cs="Arial"/>
          <w:sz w:val="24"/>
          <w:szCs w:val="24"/>
        </w:rPr>
      </w:pPr>
    </w:p>
    <w:p>
      <w:pPr>
        <w:spacing w:line="360" w:lineRule="auto"/>
        <w:jc w:val="center"/>
        <w:rPr>
          <w:rFonts w:ascii="Arial" w:hAnsi="Arial" w:eastAsia="宋体" w:cs="Arial"/>
          <w:b/>
          <w:sz w:val="24"/>
          <w:szCs w:val="24"/>
        </w:rPr>
      </w:pPr>
      <w:r>
        <w:rPr>
          <w:rFonts w:hint="eastAsia" w:ascii="Arial" w:hAnsi="Arial" w:eastAsia="宋体" w:cs="Arial"/>
          <w:b/>
          <w:sz w:val="24"/>
          <w:szCs w:val="24"/>
        </w:rPr>
        <w:t>第十六条  通知及送达</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16.1  除非本协议另有约定，任何一方向本协议他方发出本协议约定的任何通知应以专人送达、传真、或特快邮递的方式发出。一切通知均应发往下列有关地址，除非一方向本协议他方发出书面通知更改该地址：</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发行人：湖南智谷投资发展集团有限公司</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联系人：【】</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联系地址：【】</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电话：【】</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传真：【】</w:t>
      </w:r>
    </w:p>
    <w:p>
      <w:pPr>
        <w:spacing w:line="360" w:lineRule="auto"/>
        <w:ind w:firstLine="480" w:firstLineChars="200"/>
        <w:rPr>
          <w:rFonts w:ascii="Arial" w:hAnsi="Arial" w:eastAsia="宋体" w:cs="Arial"/>
          <w:sz w:val="24"/>
          <w:szCs w:val="24"/>
        </w:rPr>
      </w:pP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牵头主承销商：【】</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联系人：【】</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联系地址：【】</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电话：【】</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传真：-</w:t>
      </w:r>
    </w:p>
    <w:p>
      <w:pPr>
        <w:spacing w:line="360" w:lineRule="auto"/>
        <w:ind w:firstLine="480" w:firstLineChars="200"/>
        <w:rPr>
          <w:rFonts w:ascii="Arial" w:hAnsi="Arial" w:eastAsia="宋体" w:cs="Arial"/>
          <w:sz w:val="24"/>
          <w:szCs w:val="24"/>
        </w:rPr>
      </w:pP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联席主承销商：【】</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联系人：【】</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联系地址：【】</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电话：【】</w:t>
      </w:r>
    </w:p>
    <w:p>
      <w:pPr>
        <w:spacing w:line="360" w:lineRule="auto"/>
        <w:ind w:firstLine="480" w:firstLineChars="200"/>
        <w:rPr>
          <w:rFonts w:hint="eastAsia" w:ascii="Arial" w:hAnsi="Arial" w:eastAsia="宋体" w:cs="Arial"/>
          <w:sz w:val="24"/>
          <w:szCs w:val="24"/>
        </w:rPr>
      </w:pPr>
      <w:r>
        <w:rPr>
          <w:rFonts w:hint="eastAsia" w:ascii="Arial" w:hAnsi="Arial" w:eastAsia="宋体" w:cs="Arial"/>
          <w:sz w:val="24"/>
          <w:szCs w:val="24"/>
        </w:rPr>
        <w:t>传真：-</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16.2  在本协议履行期间，任何一方的上述联系方式中的任何事项发生变化时，该方应在变化发生之日起三（3）日内通知另一方。如逾期未通知，则另一方依据本条约定向上述地址发出的通知应被视为已适当送达发生变化的一方。</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16.3  按照本条约定发出的任何通知，分别按下列日期视为已经送达：</w:t>
      </w:r>
    </w:p>
    <w:p>
      <w:pPr>
        <w:spacing w:line="360" w:lineRule="auto"/>
        <w:ind w:firstLine="566" w:firstLineChars="236"/>
        <w:rPr>
          <w:rFonts w:ascii="Arial" w:hAnsi="Arial" w:eastAsia="宋体" w:cs="Arial"/>
          <w:sz w:val="24"/>
          <w:szCs w:val="24"/>
        </w:rPr>
      </w:pPr>
      <w:r>
        <w:rPr>
          <w:rFonts w:hint="eastAsia" w:ascii="Arial" w:hAnsi="Arial" w:eastAsia="宋体" w:cs="Arial"/>
          <w:sz w:val="24"/>
          <w:szCs w:val="24"/>
        </w:rPr>
        <w:t>16.3.1 如由专人递送，为该专人递交之日；</w:t>
      </w:r>
    </w:p>
    <w:p>
      <w:pPr>
        <w:spacing w:line="360" w:lineRule="auto"/>
        <w:ind w:firstLine="566" w:firstLineChars="236"/>
        <w:rPr>
          <w:rFonts w:ascii="Arial" w:hAnsi="Arial" w:eastAsia="宋体" w:cs="Arial"/>
          <w:sz w:val="24"/>
          <w:szCs w:val="24"/>
        </w:rPr>
      </w:pPr>
      <w:r>
        <w:rPr>
          <w:rFonts w:hint="eastAsia" w:ascii="Arial" w:hAnsi="Arial" w:eastAsia="宋体" w:cs="Arial"/>
          <w:sz w:val="24"/>
          <w:szCs w:val="24"/>
        </w:rPr>
        <w:t>16.3.2 如经特快邮递传递，为向特快邮递公司交件后的第三日；</w:t>
      </w:r>
    </w:p>
    <w:p>
      <w:pPr>
        <w:spacing w:line="360" w:lineRule="auto"/>
        <w:ind w:firstLine="566" w:firstLineChars="236"/>
        <w:rPr>
          <w:rFonts w:ascii="Arial" w:hAnsi="Arial" w:eastAsia="宋体" w:cs="Arial"/>
          <w:sz w:val="24"/>
          <w:szCs w:val="24"/>
        </w:rPr>
      </w:pPr>
      <w:r>
        <w:rPr>
          <w:rFonts w:hint="eastAsia" w:ascii="Arial" w:hAnsi="Arial" w:eastAsia="宋体" w:cs="Arial"/>
          <w:sz w:val="24"/>
          <w:szCs w:val="24"/>
        </w:rPr>
        <w:t>16.3.3 如由传真传递，为确认传真已成功发送当日。</w:t>
      </w:r>
    </w:p>
    <w:p>
      <w:pPr>
        <w:spacing w:line="360" w:lineRule="auto"/>
        <w:rPr>
          <w:rFonts w:ascii="Arial" w:hAnsi="Arial" w:eastAsia="宋体" w:cs="Arial"/>
          <w:sz w:val="24"/>
          <w:szCs w:val="24"/>
        </w:rPr>
      </w:pPr>
    </w:p>
    <w:p>
      <w:pPr>
        <w:spacing w:line="360" w:lineRule="auto"/>
        <w:jc w:val="center"/>
        <w:outlineLvl w:val="0"/>
        <w:rPr>
          <w:rFonts w:ascii="Arial" w:hAnsi="Arial" w:eastAsia="宋体" w:cs="Arial"/>
          <w:b/>
          <w:bCs/>
          <w:sz w:val="24"/>
          <w:szCs w:val="24"/>
        </w:rPr>
      </w:pPr>
      <w:r>
        <w:rPr>
          <w:rFonts w:ascii="Arial" w:hAnsi="Times New Roman" w:eastAsia="宋体" w:cs="Arial"/>
          <w:b/>
          <w:bCs/>
          <w:sz w:val="24"/>
          <w:szCs w:val="24"/>
        </w:rPr>
        <w:t>第十</w:t>
      </w:r>
      <w:r>
        <w:rPr>
          <w:rFonts w:hint="eastAsia" w:ascii="Arial" w:hAnsi="Times New Roman" w:eastAsia="宋体" w:cs="Arial"/>
          <w:b/>
          <w:bCs/>
          <w:sz w:val="24"/>
          <w:szCs w:val="24"/>
        </w:rPr>
        <w:t>七</w:t>
      </w:r>
      <w:r>
        <w:rPr>
          <w:rFonts w:ascii="Arial" w:hAnsi="Times New Roman" w:eastAsia="宋体" w:cs="Arial"/>
          <w:b/>
          <w:bCs/>
          <w:sz w:val="24"/>
          <w:szCs w:val="24"/>
        </w:rPr>
        <w:t>条</w:t>
      </w:r>
      <w:r>
        <w:rPr>
          <w:rFonts w:hint="eastAsia" w:ascii="Arial" w:hAnsi="Times New Roman" w:eastAsia="宋体" w:cs="Arial"/>
          <w:b/>
          <w:bCs/>
          <w:sz w:val="24"/>
          <w:szCs w:val="24"/>
        </w:rPr>
        <w:t xml:space="preserve">  </w:t>
      </w:r>
      <w:r>
        <w:rPr>
          <w:rFonts w:ascii="Arial" w:hAnsi="Times New Roman" w:eastAsia="宋体" w:cs="Arial"/>
          <w:b/>
          <w:bCs/>
          <w:sz w:val="24"/>
          <w:szCs w:val="24"/>
        </w:rPr>
        <w:t>保密</w:t>
      </w:r>
    </w:p>
    <w:p>
      <w:pPr>
        <w:spacing w:line="360" w:lineRule="auto"/>
        <w:ind w:firstLine="480"/>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 xml:space="preserve">.1  </w:t>
      </w:r>
      <w:r>
        <w:rPr>
          <w:rFonts w:ascii="Arial" w:hAnsi="Times New Roman" w:eastAsia="宋体" w:cs="Arial"/>
          <w:sz w:val="24"/>
          <w:szCs w:val="24"/>
        </w:rPr>
        <w:t>本协议各方对于因签署和履行本协议而获得的以下信息，均应严格保密：</w:t>
      </w:r>
    </w:p>
    <w:p>
      <w:pPr>
        <w:spacing w:line="360" w:lineRule="auto"/>
        <w:ind w:firstLine="566" w:firstLineChars="236"/>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 xml:space="preserve">.1.1 </w:t>
      </w:r>
      <w:r>
        <w:rPr>
          <w:rFonts w:ascii="Arial" w:hAnsi="Times New Roman" w:eastAsia="宋体" w:cs="Arial"/>
          <w:sz w:val="24"/>
          <w:szCs w:val="24"/>
        </w:rPr>
        <w:t>本协议的各项条款；</w:t>
      </w:r>
    </w:p>
    <w:p>
      <w:pPr>
        <w:spacing w:line="360" w:lineRule="auto"/>
        <w:ind w:firstLine="566" w:firstLineChars="236"/>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 xml:space="preserve">.1.2 </w:t>
      </w:r>
      <w:r>
        <w:rPr>
          <w:rFonts w:ascii="Arial" w:hAnsi="Times New Roman" w:eastAsia="宋体" w:cs="Arial"/>
          <w:sz w:val="24"/>
          <w:szCs w:val="24"/>
        </w:rPr>
        <w:t>有关本协议的谈判；</w:t>
      </w:r>
    </w:p>
    <w:p>
      <w:pPr>
        <w:spacing w:line="360" w:lineRule="auto"/>
        <w:ind w:firstLine="566" w:firstLineChars="236"/>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 xml:space="preserve">.1.3 </w:t>
      </w:r>
      <w:r>
        <w:rPr>
          <w:rFonts w:ascii="Arial" w:hAnsi="Times New Roman" w:eastAsia="宋体" w:cs="Arial"/>
          <w:sz w:val="24"/>
          <w:szCs w:val="24"/>
        </w:rPr>
        <w:t>本协议的标的；</w:t>
      </w:r>
    </w:p>
    <w:p>
      <w:pPr>
        <w:spacing w:line="360" w:lineRule="auto"/>
        <w:ind w:firstLine="566" w:firstLineChars="236"/>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 xml:space="preserve">.1.4 </w:t>
      </w:r>
      <w:r>
        <w:rPr>
          <w:rFonts w:ascii="Arial" w:hAnsi="Times New Roman" w:eastAsia="宋体" w:cs="Arial"/>
          <w:sz w:val="24"/>
          <w:szCs w:val="24"/>
        </w:rPr>
        <w:t>各方的商业秘密。</w:t>
      </w:r>
    </w:p>
    <w:p>
      <w:pPr>
        <w:spacing w:line="360" w:lineRule="auto"/>
        <w:ind w:firstLine="480"/>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 xml:space="preserve">.2  </w:t>
      </w:r>
      <w:r>
        <w:rPr>
          <w:rFonts w:ascii="Arial" w:hAnsi="Times New Roman" w:eastAsia="宋体" w:cs="Arial"/>
          <w:sz w:val="24"/>
          <w:szCs w:val="24"/>
        </w:rPr>
        <w:t>仅在下列情况下，本协议各方才可以披露上述信息，否则，任何一方不得在任何场所、任何情况以任何方式公开任何上述信息：</w:t>
      </w:r>
    </w:p>
    <w:p>
      <w:pPr>
        <w:spacing w:line="360" w:lineRule="auto"/>
        <w:ind w:firstLine="566" w:firstLineChars="236"/>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 xml:space="preserve">.2.1 </w:t>
      </w:r>
      <w:r>
        <w:rPr>
          <w:rFonts w:hint="eastAsia" w:ascii="Arial" w:hAnsi="Times New Roman" w:eastAsia="宋体" w:cs="Arial"/>
          <w:sz w:val="24"/>
          <w:szCs w:val="24"/>
        </w:rPr>
        <w:t>法律、法规和规则</w:t>
      </w:r>
      <w:r>
        <w:rPr>
          <w:rFonts w:ascii="Arial" w:hAnsi="Times New Roman" w:eastAsia="宋体" w:cs="Arial"/>
          <w:sz w:val="24"/>
          <w:szCs w:val="24"/>
        </w:rPr>
        <w:t>要求；</w:t>
      </w:r>
    </w:p>
    <w:p>
      <w:pPr>
        <w:spacing w:line="360" w:lineRule="auto"/>
        <w:ind w:firstLine="566" w:firstLineChars="236"/>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 xml:space="preserve">.2.2 </w:t>
      </w:r>
      <w:r>
        <w:rPr>
          <w:rFonts w:ascii="Arial" w:hAnsi="Times New Roman" w:eastAsia="宋体" w:cs="Arial"/>
          <w:sz w:val="24"/>
          <w:szCs w:val="24"/>
        </w:rPr>
        <w:t>任何有管辖权的政府机关、监管机构或证券交易所的要求；</w:t>
      </w:r>
    </w:p>
    <w:p>
      <w:pPr>
        <w:spacing w:line="360" w:lineRule="auto"/>
        <w:ind w:firstLine="566" w:firstLineChars="236"/>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.2.3 向该方参与本期债券发行工作的专业顾问、审计师和律师披露；</w:t>
      </w:r>
    </w:p>
    <w:p>
      <w:pPr>
        <w:spacing w:line="360" w:lineRule="auto"/>
        <w:ind w:firstLine="566" w:firstLineChars="236"/>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.2.4 资料已被公开，但不是由于对方的过错；</w:t>
      </w:r>
    </w:p>
    <w:p>
      <w:pPr>
        <w:spacing w:line="360" w:lineRule="auto"/>
        <w:ind w:firstLine="566" w:firstLineChars="236"/>
        <w:rPr>
          <w:rFonts w:ascii="Arial" w:hAnsi="Arial" w:eastAsia="宋体" w:cs="Arial"/>
          <w:sz w:val="24"/>
          <w:szCs w:val="24"/>
        </w:rPr>
      </w:pPr>
      <w:r>
        <w:rPr>
          <w:rFonts w:hint="eastAsia" w:ascii="Arial" w:hAnsi="Arial" w:eastAsia="宋体" w:cs="Arial"/>
          <w:sz w:val="24"/>
          <w:szCs w:val="24"/>
        </w:rPr>
        <w:t>17.2.5 披露方向接收方披露保密信息之时，保密信息已以合法方式被接收方知悉；</w:t>
      </w:r>
    </w:p>
    <w:p>
      <w:pPr>
        <w:spacing w:line="360" w:lineRule="auto"/>
        <w:ind w:firstLine="566" w:firstLineChars="236"/>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7</w:t>
      </w:r>
      <w:r>
        <w:rPr>
          <w:rFonts w:ascii="Arial" w:hAnsi="Arial" w:eastAsia="宋体" w:cs="Arial"/>
          <w:sz w:val="24"/>
          <w:szCs w:val="24"/>
        </w:rPr>
        <w:t>.2.</w:t>
      </w:r>
      <w:r>
        <w:rPr>
          <w:rFonts w:hint="eastAsia" w:ascii="Arial" w:hAnsi="Arial" w:eastAsia="宋体" w:cs="Arial"/>
          <w:sz w:val="24"/>
          <w:szCs w:val="24"/>
        </w:rPr>
        <w:t>6</w:t>
      </w:r>
      <w:r>
        <w:rPr>
          <w:rFonts w:ascii="Arial" w:hAnsi="Arial" w:eastAsia="宋体" w:cs="Arial"/>
          <w:sz w:val="24"/>
          <w:szCs w:val="24"/>
        </w:rPr>
        <w:t>各方事先给予书面同意。</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17.3  主承销商在本条项下的保密义务自：</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本协议生效之日起至本期债券完成所有额度发行时终止。</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17.4  主承销商向发行人提供的与本协议有关的书面或口头建议(包括任何意见或报告)，或者主承销商和发行人之间与承销工作有关的任何交流，应仅能由发行人所使用，未经主承销商事先书面同意，不得为任何第三方所使用，亦不得向任何第三方透露(发行人所聘请的专业顾问除外，但该等顾问不得依赖该等建议或交流行事)。</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17.5  各方如另行签有保密协议，与本协议不一致的，以本协议为准。</w:t>
      </w:r>
    </w:p>
    <w:p>
      <w:pPr>
        <w:spacing w:line="360" w:lineRule="auto"/>
        <w:ind w:firstLine="480" w:firstLineChars="200"/>
        <w:rPr>
          <w:rFonts w:ascii="Arial" w:hAnsi="Arial" w:eastAsia="宋体" w:cs="Arial"/>
          <w:sz w:val="24"/>
          <w:szCs w:val="24"/>
        </w:rPr>
      </w:pPr>
    </w:p>
    <w:p>
      <w:pPr>
        <w:spacing w:line="360" w:lineRule="auto"/>
        <w:jc w:val="center"/>
        <w:rPr>
          <w:rFonts w:ascii="Arial" w:hAnsi="Arial" w:eastAsia="宋体" w:cs="Arial"/>
          <w:b/>
          <w:sz w:val="24"/>
          <w:szCs w:val="24"/>
        </w:rPr>
      </w:pPr>
      <w:r>
        <w:rPr>
          <w:rFonts w:hint="eastAsia" w:ascii="Arial" w:hAnsi="Arial" w:eastAsia="宋体" w:cs="Arial"/>
          <w:b/>
          <w:sz w:val="24"/>
          <w:szCs w:val="24"/>
        </w:rPr>
        <w:t>第十八条  利益冲突</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18.1  发行人确认，在承销商联合体通过自营或作为代理人在全球范围内广泛参与证券业务活动（包括投资顾问、资产管理、研究、证券发行、自营交易和经纪活动）的情况下，由此可能产生利益或职责冲突，因此承销商在本协议项下的职责可能会与承销商联合体的其他成员的职责或利益产生冲突。</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18.2  发行人确认，尽管存在或可能发生利益冲突，如承销商从事以下服务、交易或行为时不利用发行人的保密信息，则承销商有权从事该等服务、交易或行为，发行人同意豁免承销商联合体因此等利益冲突而导致的所有责任，并且承销商联合体为其自身利益有权保留任何相关报酬或收益：</w:t>
      </w:r>
    </w:p>
    <w:p>
      <w:pPr>
        <w:spacing w:line="360" w:lineRule="auto"/>
        <w:ind w:firstLine="566" w:firstLineChars="236"/>
        <w:rPr>
          <w:rFonts w:ascii="Arial" w:hAnsi="Arial" w:eastAsia="宋体" w:cs="Arial"/>
          <w:sz w:val="24"/>
          <w:szCs w:val="24"/>
        </w:rPr>
      </w:pPr>
      <w:r>
        <w:rPr>
          <w:rFonts w:hint="eastAsia" w:ascii="Arial" w:hAnsi="Arial" w:eastAsia="宋体" w:cs="Arial"/>
          <w:sz w:val="24"/>
          <w:szCs w:val="24"/>
        </w:rPr>
        <w:t>18.2.1 以自营或其他方式从事与发行人或第三方有关的任何交易；</w:t>
      </w:r>
    </w:p>
    <w:p>
      <w:pPr>
        <w:spacing w:line="360" w:lineRule="auto"/>
        <w:ind w:firstLine="566" w:firstLineChars="236"/>
        <w:rPr>
          <w:rFonts w:ascii="Arial" w:hAnsi="Arial" w:eastAsia="宋体" w:cs="Arial"/>
          <w:sz w:val="24"/>
          <w:szCs w:val="24"/>
        </w:rPr>
      </w:pPr>
      <w:r>
        <w:rPr>
          <w:rFonts w:hint="eastAsia" w:ascii="Arial" w:hAnsi="Arial" w:eastAsia="宋体" w:cs="Arial"/>
          <w:sz w:val="24"/>
          <w:szCs w:val="24"/>
        </w:rPr>
        <w:t>18.2.2 就任何事宜为其自身或第三方行事。</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18.3  主承销商确保：</w:t>
      </w:r>
    </w:p>
    <w:p>
      <w:pPr>
        <w:spacing w:line="360" w:lineRule="auto"/>
        <w:ind w:firstLine="566" w:firstLineChars="236"/>
        <w:rPr>
          <w:rFonts w:ascii="Arial" w:hAnsi="Arial" w:eastAsia="宋体" w:cs="Arial"/>
          <w:sz w:val="24"/>
          <w:szCs w:val="24"/>
        </w:rPr>
      </w:pPr>
      <w:r>
        <w:rPr>
          <w:rFonts w:hint="eastAsia" w:ascii="Arial" w:hAnsi="Arial" w:eastAsia="宋体" w:cs="Arial"/>
          <w:sz w:val="24"/>
          <w:szCs w:val="24"/>
        </w:rPr>
        <w:t>18.3.1 建立健全内部信息隔离墙制度；</w:t>
      </w:r>
    </w:p>
    <w:p>
      <w:pPr>
        <w:spacing w:line="360" w:lineRule="auto"/>
        <w:ind w:firstLine="566" w:firstLineChars="236"/>
        <w:rPr>
          <w:rFonts w:ascii="Arial" w:hAnsi="Arial" w:eastAsia="宋体" w:cs="Arial"/>
          <w:sz w:val="24"/>
          <w:szCs w:val="24"/>
        </w:rPr>
      </w:pPr>
      <w:r>
        <w:rPr>
          <w:rFonts w:hint="eastAsia" w:ascii="Arial" w:hAnsi="Arial" w:eastAsia="宋体" w:cs="Arial"/>
          <w:sz w:val="24"/>
          <w:szCs w:val="24"/>
        </w:rPr>
        <w:t>18.3.2 主承销商不会将发行人的任何保密信息披露或提供给任何其他客户。</w:t>
      </w:r>
    </w:p>
    <w:p>
      <w:pPr>
        <w:spacing w:line="360" w:lineRule="auto"/>
        <w:ind w:firstLine="480" w:firstLineChars="200"/>
        <w:rPr>
          <w:rFonts w:ascii="Arial" w:hAnsi="Arial" w:eastAsia="宋体" w:cs="Arial"/>
          <w:sz w:val="24"/>
          <w:szCs w:val="24"/>
        </w:rPr>
      </w:pPr>
    </w:p>
    <w:p>
      <w:pPr>
        <w:spacing w:line="360" w:lineRule="auto"/>
        <w:jc w:val="center"/>
        <w:rPr>
          <w:rFonts w:ascii="Arial" w:hAnsi="Arial" w:eastAsia="宋体" w:cs="Arial"/>
          <w:b/>
          <w:sz w:val="24"/>
          <w:szCs w:val="24"/>
        </w:rPr>
      </w:pPr>
      <w:r>
        <w:rPr>
          <w:rFonts w:ascii="Arial" w:hAnsi="Arial" w:eastAsia="宋体" w:cs="Arial"/>
          <w:b/>
          <w:sz w:val="24"/>
          <w:szCs w:val="24"/>
        </w:rPr>
        <w:t>第十</w:t>
      </w:r>
      <w:r>
        <w:rPr>
          <w:rFonts w:hint="eastAsia" w:ascii="Arial" w:hAnsi="Arial" w:eastAsia="宋体" w:cs="Arial"/>
          <w:b/>
          <w:sz w:val="24"/>
          <w:szCs w:val="24"/>
        </w:rPr>
        <w:t>九</w:t>
      </w:r>
      <w:r>
        <w:rPr>
          <w:rFonts w:ascii="Arial" w:hAnsi="Arial" w:eastAsia="宋体" w:cs="Arial"/>
          <w:b/>
          <w:sz w:val="24"/>
          <w:szCs w:val="24"/>
        </w:rPr>
        <w:t>条</w:t>
      </w:r>
      <w:r>
        <w:rPr>
          <w:rFonts w:hint="eastAsia" w:ascii="Arial" w:hAnsi="Arial" w:eastAsia="宋体" w:cs="Arial"/>
          <w:b/>
          <w:sz w:val="24"/>
          <w:szCs w:val="24"/>
        </w:rPr>
        <w:t xml:space="preserve">  争议的解决</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19.1  本协议受中华人民共和国（为本协议之目的，不包括香港特别行政区、澳门特别行政区和台湾地区）法律（不包括冲突法规则）管辖并按其解释。</w:t>
      </w:r>
    </w:p>
    <w:p>
      <w:pPr>
        <w:spacing w:line="360" w:lineRule="auto"/>
        <w:ind w:firstLine="480" w:firstLineChars="200"/>
        <w:rPr>
          <w:rFonts w:ascii="Arial" w:hAnsi="Arial" w:eastAsia="宋体" w:cs="Arial"/>
          <w:sz w:val="24"/>
          <w:szCs w:val="24"/>
        </w:rPr>
      </w:pPr>
      <w:r>
        <w:rPr>
          <w:rFonts w:ascii="Arial" w:hAnsi="Arial" w:eastAsia="宋体" w:cs="Arial"/>
          <w:sz w:val="24"/>
          <w:szCs w:val="24"/>
        </w:rPr>
        <w:t>1</w:t>
      </w:r>
      <w:r>
        <w:rPr>
          <w:rFonts w:hint="eastAsia" w:ascii="Arial" w:hAnsi="Arial" w:eastAsia="宋体" w:cs="Arial"/>
          <w:sz w:val="24"/>
          <w:szCs w:val="24"/>
        </w:rPr>
        <w:t>9</w:t>
      </w:r>
      <w:r>
        <w:rPr>
          <w:rFonts w:ascii="Arial" w:hAnsi="Arial" w:eastAsia="宋体" w:cs="Arial"/>
          <w:sz w:val="24"/>
          <w:szCs w:val="24"/>
        </w:rPr>
        <w:t>.</w:t>
      </w:r>
      <w:r>
        <w:rPr>
          <w:rFonts w:hint="eastAsia" w:ascii="Arial" w:hAnsi="Arial" w:eastAsia="宋体" w:cs="Arial"/>
          <w:sz w:val="24"/>
          <w:szCs w:val="24"/>
        </w:rPr>
        <w:t xml:space="preserve">2  </w:t>
      </w:r>
      <w:r>
        <w:rPr>
          <w:rFonts w:ascii="Arial" w:hAnsi="Arial" w:eastAsia="宋体" w:cs="Arial"/>
          <w:sz w:val="24"/>
          <w:szCs w:val="24"/>
        </w:rPr>
        <w:t>当事人对本协议条款理解有争议的，应当按照协议所使用的词句、协议的相关条款、协议的目的、交易习惯以及诚实信用原则，确定该条款的真实意思。</w:t>
      </w:r>
    </w:p>
    <w:p>
      <w:pPr>
        <w:spacing w:line="360" w:lineRule="auto"/>
        <w:ind w:firstLine="480"/>
        <w:rPr>
          <w:rFonts w:ascii="Arial" w:hAnsi="Arial" w:eastAsia="宋体" w:cs="Arial"/>
          <w:kern w:val="0"/>
          <w:sz w:val="24"/>
          <w:szCs w:val="24"/>
        </w:rPr>
      </w:pPr>
      <w:r>
        <w:rPr>
          <w:rFonts w:ascii="Arial" w:hAnsi="Arial" w:eastAsia="宋体" w:cs="Arial"/>
          <w:sz w:val="24"/>
          <w:szCs w:val="24"/>
        </w:rPr>
        <w:t>1</w:t>
      </w:r>
      <w:r>
        <w:rPr>
          <w:rFonts w:hint="eastAsia" w:ascii="Arial" w:hAnsi="Arial" w:eastAsia="宋体" w:cs="Arial"/>
          <w:sz w:val="24"/>
          <w:szCs w:val="24"/>
        </w:rPr>
        <w:t>9</w:t>
      </w:r>
      <w:r>
        <w:rPr>
          <w:rFonts w:ascii="Arial" w:hAnsi="Arial" w:eastAsia="宋体" w:cs="Arial"/>
          <w:sz w:val="24"/>
          <w:szCs w:val="24"/>
        </w:rPr>
        <w:t>.</w:t>
      </w:r>
      <w:r>
        <w:rPr>
          <w:rFonts w:hint="eastAsia" w:ascii="Arial" w:hAnsi="Arial" w:eastAsia="宋体" w:cs="Arial"/>
          <w:sz w:val="24"/>
          <w:szCs w:val="24"/>
        </w:rPr>
        <w:t xml:space="preserve">3  </w:t>
      </w:r>
      <w:r>
        <w:rPr>
          <w:rFonts w:ascii="Arial" w:hAnsi="Arial" w:eastAsia="宋体" w:cs="Arial"/>
          <w:color w:val="000000"/>
          <w:sz w:val="24"/>
          <w:szCs w:val="24"/>
        </w:rPr>
        <w:t>因履行本协议而产生的或与本协议有关的任何争议、分歧或索赔，</w:t>
      </w:r>
      <w:r>
        <w:rPr>
          <w:rFonts w:ascii="Arial" w:hAnsi="Arial" w:eastAsia="宋体" w:cs="Arial"/>
          <w:sz w:val="24"/>
          <w:szCs w:val="24"/>
        </w:rPr>
        <w:t>甲、乙双方应本着平等互利原则，通过友好协商解决；协商不能达成一致意见的，</w:t>
      </w:r>
      <w:r>
        <w:rPr>
          <w:rFonts w:hint="eastAsia" w:ascii="Arial" w:hAnsi="Arial" w:eastAsia="宋体" w:cs="Arial"/>
          <w:sz w:val="24"/>
          <w:szCs w:val="24"/>
        </w:rPr>
        <w:t>应在原告住所所在地有管辖权的人民法院通过诉讼解决</w:t>
      </w:r>
      <w:r>
        <w:rPr>
          <w:rFonts w:hint="eastAsia" w:ascii="Arial" w:hAnsi="Arial" w:eastAsia="宋体" w:cs="Arial"/>
          <w:kern w:val="0"/>
          <w:sz w:val="24"/>
          <w:szCs w:val="24"/>
        </w:rPr>
        <w:t>。</w:t>
      </w:r>
    </w:p>
    <w:p>
      <w:pPr>
        <w:spacing w:line="360" w:lineRule="auto"/>
        <w:ind w:firstLine="480"/>
        <w:rPr>
          <w:rFonts w:ascii="Arial" w:hAnsi="Arial" w:eastAsia="宋体" w:cs="Arial"/>
          <w:sz w:val="24"/>
          <w:szCs w:val="24"/>
        </w:rPr>
      </w:pPr>
      <w:r>
        <w:rPr>
          <w:rFonts w:hint="eastAsia" w:ascii="Arial" w:hAnsi="Arial" w:eastAsia="宋体" w:cs="Arial"/>
          <w:sz w:val="24"/>
          <w:szCs w:val="24"/>
        </w:rPr>
        <w:t>19.4  当产生任何争议及任何争议正按前款约定进行解决时，本协议其他条款的效力不受影响，除争议事项外，各方有权继续行使本协议项下的其他权利，并应履行本协议项下的其他义务。</w:t>
      </w:r>
    </w:p>
    <w:p>
      <w:pPr>
        <w:spacing w:line="360" w:lineRule="auto"/>
        <w:ind w:firstLine="480"/>
        <w:rPr>
          <w:rFonts w:ascii="Arial" w:hAnsi="Arial" w:eastAsia="宋体" w:cs="Arial"/>
          <w:sz w:val="24"/>
          <w:szCs w:val="24"/>
        </w:rPr>
      </w:pPr>
    </w:p>
    <w:p>
      <w:pPr>
        <w:spacing w:line="360" w:lineRule="auto"/>
        <w:jc w:val="center"/>
        <w:outlineLvl w:val="0"/>
        <w:rPr>
          <w:rFonts w:ascii="Arial" w:hAnsi="Arial" w:eastAsia="宋体" w:cs="Arial"/>
          <w:b/>
          <w:bCs/>
          <w:sz w:val="24"/>
          <w:szCs w:val="24"/>
        </w:rPr>
      </w:pPr>
      <w:r>
        <w:rPr>
          <w:rFonts w:ascii="Arial" w:hAnsi="Arial" w:eastAsia="宋体" w:cs="Arial"/>
          <w:b/>
          <w:bCs/>
          <w:sz w:val="24"/>
          <w:szCs w:val="24"/>
        </w:rPr>
        <w:t>第二十条</w:t>
      </w:r>
      <w:r>
        <w:rPr>
          <w:rFonts w:hint="eastAsia" w:ascii="Arial" w:hAnsi="Arial" w:eastAsia="宋体" w:cs="Arial"/>
          <w:b/>
          <w:bCs/>
          <w:sz w:val="24"/>
          <w:szCs w:val="24"/>
        </w:rPr>
        <w:t xml:space="preserve">  </w:t>
      </w:r>
      <w:r>
        <w:rPr>
          <w:rFonts w:ascii="Arial" w:hAnsi="Arial" w:eastAsia="宋体" w:cs="Arial"/>
          <w:b/>
          <w:bCs/>
          <w:sz w:val="24"/>
          <w:szCs w:val="24"/>
        </w:rPr>
        <w:t>文本和效力</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20</w:t>
      </w:r>
      <w:r>
        <w:rPr>
          <w:rFonts w:ascii="Arial" w:hAnsi="Arial" w:eastAsia="宋体" w:cs="Arial"/>
          <w:sz w:val="24"/>
          <w:szCs w:val="24"/>
        </w:rPr>
        <w:t>.1  本协议由各方法定代表人或其授权代表签署并加盖公章后正式生效。</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对本协议任何条款的修改或放弃，及放弃追究本协议项下的任何违约行为，必须以书面方式作出，并由各方法定代表人或其授权代表签字并加盖公章或合同专用章后生效。</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20.2  本协议中如有一项或多项条款在任何方面根据任何适用法律是不合法、无效或不可执行的，且不影响到本协议整体效力的，本协议的其他条款仍应完全有效并应被执行。</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20.3  本协议任何一方未行使或延迟行使本协议项下的任何权利或救济并不构成对该项权利的放弃，任何权利的放弃必须以书面形式正式做出。</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20.4  本协议构成发行人和主承销商的全部权利和义务，并且取代以前有关本期发行及交易流通的任何意向或协议；发行人与主承销商可以就本协议之事项签订进一步的书面补充协议，补充协议与本协议构成不可分割的整体，具有同等法律效力。</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20.5  发行人同意，主承销商有权在将来相关业务推介活动及宣传材料中合理展示发行人的名称、商标或服务标记，主承销商承诺对发行人名称、商标或服务标记的展示不得侵犯发行人对其名称、商标或服务标记享有的任何权利。</w:t>
      </w:r>
    </w:p>
    <w:p>
      <w:pPr>
        <w:spacing w:line="360" w:lineRule="auto"/>
        <w:ind w:firstLine="480" w:firstLineChars="200"/>
        <w:rPr>
          <w:rFonts w:ascii="Arial" w:hAnsi="Arial" w:eastAsia="宋体" w:cs="Arial"/>
          <w:kern w:val="0"/>
          <w:sz w:val="24"/>
          <w:szCs w:val="24"/>
        </w:rPr>
      </w:pPr>
      <w:r>
        <w:rPr>
          <w:rFonts w:hint="eastAsia" w:ascii="Arial" w:hAnsi="Arial" w:eastAsia="宋体" w:cs="Arial"/>
          <w:sz w:val="24"/>
          <w:szCs w:val="24"/>
        </w:rPr>
        <w:t xml:space="preserve">20.6  </w:t>
      </w:r>
      <w:r>
        <w:rPr>
          <w:rFonts w:hint="eastAsia" w:ascii="Arial" w:hAnsi="Arial" w:eastAsia="宋体" w:cs="Arial"/>
          <w:kern w:val="0"/>
          <w:sz w:val="24"/>
          <w:szCs w:val="24"/>
        </w:rPr>
        <w:t>如本协议条款不符合现行或将来法律、法规和规则要求的，各方应当以现行或将来法律、法规和规则规定为准，行使权利履行义务。</w:t>
      </w:r>
    </w:p>
    <w:p>
      <w:pPr>
        <w:spacing w:line="360" w:lineRule="auto"/>
        <w:ind w:firstLine="480" w:firstLineChars="200"/>
        <w:rPr>
          <w:rFonts w:ascii="Arial" w:hAnsi="Arial" w:eastAsia="宋体" w:cs="Arial"/>
          <w:sz w:val="24"/>
          <w:szCs w:val="24"/>
        </w:rPr>
      </w:pPr>
      <w:r>
        <w:rPr>
          <w:rFonts w:hint="eastAsia" w:ascii="Arial" w:hAnsi="Arial" w:eastAsia="宋体" w:cs="Arial"/>
          <w:kern w:val="0"/>
          <w:sz w:val="24"/>
          <w:szCs w:val="24"/>
        </w:rPr>
        <w:t>20.7  本协议所称的“以上”包括本数；所称的“超过”不包括本数。</w:t>
      </w:r>
    </w:p>
    <w:p>
      <w:pPr>
        <w:spacing w:line="360" w:lineRule="auto"/>
        <w:ind w:firstLine="480" w:firstLineChars="200"/>
        <w:rPr>
          <w:rFonts w:ascii="Arial" w:hAnsi="Arial" w:eastAsia="宋体" w:cs="Arial"/>
          <w:sz w:val="24"/>
          <w:szCs w:val="24"/>
        </w:rPr>
      </w:pPr>
      <w:r>
        <w:rPr>
          <w:rFonts w:hint="eastAsia" w:ascii="Arial" w:hAnsi="Arial" w:eastAsia="宋体" w:cs="Arial"/>
          <w:sz w:val="24"/>
          <w:szCs w:val="24"/>
        </w:rPr>
        <w:t>20</w:t>
      </w:r>
      <w:r>
        <w:rPr>
          <w:rFonts w:ascii="Arial" w:hAnsi="Arial" w:eastAsia="宋体" w:cs="Arial"/>
          <w:sz w:val="24"/>
          <w:szCs w:val="24"/>
        </w:rPr>
        <w:t>.</w:t>
      </w:r>
      <w:r>
        <w:rPr>
          <w:rFonts w:hint="eastAsia" w:ascii="Arial" w:hAnsi="Arial" w:eastAsia="宋体" w:cs="Arial"/>
          <w:sz w:val="24"/>
          <w:szCs w:val="24"/>
        </w:rPr>
        <w:t xml:space="preserve">8  </w:t>
      </w:r>
      <w:r>
        <w:rPr>
          <w:rFonts w:ascii="Arial" w:hAnsi="Arial" w:eastAsia="宋体" w:cs="Arial"/>
          <w:sz w:val="24"/>
          <w:szCs w:val="24"/>
        </w:rPr>
        <w:t>本协议正本一式</w:t>
      </w:r>
      <w:r>
        <w:rPr>
          <w:rFonts w:hint="eastAsia" w:ascii="Arial" w:hAnsi="Arial" w:eastAsia="宋体" w:cs="Arial"/>
          <w:sz w:val="24"/>
          <w:szCs w:val="24"/>
        </w:rPr>
        <w:t>【】</w:t>
      </w:r>
      <w:r>
        <w:rPr>
          <w:rFonts w:ascii="Arial" w:hAnsi="Arial" w:eastAsia="宋体" w:cs="Arial"/>
          <w:sz w:val="24"/>
          <w:szCs w:val="24"/>
        </w:rPr>
        <w:t>份，具有同等法律效力，甲乙双方各执</w:t>
      </w:r>
      <w:r>
        <w:rPr>
          <w:rFonts w:hint="eastAsia" w:ascii="Arial" w:hAnsi="Arial" w:eastAsia="宋体" w:cs="Arial"/>
          <w:sz w:val="24"/>
          <w:szCs w:val="24"/>
        </w:rPr>
        <w:t>贰</w:t>
      </w:r>
      <w:r>
        <w:rPr>
          <w:rFonts w:ascii="Arial" w:hAnsi="Arial" w:eastAsia="宋体" w:cs="Arial"/>
          <w:sz w:val="24"/>
          <w:szCs w:val="24"/>
        </w:rPr>
        <w:t>份，其余作为申报材料上报有关主管部门。</w:t>
      </w:r>
    </w:p>
    <w:p>
      <w:pPr>
        <w:spacing w:line="360" w:lineRule="auto"/>
        <w:ind w:firstLine="482" w:firstLineChars="200"/>
        <w:rPr>
          <w:rFonts w:ascii="Arial" w:hAnsi="Arial" w:eastAsia="宋体" w:cs="Arial"/>
          <w:b/>
          <w:bCs/>
          <w:sz w:val="24"/>
          <w:szCs w:val="24"/>
        </w:rPr>
      </w:pPr>
      <w:r>
        <w:rPr>
          <w:rFonts w:ascii="Arial" w:hAnsi="Arial" w:eastAsia="宋体" w:cs="Arial"/>
          <w:b/>
          <w:bCs/>
          <w:sz w:val="24"/>
          <w:szCs w:val="24"/>
        </w:rPr>
        <w:t>（本页以下无正文）</w:t>
      </w:r>
    </w:p>
    <w:p>
      <w:pPr>
        <w:spacing w:line="360" w:lineRule="auto"/>
        <w:rPr>
          <w:rFonts w:ascii="Arial" w:hAnsi="Arial" w:eastAsia="宋体" w:cs="Arial"/>
          <w:b/>
          <w:bCs/>
          <w:sz w:val="24"/>
          <w:szCs w:val="24"/>
        </w:rPr>
      </w:pPr>
      <w:r>
        <w:rPr>
          <w:rFonts w:ascii="Arial" w:hAnsi="Arial" w:eastAsia="宋体" w:cs="Arial"/>
          <w:b/>
          <w:bCs/>
          <w:sz w:val="24"/>
          <w:szCs w:val="24"/>
        </w:rPr>
        <w:br w:type="page"/>
      </w:r>
    </w:p>
    <w:p>
      <w:pPr>
        <w:spacing w:line="360" w:lineRule="auto"/>
        <w:rPr>
          <w:rFonts w:ascii="Arial" w:hAnsi="Arial" w:eastAsia="宋体" w:cs="Arial"/>
          <w:color w:val="000000"/>
          <w:sz w:val="24"/>
          <w:szCs w:val="24"/>
        </w:rPr>
      </w:pPr>
      <w:r>
        <w:rPr>
          <w:rFonts w:ascii="Arial" w:hAnsi="Arial" w:eastAsia="宋体" w:cs="Arial"/>
          <w:color w:val="000000"/>
          <w:sz w:val="24"/>
          <w:szCs w:val="24"/>
        </w:rPr>
        <w:t>（本页无正文，为《</w:t>
      </w:r>
      <w:r>
        <w:rPr>
          <w:rFonts w:hint="eastAsia" w:ascii="Arial" w:hAnsi="Arial" w:eastAsia="宋体" w:cs="Arial"/>
          <w:color w:val="000000"/>
          <w:sz w:val="24"/>
          <w:szCs w:val="24"/>
        </w:rPr>
        <w:t>湖南智谷投资发展集团有限公司</w:t>
      </w:r>
      <w:r>
        <w:rPr>
          <w:rFonts w:ascii="Arial" w:hAnsi="Arial" w:eastAsia="宋体" w:cs="Arial"/>
          <w:color w:val="000000"/>
          <w:sz w:val="24"/>
          <w:szCs w:val="24"/>
        </w:rPr>
        <w:t>与【】关于</w:t>
      </w:r>
      <w:r>
        <w:rPr>
          <w:rFonts w:hint="eastAsia" w:ascii="Arial" w:hAnsi="Arial" w:eastAsia="宋体" w:cs="Arial"/>
          <w:color w:val="000000"/>
          <w:sz w:val="24"/>
          <w:szCs w:val="24"/>
        </w:rPr>
        <w:t>湖南智谷投资发展集团有限公司非公开</w:t>
      </w:r>
      <w:r>
        <w:rPr>
          <w:rFonts w:ascii="Arial" w:hAnsi="Arial" w:eastAsia="宋体" w:cs="Arial"/>
          <w:color w:val="000000"/>
          <w:sz w:val="24"/>
          <w:szCs w:val="24"/>
        </w:rPr>
        <w:t>发行人民币公司债券承销协议》之签字盖章页）</w:t>
      </w:r>
    </w:p>
    <w:p>
      <w:pPr>
        <w:spacing w:line="360" w:lineRule="auto"/>
        <w:rPr>
          <w:rFonts w:ascii="Arial" w:hAnsi="Arial" w:eastAsia="宋体" w:cs="Arial"/>
          <w:color w:val="000000"/>
          <w:sz w:val="24"/>
          <w:szCs w:val="24"/>
        </w:rPr>
      </w:pPr>
    </w:p>
    <w:p>
      <w:pPr>
        <w:spacing w:line="360" w:lineRule="auto"/>
        <w:rPr>
          <w:rFonts w:ascii="Arial" w:hAnsi="Arial" w:eastAsia="宋体" w:cs="Arial"/>
          <w:color w:val="000000"/>
          <w:sz w:val="24"/>
          <w:szCs w:val="24"/>
        </w:rPr>
      </w:pPr>
    </w:p>
    <w:p>
      <w:pPr>
        <w:spacing w:line="360" w:lineRule="auto"/>
        <w:rPr>
          <w:rFonts w:ascii="Arial" w:hAnsi="Arial" w:eastAsia="宋体" w:cs="Arial"/>
          <w:color w:val="000000"/>
          <w:sz w:val="24"/>
          <w:szCs w:val="24"/>
        </w:rPr>
      </w:pPr>
    </w:p>
    <w:p>
      <w:pPr>
        <w:spacing w:line="360" w:lineRule="auto"/>
        <w:rPr>
          <w:rFonts w:ascii="Arial" w:hAnsi="Arial" w:eastAsia="宋体" w:cs="Arial"/>
          <w:color w:val="000000"/>
          <w:sz w:val="24"/>
          <w:szCs w:val="24"/>
        </w:rPr>
      </w:pPr>
    </w:p>
    <w:p>
      <w:pPr>
        <w:spacing w:line="360" w:lineRule="auto"/>
        <w:jc w:val="right"/>
        <w:rPr>
          <w:rFonts w:ascii="Arial" w:hAnsi="Arial" w:eastAsia="宋体" w:cs="Arial"/>
          <w:color w:val="000000"/>
          <w:sz w:val="24"/>
          <w:szCs w:val="24"/>
        </w:rPr>
      </w:pPr>
      <w:r>
        <w:rPr>
          <w:rFonts w:ascii="Arial" w:hAnsi="Arial" w:eastAsia="宋体" w:cs="Arial"/>
          <w:color w:val="000000"/>
          <w:sz w:val="24"/>
          <w:szCs w:val="24"/>
        </w:rPr>
        <w:t>甲方：</w:t>
      </w:r>
      <w:r>
        <w:rPr>
          <w:rFonts w:hint="eastAsia" w:ascii="Arial" w:hAnsi="Arial" w:eastAsia="宋体" w:cs="Arial"/>
          <w:color w:val="000000"/>
          <w:sz w:val="24"/>
          <w:szCs w:val="24"/>
        </w:rPr>
        <w:t>湖南智谷投资发展集团有限公司</w:t>
      </w:r>
    </w:p>
    <w:p>
      <w:pPr>
        <w:spacing w:line="360" w:lineRule="auto"/>
        <w:jc w:val="right"/>
        <w:rPr>
          <w:rFonts w:ascii="Arial" w:hAnsi="Arial" w:eastAsia="宋体" w:cs="Arial"/>
          <w:color w:val="000000"/>
          <w:sz w:val="24"/>
          <w:szCs w:val="24"/>
        </w:rPr>
      </w:pPr>
    </w:p>
    <w:p>
      <w:pPr>
        <w:spacing w:line="360" w:lineRule="auto"/>
        <w:jc w:val="right"/>
        <w:rPr>
          <w:rFonts w:ascii="Arial" w:hAnsi="Arial" w:eastAsia="宋体" w:cs="Arial"/>
          <w:color w:val="000000"/>
          <w:sz w:val="24"/>
          <w:szCs w:val="24"/>
        </w:rPr>
      </w:pPr>
    </w:p>
    <w:p>
      <w:pPr>
        <w:wordWrap w:val="0"/>
        <w:spacing w:line="360" w:lineRule="auto"/>
        <w:jc w:val="right"/>
        <w:rPr>
          <w:rFonts w:ascii="Arial" w:hAnsi="Arial" w:eastAsia="宋体" w:cs="Arial"/>
          <w:color w:val="000000"/>
          <w:sz w:val="24"/>
          <w:szCs w:val="24"/>
        </w:rPr>
      </w:pPr>
      <w:r>
        <w:rPr>
          <w:rFonts w:ascii="Arial" w:hAnsi="Arial" w:eastAsia="宋体" w:cs="Arial"/>
          <w:color w:val="000000"/>
          <w:sz w:val="24"/>
          <w:szCs w:val="24"/>
        </w:rPr>
        <w:t>法定代表人（或授权代表）：</w:t>
      </w:r>
      <w:r>
        <w:rPr>
          <w:rFonts w:hint="eastAsia" w:ascii="Arial" w:hAnsi="Arial" w:eastAsia="宋体" w:cs="Arial"/>
          <w:color w:val="000000"/>
          <w:sz w:val="24"/>
          <w:szCs w:val="24"/>
        </w:rPr>
        <w:t xml:space="preserve">          </w:t>
      </w:r>
    </w:p>
    <w:p>
      <w:pPr>
        <w:adjustRightInd w:val="0"/>
        <w:snapToGrid w:val="0"/>
        <w:spacing w:line="360" w:lineRule="auto"/>
        <w:jc w:val="right"/>
        <w:rPr>
          <w:rFonts w:ascii="Arial" w:hAnsi="Arial" w:eastAsia="宋体" w:cs="Arial"/>
          <w:sz w:val="24"/>
          <w:szCs w:val="24"/>
        </w:rPr>
      </w:pPr>
    </w:p>
    <w:p>
      <w:pPr>
        <w:adjustRightInd w:val="0"/>
        <w:snapToGrid w:val="0"/>
        <w:spacing w:line="360" w:lineRule="auto"/>
        <w:jc w:val="right"/>
        <w:rPr>
          <w:rFonts w:ascii="Arial" w:hAnsi="Arial" w:eastAsia="宋体" w:cs="Arial"/>
          <w:sz w:val="24"/>
          <w:szCs w:val="24"/>
        </w:rPr>
      </w:pPr>
    </w:p>
    <w:p>
      <w:pPr>
        <w:ind w:firstLine="1320" w:firstLineChars="550"/>
        <w:jc w:val="right"/>
        <w:rPr>
          <w:rFonts w:ascii="Arial" w:hAnsi="Arial" w:eastAsia="宋体" w:cs="Arial"/>
          <w:sz w:val="24"/>
          <w:szCs w:val="24"/>
        </w:rPr>
      </w:pPr>
      <w:r>
        <w:rPr>
          <w:rFonts w:ascii="Arial" w:hAnsi="Arial" w:eastAsia="宋体" w:cs="Arial"/>
          <w:sz w:val="24"/>
          <w:szCs w:val="24"/>
        </w:rPr>
        <w:t>年</w:t>
      </w:r>
      <w:r>
        <w:rPr>
          <w:rFonts w:hint="eastAsia" w:ascii="Arial" w:hAnsi="Arial" w:eastAsia="宋体" w:cs="Arial"/>
          <w:sz w:val="24"/>
          <w:szCs w:val="24"/>
        </w:rPr>
        <w:t xml:space="preserve">   </w:t>
      </w:r>
      <w:r>
        <w:rPr>
          <w:rFonts w:ascii="Arial" w:hAnsi="Arial" w:eastAsia="宋体" w:cs="Arial"/>
          <w:sz w:val="24"/>
          <w:szCs w:val="24"/>
        </w:rPr>
        <w:t>月</w:t>
      </w:r>
      <w:r>
        <w:rPr>
          <w:rFonts w:hint="eastAsia" w:ascii="Arial" w:hAnsi="Arial" w:eastAsia="宋体" w:cs="Arial"/>
          <w:sz w:val="24"/>
          <w:szCs w:val="24"/>
        </w:rPr>
        <w:t xml:space="preserve">   </w:t>
      </w:r>
      <w:r>
        <w:rPr>
          <w:rFonts w:ascii="Arial" w:hAnsi="Arial" w:eastAsia="宋体" w:cs="Arial"/>
          <w:sz w:val="24"/>
          <w:szCs w:val="24"/>
        </w:rPr>
        <w:t>日</w:t>
      </w:r>
    </w:p>
    <w:p>
      <w:pPr>
        <w:widowControl/>
        <w:jc w:val="left"/>
        <w:rPr>
          <w:rFonts w:ascii="Arial" w:hAnsi="Arial" w:eastAsia="宋体" w:cs="Arial"/>
          <w:color w:val="000000"/>
          <w:sz w:val="24"/>
          <w:szCs w:val="24"/>
        </w:rPr>
      </w:pPr>
      <w:r>
        <w:rPr>
          <w:rFonts w:ascii="Arial" w:hAnsi="Arial" w:eastAsia="宋体" w:cs="Arial"/>
          <w:color w:val="000000"/>
          <w:sz w:val="24"/>
          <w:szCs w:val="24"/>
        </w:rPr>
        <w:br w:type="page"/>
      </w:r>
    </w:p>
    <w:p>
      <w:pPr>
        <w:spacing w:line="360" w:lineRule="auto"/>
        <w:rPr>
          <w:rFonts w:ascii="Arial" w:hAnsi="Arial" w:eastAsia="宋体" w:cs="Arial"/>
          <w:color w:val="000000"/>
          <w:sz w:val="24"/>
          <w:szCs w:val="24"/>
        </w:rPr>
      </w:pPr>
      <w:r>
        <w:rPr>
          <w:rFonts w:ascii="Arial" w:hAnsi="Arial" w:eastAsia="宋体" w:cs="Arial"/>
          <w:color w:val="000000"/>
          <w:sz w:val="24"/>
          <w:szCs w:val="24"/>
        </w:rPr>
        <w:t>（本页无正文，为《</w:t>
      </w:r>
      <w:r>
        <w:rPr>
          <w:rFonts w:hint="eastAsia" w:ascii="Arial" w:hAnsi="Arial" w:eastAsia="宋体" w:cs="Arial"/>
          <w:color w:val="000000"/>
          <w:sz w:val="24"/>
          <w:szCs w:val="24"/>
        </w:rPr>
        <w:t>湖南智谷投资发展集团有限公司与【】关于湖南智谷投资发展集团有限公司非公开发行人民币公司债券承销协议</w:t>
      </w:r>
      <w:r>
        <w:rPr>
          <w:rFonts w:ascii="Arial" w:hAnsi="Arial" w:eastAsia="宋体" w:cs="Arial"/>
          <w:color w:val="000000"/>
          <w:sz w:val="24"/>
          <w:szCs w:val="24"/>
        </w:rPr>
        <w:t>》之签字盖章页）</w:t>
      </w:r>
    </w:p>
    <w:p>
      <w:pPr>
        <w:spacing w:line="360" w:lineRule="auto"/>
        <w:rPr>
          <w:rFonts w:ascii="Arial" w:hAnsi="Arial" w:eastAsia="宋体" w:cs="Arial"/>
          <w:color w:val="000000"/>
          <w:sz w:val="24"/>
          <w:szCs w:val="24"/>
        </w:rPr>
      </w:pPr>
    </w:p>
    <w:p>
      <w:pPr>
        <w:spacing w:line="360" w:lineRule="auto"/>
        <w:rPr>
          <w:rFonts w:ascii="Arial" w:hAnsi="Arial" w:eastAsia="宋体" w:cs="Arial"/>
          <w:color w:val="000000"/>
          <w:sz w:val="24"/>
          <w:szCs w:val="24"/>
        </w:rPr>
      </w:pPr>
    </w:p>
    <w:p>
      <w:pPr>
        <w:spacing w:line="360" w:lineRule="auto"/>
        <w:rPr>
          <w:rFonts w:ascii="Arial" w:hAnsi="Arial" w:eastAsia="宋体" w:cs="Arial"/>
          <w:color w:val="000000"/>
          <w:sz w:val="24"/>
          <w:szCs w:val="24"/>
        </w:rPr>
      </w:pPr>
    </w:p>
    <w:p>
      <w:pPr>
        <w:spacing w:line="360" w:lineRule="auto"/>
        <w:rPr>
          <w:rFonts w:ascii="Arial" w:hAnsi="Arial" w:eastAsia="宋体" w:cs="Arial"/>
          <w:color w:val="000000"/>
          <w:sz w:val="24"/>
          <w:szCs w:val="24"/>
        </w:rPr>
      </w:pPr>
    </w:p>
    <w:p>
      <w:pPr>
        <w:spacing w:line="360" w:lineRule="auto"/>
        <w:jc w:val="right"/>
        <w:rPr>
          <w:rFonts w:ascii="Arial" w:hAnsi="Arial" w:eastAsia="宋体" w:cs="Arial"/>
          <w:color w:val="000000"/>
          <w:sz w:val="24"/>
          <w:szCs w:val="24"/>
        </w:rPr>
      </w:pPr>
      <w:r>
        <w:rPr>
          <w:rFonts w:ascii="Arial" w:hAnsi="Arial" w:eastAsia="宋体" w:cs="Arial"/>
          <w:color w:val="000000"/>
          <w:sz w:val="24"/>
          <w:szCs w:val="24"/>
        </w:rPr>
        <w:t>乙方：【】</w:t>
      </w:r>
    </w:p>
    <w:p>
      <w:pPr>
        <w:spacing w:line="360" w:lineRule="auto"/>
        <w:jc w:val="right"/>
        <w:rPr>
          <w:rFonts w:ascii="Arial" w:hAnsi="Arial" w:eastAsia="宋体" w:cs="Arial"/>
          <w:color w:val="000000"/>
          <w:sz w:val="24"/>
          <w:szCs w:val="24"/>
        </w:rPr>
      </w:pPr>
    </w:p>
    <w:p>
      <w:pPr>
        <w:spacing w:line="360" w:lineRule="auto"/>
        <w:jc w:val="right"/>
        <w:rPr>
          <w:rFonts w:ascii="Arial" w:hAnsi="Arial" w:eastAsia="宋体" w:cs="Arial"/>
          <w:color w:val="000000"/>
          <w:sz w:val="24"/>
          <w:szCs w:val="24"/>
        </w:rPr>
      </w:pPr>
    </w:p>
    <w:p>
      <w:pPr>
        <w:wordWrap w:val="0"/>
        <w:spacing w:line="360" w:lineRule="auto"/>
        <w:jc w:val="right"/>
        <w:rPr>
          <w:rFonts w:ascii="Arial" w:hAnsi="Arial" w:eastAsia="宋体" w:cs="Arial"/>
          <w:color w:val="000000"/>
          <w:sz w:val="24"/>
          <w:szCs w:val="24"/>
        </w:rPr>
      </w:pPr>
      <w:r>
        <w:rPr>
          <w:rFonts w:ascii="Arial" w:hAnsi="Arial" w:eastAsia="宋体" w:cs="Arial"/>
          <w:color w:val="000000"/>
          <w:sz w:val="24"/>
          <w:szCs w:val="24"/>
        </w:rPr>
        <w:t>法定代表人（或授权代表）：</w:t>
      </w:r>
      <w:r>
        <w:rPr>
          <w:rFonts w:hint="eastAsia" w:ascii="Arial" w:hAnsi="Arial" w:eastAsia="宋体" w:cs="Arial"/>
          <w:color w:val="000000"/>
          <w:sz w:val="24"/>
          <w:szCs w:val="24"/>
        </w:rPr>
        <w:t xml:space="preserve">       </w:t>
      </w:r>
    </w:p>
    <w:p>
      <w:pPr>
        <w:adjustRightInd w:val="0"/>
        <w:snapToGrid w:val="0"/>
        <w:spacing w:line="360" w:lineRule="auto"/>
        <w:jc w:val="right"/>
        <w:rPr>
          <w:rFonts w:ascii="Arial" w:hAnsi="Arial" w:eastAsia="宋体" w:cs="Arial"/>
          <w:sz w:val="24"/>
          <w:szCs w:val="24"/>
        </w:rPr>
      </w:pPr>
    </w:p>
    <w:p>
      <w:pPr>
        <w:adjustRightInd w:val="0"/>
        <w:snapToGrid w:val="0"/>
        <w:spacing w:line="360" w:lineRule="auto"/>
        <w:jc w:val="right"/>
        <w:rPr>
          <w:rFonts w:ascii="Arial" w:hAnsi="Arial" w:eastAsia="宋体" w:cs="Arial"/>
          <w:sz w:val="24"/>
          <w:szCs w:val="24"/>
        </w:rPr>
      </w:pPr>
    </w:p>
    <w:p>
      <w:pPr>
        <w:tabs>
          <w:tab w:val="left" w:pos="3600"/>
        </w:tabs>
        <w:ind w:firstLine="1800" w:firstLineChars="750"/>
        <w:jc w:val="right"/>
        <w:rPr>
          <w:rFonts w:ascii="Arial" w:hAnsi="Arial" w:eastAsia="宋体" w:cs="Arial"/>
          <w:sz w:val="24"/>
          <w:szCs w:val="24"/>
        </w:rPr>
      </w:pPr>
      <w:r>
        <w:rPr>
          <w:rFonts w:ascii="Arial" w:hAnsi="Arial" w:eastAsia="宋体" w:cs="Arial"/>
          <w:sz w:val="24"/>
          <w:szCs w:val="24"/>
        </w:rPr>
        <w:t>年</w:t>
      </w:r>
      <w:r>
        <w:rPr>
          <w:rFonts w:hint="eastAsia" w:ascii="Arial" w:hAnsi="Arial" w:eastAsia="宋体" w:cs="Arial"/>
          <w:sz w:val="24"/>
          <w:szCs w:val="24"/>
        </w:rPr>
        <w:t xml:space="preserve">   </w:t>
      </w:r>
      <w:r>
        <w:rPr>
          <w:rFonts w:ascii="Arial" w:hAnsi="Arial" w:eastAsia="宋体" w:cs="Arial"/>
          <w:sz w:val="24"/>
          <w:szCs w:val="24"/>
        </w:rPr>
        <w:t>月</w:t>
      </w:r>
      <w:r>
        <w:rPr>
          <w:rFonts w:hint="eastAsia" w:ascii="Arial" w:hAnsi="Arial" w:eastAsia="宋体" w:cs="Arial"/>
          <w:sz w:val="24"/>
          <w:szCs w:val="24"/>
        </w:rPr>
        <w:t xml:space="preserve">   </w:t>
      </w:r>
      <w:r>
        <w:rPr>
          <w:rFonts w:ascii="Arial" w:hAnsi="Arial" w:eastAsia="宋体" w:cs="Arial"/>
          <w:sz w:val="24"/>
          <w:szCs w:val="24"/>
        </w:rPr>
        <w:t>日</w:t>
      </w:r>
    </w:p>
    <w:p>
      <w:pPr>
        <w:widowControl/>
        <w:jc w:val="left"/>
        <w:rPr>
          <w:rFonts w:ascii="Arial" w:hAnsi="Arial" w:eastAsia="宋体" w:cs="Arial"/>
          <w:sz w:val="24"/>
          <w:szCs w:val="24"/>
        </w:rPr>
      </w:pPr>
      <w:r>
        <w:rPr>
          <w:rFonts w:ascii="Arial" w:hAnsi="Arial" w:eastAsia="宋体" w:cs="Arial"/>
          <w:sz w:val="24"/>
          <w:szCs w:val="24"/>
        </w:rPr>
        <w:br w:type="page"/>
      </w:r>
    </w:p>
    <w:p>
      <w:pPr>
        <w:spacing w:line="360" w:lineRule="auto"/>
        <w:rPr>
          <w:rFonts w:ascii="Arial" w:hAnsi="Arial" w:eastAsia="宋体" w:cs="Arial"/>
          <w:color w:val="000000"/>
          <w:sz w:val="24"/>
          <w:szCs w:val="24"/>
        </w:rPr>
      </w:pPr>
      <w:r>
        <w:rPr>
          <w:rFonts w:ascii="Arial" w:hAnsi="Arial" w:eastAsia="宋体" w:cs="Arial"/>
          <w:color w:val="000000"/>
          <w:sz w:val="24"/>
          <w:szCs w:val="24"/>
        </w:rPr>
        <w:t>（本页无正文，为《</w:t>
      </w:r>
      <w:r>
        <w:rPr>
          <w:rFonts w:hint="eastAsia" w:ascii="Arial" w:hAnsi="Arial" w:eastAsia="宋体" w:cs="Arial"/>
          <w:color w:val="000000"/>
          <w:sz w:val="24"/>
          <w:szCs w:val="24"/>
        </w:rPr>
        <w:t>湖南智谷投资发展集团有限公司与【】关于湖南智谷投资发展集团有限公司非公开发行人民币公司债券承销协议</w:t>
      </w:r>
      <w:r>
        <w:rPr>
          <w:rFonts w:ascii="Arial" w:hAnsi="Arial" w:eastAsia="宋体" w:cs="Arial"/>
          <w:color w:val="000000"/>
          <w:sz w:val="24"/>
          <w:szCs w:val="24"/>
        </w:rPr>
        <w:t>》之签字盖章页）</w:t>
      </w:r>
    </w:p>
    <w:p>
      <w:pPr>
        <w:spacing w:line="360" w:lineRule="auto"/>
        <w:rPr>
          <w:rFonts w:ascii="Arial" w:hAnsi="Arial" w:eastAsia="宋体" w:cs="Arial"/>
          <w:color w:val="000000"/>
          <w:sz w:val="24"/>
          <w:szCs w:val="24"/>
        </w:rPr>
      </w:pPr>
    </w:p>
    <w:p>
      <w:pPr>
        <w:spacing w:line="360" w:lineRule="auto"/>
        <w:rPr>
          <w:rFonts w:ascii="Arial" w:hAnsi="Arial" w:eastAsia="宋体" w:cs="Arial"/>
          <w:color w:val="000000"/>
          <w:sz w:val="24"/>
          <w:szCs w:val="24"/>
        </w:rPr>
      </w:pPr>
    </w:p>
    <w:p>
      <w:pPr>
        <w:spacing w:line="360" w:lineRule="auto"/>
        <w:rPr>
          <w:rFonts w:ascii="Arial" w:hAnsi="Arial" w:eastAsia="宋体" w:cs="Arial"/>
          <w:color w:val="000000"/>
          <w:sz w:val="24"/>
          <w:szCs w:val="24"/>
        </w:rPr>
      </w:pPr>
    </w:p>
    <w:p>
      <w:pPr>
        <w:spacing w:line="360" w:lineRule="auto"/>
        <w:rPr>
          <w:rFonts w:ascii="Arial" w:hAnsi="Arial" w:eastAsia="宋体" w:cs="Arial"/>
          <w:color w:val="000000"/>
          <w:sz w:val="24"/>
          <w:szCs w:val="24"/>
        </w:rPr>
      </w:pPr>
    </w:p>
    <w:p>
      <w:pPr>
        <w:spacing w:line="360" w:lineRule="auto"/>
        <w:jc w:val="right"/>
        <w:rPr>
          <w:rFonts w:ascii="Arial" w:hAnsi="Arial" w:eastAsia="宋体" w:cs="Arial"/>
          <w:color w:val="000000"/>
          <w:sz w:val="24"/>
          <w:szCs w:val="24"/>
        </w:rPr>
      </w:pPr>
      <w:r>
        <w:rPr>
          <w:rFonts w:ascii="Arial" w:hAnsi="Arial" w:eastAsia="宋体" w:cs="Arial"/>
          <w:color w:val="000000"/>
          <w:sz w:val="24"/>
          <w:szCs w:val="24"/>
        </w:rPr>
        <w:t>乙方：【】</w:t>
      </w:r>
    </w:p>
    <w:p>
      <w:pPr>
        <w:spacing w:line="360" w:lineRule="auto"/>
        <w:jc w:val="right"/>
        <w:rPr>
          <w:rFonts w:ascii="Arial" w:hAnsi="Arial" w:eastAsia="宋体" w:cs="Arial"/>
          <w:color w:val="000000"/>
          <w:sz w:val="24"/>
          <w:szCs w:val="24"/>
        </w:rPr>
      </w:pPr>
    </w:p>
    <w:p>
      <w:pPr>
        <w:spacing w:line="360" w:lineRule="auto"/>
        <w:jc w:val="right"/>
        <w:rPr>
          <w:rFonts w:ascii="Arial" w:hAnsi="Arial" w:eastAsia="宋体" w:cs="Arial"/>
          <w:color w:val="000000"/>
          <w:sz w:val="24"/>
          <w:szCs w:val="24"/>
        </w:rPr>
      </w:pPr>
    </w:p>
    <w:p>
      <w:pPr>
        <w:wordWrap w:val="0"/>
        <w:spacing w:line="360" w:lineRule="auto"/>
        <w:jc w:val="right"/>
        <w:rPr>
          <w:rFonts w:ascii="Arial" w:hAnsi="Arial" w:eastAsia="宋体" w:cs="Arial"/>
          <w:color w:val="000000"/>
          <w:sz w:val="24"/>
          <w:szCs w:val="24"/>
        </w:rPr>
      </w:pPr>
      <w:r>
        <w:rPr>
          <w:rFonts w:ascii="Arial" w:hAnsi="Arial" w:eastAsia="宋体" w:cs="Arial"/>
          <w:color w:val="000000"/>
          <w:sz w:val="24"/>
          <w:szCs w:val="24"/>
        </w:rPr>
        <w:t>法定代表人（或授权代表）：</w:t>
      </w:r>
      <w:r>
        <w:rPr>
          <w:rFonts w:hint="eastAsia" w:ascii="Arial" w:hAnsi="Arial" w:eastAsia="宋体" w:cs="Arial"/>
          <w:color w:val="000000"/>
          <w:sz w:val="24"/>
          <w:szCs w:val="24"/>
        </w:rPr>
        <w:t xml:space="preserve">       </w:t>
      </w:r>
    </w:p>
    <w:p>
      <w:pPr>
        <w:adjustRightInd w:val="0"/>
        <w:snapToGrid w:val="0"/>
        <w:spacing w:line="360" w:lineRule="auto"/>
        <w:jc w:val="right"/>
        <w:rPr>
          <w:rFonts w:ascii="Arial" w:hAnsi="Arial" w:eastAsia="宋体" w:cs="Arial"/>
          <w:sz w:val="24"/>
          <w:szCs w:val="24"/>
        </w:rPr>
      </w:pPr>
    </w:p>
    <w:p>
      <w:pPr>
        <w:adjustRightInd w:val="0"/>
        <w:snapToGrid w:val="0"/>
        <w:spacing w:line="360" w:lineRule="auto"/>
        <w:jc w:val="right"/>
        <w:rPr>
          <w:rFonts w:ascii="Arial" w:hAnsi="Arial" w:eastAsia="宋体" w:cs="Arial"/>
          <w:sz w:val="24"/>
          <w:szCs w:val="24"/>
        </w:rPr>
      </w:pPr>
    </w:p>
    <w:p>
      <w:pPr>
        <w:tabs>
          <w:tab w:val="left" w:pos="3600"/>
        </w:tabs>
        <w:ind w:firstLine="1800" w:firstLineChars="750"/>
        <w:jc w:val="right"/>
        <w:rPr>
          <w:rFonts w:ascii="Arial" w:hAnsi="Arial" w:eastAsia="宋体" w:cs="Arial"/>
          <w:sz w:val="24"/>
          <w:szCs w:val="24"/>
        </w:rPr>
      </w:pPr>
      <w:r>
        <w:rPr>
          <w:rFonts w:ascii="Arial" w:hAnsi="Arial" w:eastAsia="宋体" w:cs="Arial"/>
          <w:sz w:val="24"/>
          <w:szCs w:val="24"/>
        </w:rPr>
        <w:t>年</w:t>
      </w:r>
      <w:r>
        <w:rPr>
          <w:rFonts w:hint="eastAsia" w:ascii="Arial" w:hAnsi="Arial" w:eastAsia="宋体" w:cs="Arial"/>
          <w:sz w:val="24"/>
          <w:szCs w:val="24"/>
        </w:rPr>
        <w:t xml:space="preserve">   </w:t>
      </w:r>
      <w:r>
        <w:rPr>
          <w:rFonts w:ascii="Arial" w:hAnsi="Arial" w:eastAsia="宋体" w:cs="Arial"/>
          <w:sz w:val="24"/>
          <w:szCs w:val="24"/>
        </w:rPr>
        <w:t>月</w:t>
      </w:r>
      <w:r>
        <w:rPr>
          <w:rFonts w:hint="eastAsia" w:ascii="Arial" w:hAnsi="Arial" w:eastAsia="宋体" w:cs="Arial"/>
          <w:sz w:val="24"/>
          <w:szCs w:val="24"/>
        </w:rPr>
        <w:t xml:space="preserve">   </w:t>
      </w:r>
      <w:r>
        <w:rPr>
          <w:rFonts w:ascii="Arial" w:hAnsi="Arial" w:eastAsia="宋体" w:cs="Arial"/>
          <w:sz w:val="24"/>
          <w:szCs w:val="24"/>
        </w:rPr>
        <w:t>日</w:t>
      </w:r>
    </w:p>
    <w:p>
      <w:pPr>
        <w:tabs>
          <w:tab w:val="left" w:pos="3600"/>
        </w:tabs>
        <w:ind w:firstLine="1800" w:firstLineChars="750"/>
        <w:jc w:val="right"/>
        <w:rPr>
          <w:rFonts w:ascii="Arial" w:hAnsi="Arial" w:eastAsia="宋体" w:cs="Arial"/>
          <w:sz w:val="24"/>
          <w:szCs w:val="24"/>
        </w:rPr>
      </w:pPr>
    </w:p>
    <w:p>
      <w:pPr>
        <w:spacing w:line="360" w:lineRule="auto"/>
        <w:rPr>
          <w:rFonts w:ascii="Arial" w:hAnsi="Arial" w:eastAsia="宋体" w:cs="Arial"/>
          <w:sz w:val="24"/>
          <w:szCs w:val="24"/>
        </w:rPr>
      </w:pPr>
      <w:r>
        <w:rPr>
          <w:rFonts w:ascii="Arial" w:hAnsi="Arial" w:eastAsia="宋体" w:cs="Arial"/>
          <w:sz w:val="24"/>
          <w:szCs w:val="24"/>
        </w:rPr>
        <w:br w:type="page"/>
      </w:r>
    </w:p>
    <w:p>
      <w:pPr>
        <w:spacing w:line="360" w:lineRule="auto"/>
        <w:ind w:firstLine="562"/>
        <w:rPr>
          <w:rFonts w:ascii="宋体" w:hAnsi="宋体" w:eastAsia="宋体" w:cs="Times New Roman"/>
          <w:b/>
          <w:color w:val="000000"/>
          <w:sz w:val="28"/>
          <w:szCs w:val="24"/>
        </w:rPr>
      </w:pPr>
      <w:bookmarkStart w:id="0" w:name="_Toc383609596"/>
      <w:bookmarkStart w:id="1" w:name="_Toc519612480"/>
      <w:r>
        <w:rPr>
          <w:rFonts w:hint="eastAsia" w:ascii="宋体" w:hAnsi="宋体" w:eastAsia="宋体" w:cs="Times New Roman"/>
          <w:b/>
          <w:color w:val="000000"/>
          <w:sz w:val="28"/>
          <w:szCs w:val="24"/>
        </w:rPr>
        <w:t>附件一：</w:t>
      </w:r>
      <w:bookmarkStart w:id="2" w:name="_Toc223346947"/>
      <w:r>
        <w:rPr>
          <w:rFonts w:hint="eastAsia" w:ascii="宋体" w:hAnsi="宋体" w:eastAsia="宋体" w:cs="Times New Roman"/>
          <w:b/>
          <w:color w:val="000000"/>
          <w:sz w:val="28"/>
          <w:szCs w:val="24"/>
        </w:rPr>
        <w:t>债券利率区间确认函</w:t>
      </w:r>
      <w:bookmarkEnd w:id="0"/>
      <w:bookmarkEnd w:id="1"/>
      <w:bookmarkEnd w:id="2"/>
    </w:p>
    <w:p>
      <w:pPr>
        <w:spacing w:line="360" w:lineRule="auto"/>
        <w:ind w:firstLine="562" w:firstLineChars="200"/>
        <w:rPr>
          <w:rFonts w:ascii="宋体" w:hAnsi="宋体" w:eastAsia="宋体" w:cs="Times New Roman"/>
          <w:b/>
          <w:color w:val="000000"/>
          <w:sz w:val="28"/>
          <w:szCs w:val="24"/>
        </w:rPr>
      </w:pPr>
    </w:p>
    <w:p>
      <w:pPr>
        <w:spacing w:line="360" w:lineRule="auto"/>
        <w:ind w:firstLine="562" w:firstLineChars="200"/>
        <w:jc w:val="center"/>
        <w:rPr>
          <w:rFonts w:ascii="宋体" w:hAnsi="宋体" w:eastAsia="宋体" w:cs="Times New Roman"/>
          <w:b/>
          <w:color w:val="000000"/>
          <w:sz w:val="28"/>
          <w:szCs w:val="24"/>
        </w:rPr>
      </w:pPr>
      <w:r>
        <w:rPr>
          <w:rFonts w:hint="eastAsia" w:ascii="宋体" w:hAnsi="宋体" w:eastAsia="宋体" w:cs="Times New Roman"/>
          <w:b/>
          <w:color w:val="000000"/>
          <w:sz w:val="28"/>
          <w:szCs w:val="24"/>
        </w:rPr>
        <w:t>湖南智谷投资发展集团有限公司2</w:t>
      </w:r>
      <w:r>
        <w:rPr>
          <w:rFonts w:ascii="宋体" w:hAnsi="宋体" w:eastAsia="宋体" w:cs="Times New Roman"/>
          <w:b/>
          <w:color w:val="000000"/>
          <w:sz w:val="28"/>
          <w:szCs w:val="24"/>
        </w:rPr>
        <w:t>02</w:t>
      </w:r>
      <w:r>
        <w:rPr>
          <w:rFonts w:hint="eastAsia" w:ascii="宋体" w:hAnsi="宋体" w:eastAsia="宋体" w:cs="Times New Roman"/>
          <w:b/>
          <w:color w:val="000000"/>
          <w:sz w:val="28"/>
          <w:szCs w:val="24"/>
        </w:rPr>
        <w:t>4年非公开发行公司债券利率区间确认函</w:t>
      </w: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鉴于：</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1、发行人湖南智谷投资发展集团有限公司已和【】、签订了《湖南智谷投资发展集团有限公司2</w:t>
      </w:r>
      <w:r>
        <w:rPr>
          <w:rFonts w:ascii="宋体" w:hAnsi="宋体" w:eastAsia="宋体" w:cs="Times New Roman"/>
          <w:color w:val="000000"/>
          <w:sz w:val="24"/>
          <w:szCs w:val="24"/>
        </w:rPr>
        <w:t>02</w:t>
      </w:r>
      <w:r>
        <w:rPr>
          <w:rFonts w:hint="eastAsia" w:ascii="宋体" w:hAnsi="宋体" w:eastAsia="宋体" w:cs="Times New Roman"/>
          <w:color w:val="000000"/>
          <w:sz w:val="24"/>
          <w:szCs w:val="24"/>
        </w:rPr>
        <w:t>4年非公开发行公司债券之承销协议》（以下称“承销协议”）；</w:t>
      </w: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2、根据承销协议的约定，本期债券发行的利率区间由湖南智谷投资发展集团有限公司、【】协商一致并以书面形式加以确认。</w:t>
      </w: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因此，于【   】年【  】月【  】日，湖南智谷投资发展集团有限公司、【】协商一致，同意本期债券的簿记建档利率区间为【  】</w:t>
      </w:r>
      <w:r>
        <w:rPr>
          <w:rFonts w:ascii="宋体" w:hAnsi="宋体" w:eastAsia="宋体" w:cs="Times New Roman"/>
          <w:color w:val="000000"/>
          <w:sz w:val="24"/>
          <w:szCs w:val="24"/>
        </w:rPr>
        <w:t>% ---</w:t>
      </w:r>
      <w:r>
        <w:rPr>
          <w:rFonts w:hint="eastAsia" w:ascii="宋体" w:hAnsi="宋体" w:eastAsia="宋体" w:cs="Times New Roman"/>
          <w:color w:val="000000"/>
          <w:sz w:val="24"/>
          <w:szCs w:val="24"/>
        </w:rPr>
        <w:t>【  】</w:t>
      </w:r>
      <w:r>
        <w:rPr>
          <w:rFonts w:ascii="宋体" w:hAnsi="宋体" w:eastAsia="宋体" w:cs="Times New Roman"/>
          <w:color w:val="000000"/>
          <w:sz w:val="24"/>
          <w:szCs w:val="24"/>
        </w:rPr>
        <w:t>%</w:t>
      </w:r>
      <w:r>
        <w:rPr>
          <w:rFonts w:hint="eastAsia" w:ascii="宋体" w:hAnsi="宋体" w:eastAsia="宋体" w:cs="Times New Roman"/>
          <w:color w:val="000000"/>
          <w:sz w:val="24"/>
          <w:szCs w:val="24"/>
        </w:rPr>
        <w:t>，发行规模为【       】。</w:t>
      </w: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为避免歧义，“本期债券”是指募集说明书所述的“【   】年【第  期】湖南智谷投资发展集团有限公司非公开发行公司债券”，也即发行人【   】年【  】月【  】日召开的【   】年第【 】次【股东大会】决议通过的总额不超过1</w:t>
      </w:r>
      <w:r>
        <w:rPr>
          <w:rFonts w:ascii="宋体" w:hAnsi="宋体" w:eastAsia="宋体" w:cs="Times New Roman"/>
          <w:color w:val="000000"/>
          <w:sz w:val="24"/>
          <w:szCs w:val="24"/>
        </w:rPr>
        <w:t>0</w:t>
      </w:r>
      <w:r>
        <w:rPr>
          <w:rFonts w:hint="eastAsia" w:ascii="宋体" w:hAnsi="宋体" w:eastAsia="宋体" w:cs="Times New Roman"/>
          <w:color w:val="000000"/>
          <w:sz w:val="24"/>
          <w:szCs w:val="24"/>
        </w:rPr>
        <w:t>亿元人民币公司债券的【第  期】。</w:t>
      </w: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本确认函一经承销协议各方法定代表人或授权代表签署并加盖公章后即生效。</w:t>
      </w: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（以下无正文）</w:t>
      </w:r>
    </w:p>
    <w:p>
      <w:pPr>
        <w:spacing w:line="360" w:lineRule="auto"/>
        <w:ind w:firstLine="480" w:firstLineChars="200"/>
        <w:rPr>
          <w:rFonts w:ascii="宋体" w:hAnsi="宋体" w:eastAsia="宋体"/>
          <w:color w:val="000000"/>
          <w:sz w:val="24"/>
        </w:rPr>
        <w:sectPr>
          <w:footerReference r:id="rId8" w:type="default"/>
          <w:pgSz w:w="11907" w:h="16839"/>
          <w:pgMar w:top="1701" w:right="1287" w:bottom="1304" w:left="1440" w:header="766" w:footer="482" w:gutter="0"/>
          <w:pgNumType w:fmt="decimal"/>
          <w:cols w:space="720" w:num="1"/>
          <w:docGrid w:linePitch="360" w:charSpace="0"/>
        </w:sectPr>
      </w:pP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（此页无正文，为《湖南智谷投资发展集团有限公司2</w:t>
      </w:r>
      <w:r>
        <w:rPr>
          <w:rFonts w:ascii="宋体" w:hAnsi="宋体" w:eastAsia="宋体" w:cs="Times New Roman"/>
          <w:color w:val="000000"/>
          <w:sz w:val="24"/>
          <w:szCs w:val="24"/>
        </w:rPr>
        <w:t>02</w:t>
      </w:r>
      <w:r>
        <w:rPr>
          <w:rFonts w:hint="eastAsia" w:ascii="宋体" w:hAnsi="宋体" w:eastAsia="宋体" w:cs="Times New Roman"/>
          <w:color w:val="000000"/>
          <w:sz w:val="24"/>
          <w:szCs w:val="24"/>
        </w:rPr>
        <w:t>4年非公开发行公司债券利率区间确认函》之签字盖章页）</w:t>
      </w: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p>
    <w:p>
      <w:pPr>
        <w:spacing w:line="360" w:lineRule="auto"/>
        <w:jc w:val="right"/>
        <w:rPr>
          <w:rFonts w:ascii="Arial" w:hAnsi="Arial" w:eastAsia="宋体" w:cs="Arial"/>
          <w:color w:val="000000"/>
          <w:sz w:val="24"/>
          <w:szCs w:val="24"/>
        </w:rPr>
      </w:pPr>
      <w:r>
        <w:rPr>
          <w:rFonts w:ascii="Arial" w:hAnsi="Arial" w:eastAsia="宋体" w:cs="Arial"/>
          <w:color w:val="000000"/>
          <w:sz w:val="24"/>
          <w:szCs w:val="24"/>
        </w:rPr>
        <w:t>甲方：</w:t>
      </w:r>
      <w:r>
        <w:rPr>
          <w:rFonts w:hint="eastAsia" w:ascii="Arial" w:hAnsi="Arial" w:eastAsia="宋体" w:cs="Arial"/>
          <w:color w:val="000000"/>
          <w:sz w:val="24"/>
          <w:szCs w:val="24"/>
        </w:rPr>
        <w:t>湖南智谷投资发展集团有限公司</w:t>
      </w:r>
    </w:p>
    <w:p>
      <w:pPr>
        <w:spacing w:line="360" w:lineRule="auto"/>
        <w:jc w:val="right"/>
        <w:rPr>
          <w:rFonts w:ascii="Arial" w:hAnsi="Arial" w:eastAsia="宋体" w:cs="Arial"/>
          <w:color w:val="000000"/>
          <w:sz w:val="24"/>
          <w:szCs w:val="24"/>
        </w:rPr>
      </w:pPr>
    </w:p>
    <w:p>
      <w:pPr>
        <w:spacing w:line="360" w:lineRule="auto"/>
        <w:jc w:val="right"/>
        <w:rPr>
          <w:rFonts w:ascii="Arial" w:hAnsi="Arial" w:eastAsia="宋体" w:cs="Arial"/>
          <w:color w:val="000000"/>
          <w:sz w:val="24"/>
          <w:szCs w:val="24"/>
        </w:rPr>
      </w:pPr>
    </w:p>
    <w:p>
      <w:pPr>
        <w:wordWrap w:val="0"/>
        <w:spacing w:line="360" w:lineRule="auto"/>
        <w:jc w:val="right"/>
        <w:rPr>
          <w:rFonts w:ascii="Arial" w:hAnsi="Arial" w:eastAsia="宋体" w:cs="Arial"/>
          <w:color w:val="000000"/>
          <w:sz w:val="24"/>
          <w:szCs w:val="24"/>
        </w:rPr>
      </w:pPr>
      <w:r>
        <w:rPr>
          <w:rFonts w:ascii="Arial" w:hAnsi="Arial" w:eastAsia="宋体" w:cs="Arial"/>
          <w:color w:val="000000"/>
          <w:sz w:val="24"/>
          <w:szCs w:val="24"/>
        </w:rPr>
        <w:t>法定代表人（或授权代表）：</w:t>
      </w:r>
      <w:r>
        <w:rPr>
          <w:rFonts w:hint="eastAsia" w:ascii="Arial" w:hAnsi="Arial" w:eastAsia="宋体" w:cs="Arial"/>
          <w:color w:val="000000"/>
          <w:sz w:val="24"/>
          <w:szCs w:val="24"/>
        </w:rPr>
        <w:t xml:space="preserve">     </w:t>
      </w:r>
    </w:p>
    <w:p>
      <w:pPr>
        <w:adjustRightInd w:val="0"/>
        <w:snapToGrid w:val="0"/>
        <w:spacing w:line="360" w:lineRule="auto"/>
        <w:jc w:val="right"/>
        <w:rPr>
          <w:rFonts w:ascii="Arial" w:hAnsi="Arial" w:eastAsia="宋体" w:cs="Arial"/>
          <w:sz w:val="24"/>
          <w:szCs w:val="24"/>
        </w:rPr>
      </w:pPr>
    </w:p>
    <w:p>
      <w:pPr>
        <w:adjustRightInd w:val="0"/>
        <w:snapToGrid w:val="0"/>
        <w:spacing w:line="360" w:lineRule="auto"/>
        <w:jc w:val="right"/>
        <w:rPr>
          <w:rFonts w:ascii="Arial" w:hAnsi="Arial" w:eastAsia="宋体" w:cs="Arial"/>
          <w:sz w:val="24"/>
          <w:szCs w:val="24"/>
        </w:rPr>
      </w:pPr>
    </w:p>
    <w:p>
      <w:pPr>
        <w:wordWrap w:val="0"/>
        <w:spacing w:line="360" w:lineRule="auto"/>
        <w:ind w:firstLine="480" w:firstLineChars="200"/>
        <w:jc w:val="right"/>
        <w:rPr>
          <w:rFonts w:ascii="宋体" w:hAnsi="宋体" w:eastAsia="宋体" w:cs="Times New Roman"/>
          <w:color w:val="000000"/>
          <w:sz w:val="24"/>
          <w:szCs w:val="24"/>
        </w:rPr>
      </w:pPr>
      <w:r>
        <w:rPr>
          <w:rFonts w:ascii="Arial" w:hAnsi="Arial" w:eastAsia="宋体" w:cs="Arial"/>
          <w:sz w:val="24"/>
          <w:szCs w:val="24"/>
        </w:rPr>
        <w:t>年</w:t>
      </w:r>
      <w:r>
        <w:rPr>
          <w:rFonts w:hint="eastAsia" w:ascii="Arial" w:hAnsi="Arial" w:eastAsia="宋体" w:cs="Arial"/>
          <w:sz w:val="24"/>
          <w:szCs w:val="24"/>
        </w:rPr>
        <w:t xml:space="preserve">   </w:t>
      </w:r>
      <w:r>
        <w:rPr>
          <w:rFonts w:ascii="Arial" w:hAnsi="Arial" w:eastAsia="宋体" w:cs="Arial"/>
          <w:sz w:val="24"/>
          <w:szCs w:val="24"/>
        </w:rPr>
        <w:t>月</w:t>
      </w:r>
      <w:r>
        <w:rPr>
          <w:rFonts w:hint="eastAsia" w:ascii="Arial" w:hAnsi="Arial" w:eastAsia="宋体" w:cs="Arial"/>
          <w:sz w:val="24"/>
          <w:szCs w:val="24"/>
        </w:rPr>
        <w:t xml:space="preserve">   </w:t>
      </w:r>
      <w:r>
        <w:rPr>
          <w:rFonts w:ascii="Arial" w:hAnsi="Arial" w:eastAsia="宋体" w:cs="Arial"/>
          <w:sz w:val="24"/>
          <w:szCs w:val="24"/>
        </w:rPr>
        <w:t>日</w:t>
      </w:r>
    </w:p>
    <w:p>
      <w:pPr>
        <w:widowControl/>
        <w:jc w:val="left"/>
        <w:rPr>
          <w:rFonts w:ascii="宋体" w:hAnsi="宋体" w:eastAsia="宋体" w:cs="Times New Roman"/>
          <w:color w:val="000000"/>
          <w:sz w:val="24"/>
          <w:szCs w:val="24"/>
        </w:rPr>
      </w:pPr>
      <w:r>
        <w:rPr>
          <w:rFonts w:ascii="宋体" w:hAnsi="宋体" w:eastAsia="宋体" w:cs="Times New Roman"/>
          <w:color w:val="000000"/>
          <w:sz w:val="24"/>
          <w:szCs w:val="24"/>
        </w:rPr>
        <w:br w:type="page"/>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（此页无正文，为《湖南智谷投资发展集团有限公司2024年非公开发行公司债券利率区间确认函》之签字盖章页）</w:t>
      </w: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p>
    <w:p>
      <w:pPr>
        <w:spacing w:line="360" w:lineRule="auto"/>
        <w:jc w:val="right"/>
        <w:rPr>
          <w:rFonts w:ascii="Arial" w:hAnsi="Arial" w:eastAsia="宋体" w:cs="Arial"/>
          <w:color w:val="000000"/>
          <w:sz w:val="24"/>
          <w:szCs w:val="24"/>
        </w:rPr>
      </w:pPr>
      <w:r>
        <w:rPr>
          <w:rFonts w:ascii="Arial" w:hAnsi="Arial" w:eastAsia="宋体" w:cs="Arial"/>
          <w:color w:val="000000"/>
          <w:sz w:val="24"/>
          <w:szCs w:val="24"/>
        </w:rPr>
        <w:t>乙方：【】</w:t>
      </w:r>
    </w:p>
    <w:p>
      <w:pPr>
        <w:spacing w:line="360" w:lineRule="auto"/>
        <w:jc w:val="right"/>
        <w:rPr>
          <w:rFonts w:ascii="Arial" w:hAnsi="Arial" w:eastAsia="宋体" w:cs="Arial"/>
          <w:color w:val="000000"/>
          <w:sz w:val="24"/>
          <w:szCs w:val="24"/>
        </w:rPr>
      </w:pPr>
    </w:p>
    <w:p>
      <w:pPr>
        <w:spacing w:line="360" w:lineRule="auto"/>
        <w:jc w:val="right"/>
        <w:rPr>
          <w:rFonts w:ascii="Arial" w:hAnsi="Arial" w:eastAsia="宋体" w:cs="Arial"/>
          <w:color w:val="000000"/>
          <w:sz w:val="24"/>
          <w:szCs w:val="24"/>
        </w:rPr>
      </w:pPr>
    </w:p>
    <w:p>
      <w:pPr>
        <w:wordWrap w:val="0"/>
        <w:spacing w:line="360" w:lineRule="auto"/>
        <w:jc w:val="right"/>
        <w:rPr>
          <w:rFonts w:ascii="Arial" w:hAnsi="Arial" w:eastAsia="宋体" w:cs="Arial"/>
          <w:color w:val="000000"/>
          <w:sz w:val="24"/>
          <w:szCs w:val="24"/>
        </w:rPr>
      </w:pPr>
      <w:r>
        <w:rPr>
          <w:rFonts w:ascii="Arial" w:hAnsi="Arial" w:eastAsia="宋体" w:cs="Arial"/>
          <w:color w:val="000000"/>
          <w:sz w:val="24"/>
          <w:szCs w:val="24"/>
        </w:rPr>
        <w:t>法定代表人（或授权代表）：</w:t>
      </w:r>
      <w:r>
        <w:rPr>
          <w:rFonts w:hint="eastAsia" w:ascii="Arial" w:hAnsi="Arial" w:eastAsia="宋体" w:cs="Arial"/>
          <w:color w:val="000000"/>
          <w:sz w:val="24"/>
          <w:szCs w:val="24"/>
        </w:rPr>
        <w:t xml:space="preserve">      </w:t>
      </w:r>
    </w:p>
    <w:p>
      <w:pPr>
        <w:adjustRightInd w:val="0"/>
        <w:snapToGrid w:val="0"/>
        <w:spacing w:line="360" w:lineRule="auto"/>
        <w:jc w:val="right"/>
        <w:rPr>
          <w:rFonts w:ascii="Arial" w:hAnsi="Arial" w:eastAsia="宋体" w:cs="Arial"/>
          <w:sz w:val="24"/>
          <w:szCs w:val="24"/>
        </w:rPr>
      </w:pPr>
    </w:p>
    <w:p>
      <w:pPr>
        <w:adjustRightInd w:val="0"/>
        <w:snapToGrid w:val="0"/>
        <w:spacing w:line="360" w:lineRule="auto"/>
        <w:jc w:val="right"/>
        <w:rPr>
          <w:rFonts w:ascii="Arial" w:hAnsi="Arial" w:eastAsia="宋体" w:cs="Arial"/>
          <w:sz w:val="24"/>
          <w:szCs w:val="24"/>
        </w:rPr>
      </w:pPr>
    </w:p>
    <w:p>
      <w:pPr>
        <w:tabs>
          <w:tab w:val="left" w:pos="3600"/>
        </w:tabs>
        <w:wordWrap w:val="0"/>
        <w:ind w:firstLine="1800" w:firstLineChars="750"/>
        <w:jc w:val="right"/>
        <w:rPr>
          <w:rFonts w:ascii="Arial" w:hAnsi="Arial" w:eastAsia="宋体" w:cs="Arial"/>
          <w:sz w:val="24"/>
          <w:szCs w:val="24"/>
        </w:rPr>
      </w:pPr>
      <w:r>
        <w:rPr>
          <w:rFonts w:ascii="Arial" w:hAnsi="Arial" w:eastAsia="宋体" w:cs="Arial"/>
          <w:sz w:val="24"/>
          <w:szCs w:val="24"/>
        </w:rPr>
        <w:t>年</w:t>
      </w:r>
      <w:r>
        <w:rPr>
          <w:rFonts w:hint="eastAsia" w:ascii="Arial" w:hAnsi="Arial" w:eastAsia="宋体" w:cs="Arial"/>
          <w:sz w:val="24"/>
          <w:szCs w:val="24"/>
        </w:rPr>
        <w:t xml:space="preserve">   </w:t>
      </w:r>
      <w:r>
        <w:rPr>
          <w:rFonts w:ascii="Arial" w:hAnsi="Arial" w:eastAsia="宋体" w:cs="Arial"/>
          <w:sz w:val="24"/>
          <w:szCs w:val="24"/>
        </w:rPr>
        <w:t>月</w:t>
      </w:r>
      <w:r>
        <w:rPr>
          <w:rFonts w:hint="eastAsia" w:ascii="Arial" w:hAnsi="Arial" w:eastAsia="宋体" w:cs="Arial"/>
          <w:sz w:val="24"/>
          <w:szCs w:val="24"/>
        </w:rPr>
        <w:t xml:space="preserve">   </w:t>
      </w:r>
      <w:r>
        <w:rPr>
          <w:rFonts w:ascii="Arial" w:hAnsi="Arial" w:eastAsia="宋体" w:cs="Arial"/>
          <w:sz w:val="24"/>
          <w:szCs w:val="24"/>
        </w:rPr>
        <w:t>日</w:t>
      </w:r>
    </w:p>
    <w:p>
      <w:pPr>
        <w:widowControl/>
        <w:jc w:val="left"/>
        <w:rPr>
          <w:rFonts w:ascii="Arial" w:hAnsi="Arial" w:eastAsia="宋体" w:cs="Arial"/>
          <w:sz w:val="24"/>
          <w:szCs w:val="24"/>
        </w:rPr>
      </w:pPr>
      <w:r>
        <w:rPr>
          <w:rFonts w:ascii="Arial" w:hAnsi="Arial" w:eastAsia="宋体" w:cs="Arial"/>
          <w:sz w:val="24"/>
          <w:szCs w:val="24"/>
        </w:rPr>
        <w:br w:type="page"/>
      </w:r>
    </w:p>
    <w:p>
      <w:pPr>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（此页无正文，为《湖南智谷投资发展集团有限公司2024年非公开发行公司债券利率区间确认函》之签字盖章页）</w:t>
      </w: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p>
    <w:p>
      <w:pPr>
        <w:spacing w:line="360" w:lineRule="auto"/>
        <w:ind w:firstLine="480" w:firstLineChars="200"/>
        <w:rPr>
          <w:rFonts w:ascii="宋体" w:hAnsi="宋体" w:eastAsia="宋体" w:cs="Times New Roman"/>
          <w:color w:val="000000"/>
          <w:sz w:val="24"/>
          <w:szCs w:val="24"/>
        </w:rPr>
      </w:pPr>
    </w:p>
    <w:p>
      <w:pPr>
        <w:spacing w:line="360" w:lineRule="auto"/>
        <w:jc w:val="right"/>
        <w:rPr>
          <w:rFonts w:ascii="Arial" w:hAnsi="Arial" w:eastAsia="宋体" w:cs="Arial"/>
          <w:color w:val="000000"/>
          <w:sz w:val="24"/>
          <w:szCs w:val="24"/>
        </w:rPr>
      </w:pPr>
      <w:r>
        <w:rPr>
          <w:rFonts w:ascii="Arial" w:hAnsi="Arial" w:eastAsia="宋体" w:cs="Arial"/>
          <w:color w:val="000000"/>
          <w:sz w:val="24"/>
          <w:szCs w:val="24"/>
        </w:rPr>
        <w:t>乙方：【】</w:t>
      </w:r>
    </w:p>
    <w:p>
      <w:pPr>
        <w:spacing w:line="360" w:lineRule="auto"/>
        <w:jc w:val="right"/>
        <w:rPr>
          <w:rFonts w:ascii="Arial" w:hAnsi="Arial" w:eastAsia="宋体" w:cs="Arial"/>
          <w:color w:val="000000"/>
          <w:sz w:val="24"/>
          <w:szCs w:val="24"/>
        </w:rPr>
      </w:pPr>
    </w:p>
    <w:p>
      <w:pPr>
        <w:spacing w:line="360" w:lineRule="auto"/>
        <w:jc w:val="right"/>
        <w:rPr>
          <w:rFonts w:ascii="Arial" w:hAnsi="Arial" w:eastAsia="宋体" w:cs="Arial"/>
          <w:color w:val="000000"/>
          <w:sz w:val="24"/>
          <w:szCs w:val="24"/>
        </w:rPr>
      </w:pPr>
    </w:p>
    <w:p>
      <w:pPr>
        <w:wordWrap w:val="0"/>
        <w:spacing w:line="360" w:lineRule="auto"/>
        <w:jc w:val="right"/>
        <w:rPr>
          <w:rFonts w:ascii="Arial" w:hAnsi="Arial" w:eastAsia="宋体" w:cs="Arial"/>
          <w:color w:val="000000"/>
          <w:sz w:val="24"/>
          <w:szCs w:val="24"/>
        </w:rPr>
      </w:pPr>
      <w:r>
        <w:rPr>
          <w:rFonts w:ascii="Arial" w:hAnsi="Arial" w:eastAsia="宋体" w:cs="Arial"/>
          <w:color w:val="000000"/>
          <w:sz w:val="24"/>
          <w:szCs w:val="24"/>
        </w:rPr>
        <w:t>法定代表人（或授权代表）：</w:t>
      </w:r>
      <w:r>
        <w:rPr>
          <w:rFonts w:hint="eastAsia" w:ascii="Arial" w:hAnsi="Arial" w:eastAsia="宋体" w:cs="Arial"/>
          <w:color w:val="000000"/>
          <w:sz w:val="24"/>
          <w:szCs w:val="24"/>
        </w:rPr>
        <w:t xml:space="preserve">      </w:t>
      </w:r>
    </w:p>
    <w:p>
      <w:pPr>
        <w:adjustRightInd w:val="0"/>
        <w:snapToGrid w:val="0"/>
        <w:spacing w:line="360" w:lineRule="auto"/>
        <w:jc w:val="right"/>
        <w:rPr>
          <w:rFonts w:ascii="Arial" w:hAnsi="Arial" w:eastAsia="宋体" w:cs="Arial"/>
          <w:sz w:val="24"/>
          <w:szCs w:val="24"/>
        </w:rPr>
      </w:pPr>
    </w:p>
    <w:p>
      <w:pPr>
        <w:adjustRightInd w:val="0"/>
        <w:snapToGrid w:val="0"/>
        <w:spacing w:line="360" w:lineRule="auto"/>
        <w:jc w:val="right"/>
        <w:rPr>
          <w:rFonts w:ascii="Arial" w:hAnsi="Arial" w:eastAsia="宋体" w:cs="Arial"/>
          <w:sz w:val="24"/>
          <w:szCs w:val="24"/>
        </w:rPr>
      </w:pPr>
    </w:p>
    <w:p>
      <w:pPr>
        <w:tabs>
          <w:tab w:val="left" w:pos="3600"/>
        </w:tabs>
        <w:wordWrap w:val="0"/>
        <w:ind w:firstLine="1800" w:firstLineChars="750"/>
        <w:jc w:val="right"/>
        <w:rPr>
          <w:rFonts w:ascii="Arial" w:hAnsi="Arial" w:eastAsia="宋体" w:cs="Arial"/>
          <w:sz w:val="24"/>
          <w:szCs w:val="24"/>
        </w:rPr>
      </w:pPr>
      <w:r>
        <w:rPr>
          <w:rFonts w:ascii="Arial" w:hAnsi="Arial" w:eastAsia="宋体" w:cs="Arial"/>
          <w:sz w:val="24"/>
          <w:szCs w:val="24"/>
        </w:rPr>
        <w:t>年</w:t>
      </w:r>
      <w:r>
        <w:rPr>
          <w:rFonts w:hint="eastAsia" w:ascii="Arial" w:hAnsi="Arial" w:eastAsia="宋体" w:cs="Arial"/>
          <w:sz w:val="24"/>
          <w:szCs w:val="24"/>
        </w:rPr>
        <w:t xml:space="preserve">   </w:t>
      </w:r>
      <w:r>
        <w:rPr>
          <w:rFonts w:ascii="Arial" w:hAnsi="Arial" w:eastAsia="宋体" w:cs="Arial"/>
          <w:sz w:val="24"/>
          <w:szCs w:val="24"/>
        </w:rPr>
        <w:t>月</w:t>
      </w:r>
      <w:r>
        <w:rPr>
          <w:rFonts w:hint="eastAsia" w:ascii="Arial" w:hAnsi="Arial" w:eastAsia="宋体" w:cs="Arial"/>
          <w:sz w:val="24"/>
          <w:szCs w:val="24"/>
        </w:rPr>
        <w:t xml:space="preserve">   </w:t>
      </w:r>
      <w:r>
        <w:rPr>
          <w:rFonts w:ascii="Arial" w:hAnsi="Arial" w:eastAsia="宋体" w:cs="Arial"/>
          <w:sz w:val="24"/>
          <w:szCs w:val="24"/>
        </w:rPr>
        <w:t>日</w:t>
      </w:r>
    </w:p>
    <w:p>
      <w:pPr>
        <w:tabs>
          <w:tab w:val="left" w:pos="3600"/>
        </w:tabs>
        <w:ind w:firstLine="1800" w:firstLineChars="750"/>
        <w:jc w:val="right"/>
        <w:rPr>
          <w:rFonts w:ascii="Arial" w:hAnsi="Arial" w:eastAsia="宋体" w:cs="Arial"/>
          <w:sz w:val="24"/>
          <w:szCs w:val="24"/>
        </w:rPr>
      </w:pPr>
    </w:p>
    <w:p>
      <w:pPr>
        <w:spacing w:line="360" w:lineRule="auto"/>
        <w:ind w:firstLine="480" w:firstLineChars="200"/>
        <w:jc w:val="right"/>
        <w:rPr>
          <w:rFonts w:ascii="宋体" w:hAnsi="宋体" w:eastAsia="宋体" w:cs="Times New Roman"/>
          <w:color w:val="000000"/>
          <w:sz w:val="24"/>
          <w:szCs w:val="24"/>
        </w:rPr>
      </w:pPr>
    </w:p>
    <w:p>
      <w:pPr>
        <w:widowControl/>
        <w:jc w:val="left"/>
        <w:rPr>
          <w:rFonts w:ascii="宋体" w:hAnsi="宋体" w:eastAsia="宋体" w:cs="Times New Roman"/>
          <w:color w:val="000000"/>
          <w:sz w:val="24"/>
          <w:szCs w:val="24"/>
        </w:rPr>
      </w:pPr>
      <w:r>
        <w:rPr>
          <w:rFonts w:ascii="宋体" w:hAnsi="宋体" w:eastAsia="宋体" w:cs="Times New Roman"/>
          <w:color w:val="000000"/>
          <w:sz w:val="24"/>
          <w:szCs w:val="24"/>
        </w:rPr>
        <w:br w:type="page"/>
      </w:r>
    </w:p>
    <w:p>
      <w:pPr>
        <w:rPr>
          <w:rFonts w:ascii="宋体" w:hAnsi="宋体" w:eastAsia="宋体" w:cs="Times New Roman"/>
          <w:b/>
          <w:sz w:val="28"/>
          <w:szCs w:val="28"/>
        </w:rPr>
      </w:pPr>
      <w:r>
        <w:rPr>
          <w:rFonts w:hint="eastAsia" w:ascii="宋体" w:hAnsi="宋体" w:eastAsia="宋体" w:cs="Times New Roman"/>
          <w:b/>
          <w:sz w:val="28"/>
          <w:szCs w:val="28"/>
        </w:rPr>
        <w:t>附件二：</w:t>
      </w:r>
    </w:p>
    <w:p>
      <w:pPr>
        <w:jc w:val="center"/>
        <w:rPr>
          <w:rFonts w:ascii="宋体" w:hAnsi="宋体" w:eastAsia="宋体" w:cs="Times New Roman"/>
          <w:b/>
          <w:sz w:val="28"/>
          <w:szCs w:val="28"/>
        </w:rPr>
      </w:pPr>
      <w:r>
        <w:rPr>
          <w:rFonts w:hint="eastAsia" w:ascii="宋体" w:hAnsi="宋体" w:eastAsia="宋体" w:cs="Times New Roman"/>
          <w:b/>
          <w:sz w:val="28"/>
          <w:szCs w:val="28"/>
        </w:rPr>
        <w:t>协议发票条款</w:t>
      </w:r>
    </w:p>
    <w:p>
      <w:pPr>
        <w:jc w:val="center"/>
        <w:rPr>
          <w:rFonts w:ascii="宋体" w:hAnsi="宋体" w:eastAsia="宋体" w:cs="Times New Roman"/>
          <w:b/>
          <w:sz w:val="28"/>
          <w:szCs w:val="28"/>
        </w:rPr>
      </w:pPr>
    </w:p>
    <w:tbl>
      <w:tblPr>
        <w:tblStyle w:val="4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1526" w:type="dxa"/>
            <w:noWrap w:val="0"/>
            <w:vAlign w:val="center"/>
          </w:tcPr>
          <w:p>
            <w:pPr>
              <w:jc w:val="center"/>
              <w:rPr>
                <w:rFonts w:ascii="宋体" w:hAnsi="宋体" w:eastAsia="宋体" w:cs="Times New Roman"/>
                <w:sz w:val="28"/>
                <w:szCs w:val="28"/>
              </w:rPr>
            </w:pPr>
            <w:r>
              <w:rPr>
                <w:rFonts w:hint="eastAsia" w:ascii="宋体" w:hAnsi="宋体" w:eastAsia="宋体" w:cs="Times New Roman"/>
                <w:sz w:val="28"/>
                <w:szCs w:val="28"/>
              </w:rPr>
              <w:t>发票类型</w:t>
            </w:r>
          </w:p>
        </w:tc>
        <w:tc>
          <w:tcPr>
            <w:tcW w:w="6996" w:type="dxa"/>
            <w:noWrap w:val="0"/>
            <w:vAlign w:val="center"/>
          </w:tcPr>
          <w:p>
            <w:pPr>
              <w:jc w:val="left"/>
              <w:rPr>
                <w:rFonts w:ascii="宋体" w:hAnsi="宋体" w:eastAsia="宋体" w:cs="Times New Roman"/>
                <w:sz w:val="24"/>
                <w:szCs w:val="24"/>
              </w:rPr>
            </w:pPr>
            <w:r>
              <w:rPr>
                <w:rFonts w:hint="eastAsia" w:ascii="宋体" w:hAnsi="宋体" w:eastAsia="宋体" w:cs="Times New Roman"/>
                <w:sz w:val="24"/>
                <w:szCs w:val="24"/>
              </w:rPr>
              <w:t>普通发票（税率        ）</w:t>
            </w:r>
          </w:p>
          <w:p>
            <w:pPr>
              <w:jc w:val="left"/>
              <w:rPr>
                <w:rFonts w:ascii="宋体" w:hAnsi="宋体" w:eastAsia="宋体" w:cs="Times New Roman"/>
                <w:sz w:val="24"/>
                <w:szCs w:val="24"/>
              </w:rPr>
            </w:pPr>
          </w:p>
          <w:p>
            <w:pPr>
              <w:jc w:val="left"/>
              <w:rPr>
                <w:rFonts w:ascii="宋体" w:hAnsi="宋体" w:eastAsia="宋体" w:cs="Times New Roman"/>
                <w:sz w:val="24"/>
                <w:szCs w:val="24"/>
              </w:rPr>
            </w:pPr>
            <w:r>
              <w:rPr>
                <w:rFonts w:hint="eastAsia" w:ascii="宋体" w:hAnsi="宋体" w:eastAsia="宋体" w:cs="Times New Roman"/>
                <w:sz w:val="24"/>
                <w:szCs w:val="24"/>
              </w:rPr>
              <w:t>增值税专用发票（税率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526" w:type="dxa"/>
            <w:noWrap w:val="0"/>
            <w:vAlign w:val="center"/>
          </w:tcPr>
          <w:p>
            <w:pPr>
              <w:jc w:val="center"/>
              <w:rPr>
                <w:rFonts w:ascii="宋体" w:hAnsi="宋体" w:eastAsia="宋体" w:cs="Times New Roman"/>
                <w:sz w:val="28"/>
                <w:szCs w:val="28"/>
              </w:rPr>
            </w:pPr>
            <w:r>
              <w:rPr>
                <w:rFonts w:hint="eastAsia" w:ascii="宋体" w:hAnsi="宋体" w:eastAsia="宋体" w:cs="Times New Roman"/>
                <w:sz w:val="28"/>
                <w:szCs w:val="28"/>
              </w:rPr>
              <w:t>开具时点</w:t>
            </w:r>
          </w:p>
        </w:tc>
        <w:tc>
          <w:tcPr>
            <w:tcW w:w="6996" w:type="dxa"/>
            <w:noWrap w:val="0"/>
            <w:vAlign w:val="center"/>
          </w:tcPr>
          <w:p>
            <w:pPr>
              <w:jc w:val="left"/>
              <w:rPr>
                <w:rFonts w:ascii="宋体" w:hAnsi="宋体" w:eastAsia="宋体" w:cs="Times New Roman"/>
                <w:sz w:val="24"/>
                <w:szCs w:val="24"/>
              </w:rPr>
            </w:pPr>
            <w:r>
              <w:rPr>
                <w:rFonts w:hint="eastAsia" w:ascii="宋体" w:hAnsi="宋体" w:eastAsia="宋体" w:cs="Times New Roman"/>
                <w:sz w:val="24"/>
                <w:szCs w:val="24"/>
              </w:rPr>
              <w:t>乙方（我公司）在收到甲方【    】万元承销费后【    】个工作日（或交易日）内，将发票原件传递给甲方。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5" w:hRule="atLeast"/>
          <w:jc w:val="center"/>
        </w:trPr>
        <w:tc>
          <w:tcPr>
            <w:tcW w:w="1526" w:type="dxa"/>
            <w:noWrap w:val="0"/>
            <w:vAlign w:val="center"/>
          </w:tcPr>
          <w:p>
            <w:pPr>
              <w:jc w:val="center"/>
              <w:rPr>
                <w:rFonts w:ascii="宋体" w:hAnsi="宋体" w:eastAsia="宋体" w:cs="Times New Roman"/>
                <w:sz w:val="28"/>
                <w:szCs w:val="28"/>
              </w:rPr>
            </w:pPr>
            <w:r>
              <w:rPr>
                <w:rFonts w:hint="eastAsia" w:ascii="宋体" w:hAnsi="宋体" w:eastAsia="宋体" w:cs="Times New Roman"/>
                <w:sz w:val="28"/>
                <w:szCs w:val="28"/>
              </w:rPr>
              <w:t>甲方发票抬头</w:t>
            </w:r>
          </w:p>
        </w:tc>
        <w:tc>
          <w:tcPr>
            <w:tcW w:w="6996" w:type="dxa"/>
            <w:noWrap w:val="0"/>
            <w:vAlign w:val="center"/>
          </w:tcPr>
          <w:p>
            <w:pPr>
              <w:jc w:val="center"/>
              <w:rPr>
                <w:rFonts w:ascii="宋体" w:hAnsi="宋体" w:eastAsia="宋体" w:cs="Times New Roman"/>
                <w:b/>
                <w:bCs/>
                <w:kern w:val="44"/>
                <w:sz w:val="24"/>
                <w:szCs w:val="24"/>
              </w:rPr>
            </w:pPr>
          </w:p>
          <w:p>
            <w:pPr>
              <w:jc w:val="left"/>
              <w:rPr>
                <w:rFonts w:hint="eastAsia" w:ascii="宋体" w:hAnsi="宋体" w:eastAsia="宋体" w:cs="Times New Roman"/>
                <w:sz w:val="24"/>
                <w:szCs w:val="24"/>
              </w:rPr>
            </w:pPr>
            <w:r>
              <w:rPr>
                <w:rFonts w:hint="eastAsia" w:ascii="宋体" w:hAnsi="宋体" w:eastAsia="宋体" w:cs="Times New Roman"/>
                <w:sz w:val="24"/>
                <w:szCs w:val="24"/>
              </w:rPr>
              <w:t>公司名称（营业执照上的全称）：</w:t>
            </w:r>
          </w:p>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left"/>
              <w:rPr>
                <w:rFonts w:hint="eastAsia" w:ascii="宋体" w:hAnsi="宋体" w:eastAsia="宋体" w:cs="Times New Roman"/>
                <w:sz w:val="24"/>
                <w:szCs w:val="24"/>
              </w:rPr>
            </w:pPr>
            <w:r>
              <w:rPr>
                <w:rFonts w:hint="eastAsia" w:ascii="宋体" w:hAnsi="宋体" w:eastAsia="宋体" w:cs="Times New Roman"/>
                <w:sz w:val="24"/>
                <w:szCs w:val="24"/>
              </w:rPr>
              <w:t>注册地址（营业执照上的注册地址）：</w:t>
            </w:r>
          </w:p>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left"/>
              <w:rPr>
                <w:rFonts w:hint="eastAsia" w:ascii="宋体" w:hAnsi="宋体" w:eastAsia="宋体" w:cs="Times New Roman"/>
                <w:sz w:val="24"/>
                <w:szCs w:val="24"/>
              </w:rPr>
            </w:pPr>
            <w:r>
              <w:rPr>
                <w:rFonts w:hint="eastAsia" w:ascii="宋体" w:hAnsi="宋体" w:eastAsia="宋体" w:cs="Times New Roman"/>
                <w:sz w:val="24"/>
                <w:szCs w:val="24"/>
              </w:rPr>
              <w:t>电话（能与公司保持联系的有效电话）：</w:t>
            </w:r>
          </w:p>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left"/>
              <w:rPr>
                <w:rFonts w:hint="eastAsia" w:ascii="宋体" w:hAnsi="宋体" w:eastAsia="宋体" w:cs="Times New Roman"/>
                <w:sz w:val="24"/>
                <w:szCs w:val="24"/>
              </w:rPr>
            </w:pPr>
            <w:r>
              <w:rPr>
                <w:rFonts w:hint="eastAsia" w:ascii="宋体" w:hAnsi="宋体" w:eastAsia="宋体" w:cs="Times New Roman"/>
                <w:sz w:val="24"/>
                <w:szCs w:val="24"/>
              </w:rPr>
              <w:t>开户行（公司银行开户许可证上的开户银行对应的账号）：</w:t>
            </w:r>
          </w:p>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left"/>
              <w:rPr>
                <w:rFonts w:hint="eastAsia" w:ascii="宋体" w:hAnsi="宋体" w:eastAsia="宋体" w:cs="Times New Roman"/>
                <w:sz w:val="24"/>
                <w:szCs w:val="24"/>
              </w:rPr>
            </w:pPr>
            <w:r>
              <w:rPr>
                <w:rFonts w:hint="eastAsia" w:ascii="宋体" w:hAnsi="宋体" w:eastAsia="宋体" w:cs="Times New Roman"/>
                <w:sz w:val="24"/>
                <w:szCs w:val="24"/>
              </w:rPr>
              <w:t>账号（公司银行开户许可证上的开户银行对应的账号）：</w:t>
            </w:r>
          </w:p>
          <w:p>
            <w:pPr>
              <w:jc w:val="left"/>
              <w:rPr>
                <w:rFonts w:ascii="宋体" w:hAnsi="宋体" w:eastAsia="宋体" w:cs="Times New Roman"/>
                <w:sz w:val="24"/>
                <w:szCs w:val="24"/>
              </w:rPr>
            </w:pPr>
          </w:p>
          <w:p>
            <w:pPr>
              <w:jc w:val="left"/>
              <w:rPr>
                <w:rFonts w:ascii="宋体" w:hAnsi="宋体" w:eastAsia="宋体" w:cs="Times New Roman"/>
                <w:sz w:val="24"/>
                <w:szCs w:val="24"/>
              </w:rPr>
            </w:pPr>
          </w:p>
          <w:p>
            <w:pPr>
              <w:jc w:val="center"/>
              <w:rPr>
                <w:rFonts w:ascii="宋体" w:hAnsi="宋体" w:eastAsia="宋体" w:cs="Times New Roman"/>
                <w:sz w:val="24"/>
                <w:szCs w:val="24"/>
              </w:rPr>
            </w:pPr>
            <w:r>
              <w:rPr>
                <w:rFonts w:hint="eastAsia" w:ascii="宋体" w:hAnsi="宋体" w:eastAsia="宋体" w:cs="Times New Roman"/>
                <w:sz w:val="24"/>
                <w:szCs w:val="24"/>
              </w:rPr>
              <w:t>纳税人识别号（税务登记证上的15位税务登记证号或18位的“统一社会信用代码”：）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jc w:val="center"/>
        </w:trPr>
        <w:tc>
          <w:tcPr>
            <w:tcW w:w="1526" w:type="dxa"/>
            <w:noWrap w:val="0"/>
            <w:vAlign w:val="center"/>
          </w:tcPr>
          <w:p>
            <w:pPr>
              <w:jc w:val="center"/>
              <w:rPr>
                <w:rFonts w:ascii="宋体" w:hAnsi="宋体" w:eastAsia="宋体" w:cs="Times New Roman"/>
                <w:sz w:val="28"/>
                <w:szCs w:val="28"/>
              </w:rPr>
            </w:pPr>
            <w:r>
              <w:rPr>
                <w:rFonts w:hint="eastAsia" w:ascii="宋体" w:hAnsi="宋体" w:eastAsia="宋体" w:cs="Times New Roman"/>
                <w:sz w:val="28"/>
                <w:szCs w:val="28"/>
              </w:rPr>
              <w:t>发票违约责任条款</w:t>
            </w:r>
          </w:p>
        </w:tc>
        <w:tc>
          <w:tcPr>
            <w:tcW w:w="6996" w:type="dxa"/>
            <w:noWrap w:val="0"/>
            <w:vAlign w:val="center"/>
          </w:tcPr>
          <w:p>
            <w:pPr>
              <w:jc w:val="left"/>
              <w:rPr>
                <w:rFonts w:ascii="宋体" w:hAnsi="宋体" w:eastAsia="宋体" w:cs="Times New Roman"/>
                <w:sz w:val="24"/>
                <w:szCs w:val="24"/>
              </w:rPr>
            </w:pPr>
            <w:r>
              <w:rPr>
                <w:rFonts w:hint="eastAsia" w:ascii="宋体" w:hAnsi="宋体" w:eastAsia="宋体" w:cs="Times New Roman"/>
                <w:sz w:val="24"/>
                <w:szCs w:val="24"/>
              </w:rPr>
              <w:t>甲方须确保以上发票信息完全正确。当由于甲方过失，导致乙方开票错误时，甲方需协助乙方解决发票作废或红冲的相关事宜，同时应赔偿乙方相应的费用。</w:t>
            </w:r>
          </w:p>
        </w:tc>
      </w:tr>
    </w:tbl>
    <w:p>
      <w:pPr>
        <w:keepNext w:val="0"/>
        <w:keepLines w:val="0"/>
        <w:pageBreakBefore w:val="0"/>
        <w:widowControl w:val="0"/>
        <w:kinsoku/>
        <w:wordWrap/>
        <w:overflowPunct/>
        <w:topLinePunct w:val="0"/>
        <w:autoSpaceDE/>
        <w:autoSpaceDN/>
        <w:bidi w:val="0"/>
        <w:adjustRightInd/>
        <w:snapToGrid/>
        <w:spacing w:after="937" w:afterLines="300"/>
        <w:jc w:val="center"/>
        <w:textAlignment w:val="auto"/>
        <w:rPr>
          <w:rFonts w:hint="eastAsia" w:ascii="宋体" w:hAnsi="宋体" w:cs="宋体"/>
          <w:b/>
          <w:color w:val="auto"/>
          <w:sz w:val="32"/>
          <w:szCs w:val="32"/>
        </w:rPr>
      </w:pPr>
      <w:r>
        <w:rPr>
          <w:rFonts w:hint="eastAsia" w:ascii="宋体" w:hAnsi="宋体" w:cs="宋体"/>
          <w:b/>
          <w:color w:val="auto"/>
          <w:sz w:val="32"/>
          <w:szCs w:val="32"/>
        </w:rPr>
        <w:t xml:space="preserve"> </w:t>
      </w:r>
    </w:p>
    <w:p>
      <w:pPr>
        <w:jc w:val="center"/>
        <w:rPr>
          <w:color w:val="auto"/>
        </w:rPr>
      </w:pPr>
      <w:bookmarkStart w:id="3" w:name="_Toc88816261"/>
      <w:bookmarkStart w:id="4" w:name="_Toc3290"/>
      <w:bookmarkStart w:id="5" w:name="_Toc30732"/>
      <w:bookmarkStart w:id="6" w:name="_Toc16003"/>
      <w:bookmarkStart w:id="7" w:name="_Toc521080305"/>
      <w:r>
        <w:rPr>
          <w:rFonts w:hint="eastAsia" w:ascii="宋体" w:hAnsi="宋体" w:cs="宋体"/>
          <w:b/>
          <w:color w:val="auto"/>
          <w:sz w:val="32"/>
          <w:szCs w:val="32"/>
        </w:rPr>
        <w:t>第四章  采购需求</w:t>
      </w:r>
      <w:bookmarkEnd w:id="3"/>
      <w:bookmarkEnd w:id="4"/>
      <w:bookmarkEnd w:id="5"/>
      <w:bookmarkEnd w:id="6"/>
      <w:bookmarkEnd w:id="7"/>
    </w:p>
    <w:p>
      <w:pPr>
        <w:spacing w:line="300" w:lineRule="auto"/>
        <w:rPr>
          <w:rFonts w:hint="eastAsia" w:ascii="宋体" w:hAnsi="宋体" w:eastAsia="宋体" w:cs="宋体"/>
          <w:b/>
          <w:bCs/>
          <w:color w:val="auto"/>
          <w:szCs w:val="21"/>
        </w:rPr>
      </w:pPr>
      <w:r>
        <w:rPr>
          <w:rFonts w:hint="eastAsia" w:ascii="宋体" w:hAnsi="宋体" w:eastAsia="宋体" w:cs="宋体"/>
          <w:b/>
          <w:bCs/>
          <w:color w:val="auto"/>
          <w:szCs w:val="21"/>
        </w:rPr>
        <w:t>一、项目概况</w:t>
      </w:r>
    </w:p>
    <w:p>
      <w:pPr>
        <w:spacing w:line="30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1、项目名称：202</w:t>
      </w:r>
      <w:r>
        <w:rPr>
          <w:rFonts w:hint="eastAsia" w:ascii="宋体" w:hAnsi="宋体" w:eastAsia="宋体" w:cs="宋体"/>
          <w:color w:val="auto"/>
          <w:szCs w:val="21"/>
          <w:lang w:val="en-US" w:eastAsia="zh-CN"/>
        </w:rPr>
        <w:t>4</w:t>
      </w:r>
      <w:r>
        <w:rPr>
          <w:rFonts w:hint="eastAsia" w:ascii="宋体" w:hAnsi="宋体" w:eastAsia="宋体" w:cs="宋体"/>
          <w:color w:val="auto"/>
          <w:szCs w:val="21"/>
        </w:rPr>
        <w:t>年非公开公司债券主承销商采购服务</w:t>
      </w:r>
    </w:p>
    <w:p>
      <w:pPr>
        <w:spacing w:line="30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2、发行规模及债券期限：本次债券的发行采取非公开</w:t>
      </w:r>
      <w:r>
        <w:rPr>
          <w:rFonts w:hint="eastAsia" w:ascii="宋体" w:hAnsi="宋体" w:eastAsia="宋体" w:cs="宋体"/>
          <w:color w:val="auto"/>
          <w:szCs w:val="21"/>
          <w:lang w:eastAsia="zh-CN"/>
        </w:rPr>
        <w:t>发行</w:t>
      </w:r>
      <w:r>
        <w:rPr>
          <w:rFonts w:hint="eastAsia" w:ascii="宋体" w:hAnsi="宋体" w:eastAsia="宋体" w:cs="宋体"/>
          <w:color w:val="auto"/>
          <w:szCs w:val="21"/>
        </w:rPr>
        <w:t>的方式，拟非公开发行不超过人民币</w:t>
      </w:r>
      <w:r>
        <w:rPr>
          <w:rFonts w:hint="eastAsia" w:ascii="宋体" w:hAnsi="宋体" w:eastAsia="宋体" w:cs="宋体"/>
          <w:color w:val="auto"/>
          <w:szCs w:val="21"/>
          <w:lang w:val="en-US" w:eastAsia="zh-CN"/>
        </w:rPr>
        <w:t>10</w:t>
      </w:r>
      <w:r>
        <w:rPr>
          <w:rFonts w:hint="eastAsia" w:ascii="宋体" w:hAnsi="宋体" w:eastAsia="宋体" w:cs="宋体"/>
          <w:color w:val="auto"/>
          <w:szCs w:val="21"/>
        </w:rPr>
        <w:t>亿元的非公开发行公司债券（具体发行规模以交易所无异议函为准），债券期限为</w:t>
      </w:r>
      <w:r>
        <w:rPr>
          <w:rFonts w:ascii="宋体" w:hAnsi="宋体" w:eastAsia="宋体" w:cs="宋体"/>
          <w:color w:val="auto"/>
          <w:szCs w:val="21"/>
        </w:rPr>
        <w:t>3</w:t>
      </w:r>
      <w:r>
        <w:rPr>
          <w:rFonts w:hint="eastAsia" w:ascii="宋体" w:hAnsi="宋体" w:eastAsia="宋体" w:cs="宋体"/>
          <w:color w:val="auto"/>
          <w:szCs w:val="21"/>
        </w:rPr>
        <w:t>年（具体根据申报、发行情况协商确定）。</w:t>
      </w:r>
    </w:p>
    <w:p>
      <w:pPr>
        <w:spacing w:line="30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3、发行种类及价格：种类为实名制记帐式债券，每张面值为人民币100元。发行价格按面值发行。</w:t>
      </w:r>
    </w:p>
    <w:p>
      <w:pPr>
        <w:spacing w:line="30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4、发行利率：由发行人与承销商根据市场询价结果协商一致后确定。</w:t>
      </w:r>
    </w:p>
    <w:p>
      <w:pPr>
        <w:spacing w:line="30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5、发行时机：在本次债券获得交易所无异议函后的有效期限内，由发行人与承销商择机发行。</w:t>
      </w:r>
    </w:p>
    <w:p>
      <w:pPr>
        <w:spacing w:line="30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6、还本付息方式：具体根据申报时监管政策及公司实际情况协商确定。</w:t>
      </w:r>
    </w:p>
    <w:p>
      <w:pPr>
        <w:spacing w:line="30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7、募集资金用途：本次债券募集的资金在扣除发行费用后，拟用于偿还公司有息债务和/或补充流动资金。</w:t>
      </w:r>
    </w:p>
    <w:p>
      <w:pPr>
        <w:spacing w:line="300" w:lineRule="auto"/>
        <w:ind w:firstLine="420" w:firstLineChars="200"/>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8、承销方式：余额包销。</w:t>
      </w:r>
    </w:p>
    <w:p>
      <w:pPr>
        <w:spacing w:line="360" w:lineRule="auto"/>
        <w:rPr>
          <w:rStyle w:val="310"/>
          <w:rFonts w:ascii="宋体" w:hAnsi="宋体" w:eastAsia="宋体" w:cs="宋体"/>
          <w:b/>
          <w:bCs/>
          <w:color w:val="auto"/>
          <w:szCs w:val="21"/>
        </w:rPr>
      </w:pPr>
      <w:r>
        <w:rPr>
          <w:rStyle w:val="310"/>
          <w:rFonts w:hint="eastAsia" w:ascii="宋体" w:hAnsi="宋体" w:eastAsia="宋体" w:cs="宋体"/>
          <w:b/>
          <w:bCs/>
          <w:color w:val="auto"/>
          <w:szCs w:val="21"/>
        </w:rPr>
        <w:t>二</w:t>
      </w:r>
      <w:r>
        <w:rPr>
          <w:rStyle w:val="310"/>
          <w:rFonts w:ascii="宋体" w:hAnsi="宋体" w:eastAsia="宋体" w:cs="宋体"/>
          <w:b/>
          <w:bCs/>
          <w:color w:val="auto"/>
          <w:szCs w:val="21"/>
        </w:rPr>
        <w:t>、服务工作内容</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本项目为湖南智谷投资发展集团有限公司202</w:t>
      </w:r>
      <w:r>
        <w:rPr>
          <w:rStyle w:val="310"/>
          <w:rFonts w:hint="eastAsia" w:ascii="宋体" w:hAnsi="宋体" w:eastAsia="宋体" w:cs="宋体"/>
          <w:bCs/>
          <w:color w:val="auto"/>
          <w:szCs w:val="24"/>
          <w:lang w:val="en-US" w:eastAsia="zh-CN"/>
        </w:rPr>
        <w:t>4</w:t>
      </w:r>
      <w:r>
        <w:rPr>
          <w:rStyle w:val="310"/>
          <w:rFonts w:ascii="宋体" w:hAnsi="宋体" w:eastAsia="宋体" w:cs="宋体"/>
          <w:bCs/>
          <w:color w:val="auto"/>
          <w:szCs w:val="24"/>
        </w:rPr>
        <w:t>年</w:t>
      </w:r>
      <w:r>
        <w:rPr>
          <w:rStyle w:val="310"/>
          <w:rFonts w:hint="eastAsia" w:ascii="宋体" w:hAnsi="宋体" w:eastAsia="宋体" w:cs="宋体"/>
          <w:bCs/>
          <w:color w:val="auto"/>
          <w:szCs w:val="24"/>
          <w:lang w:val="en-US" w:eastAsia="zh-CN"/>
        </w:rPr>
        <w:t>非公开</w:t>
      </w:r>
      <w:r>
        <w:rPr>
          <w:rStyle w:val="310"/>
          <w:rFonts w:ascii="宋体" w:hAnsi="宋体" w:eastAsia="宋体" w:cs="宋体"/>
          <w:bCs/>
          <w:color w:val="auto"/>
          <w:szCs w:val="24"/>
        </w:rPr>
        <w:t>公司债券主承销商招标项目，本次债券发行规模不超过人民币</w:t>
      </w:r>
      <w:r>
        <w:rPr>
          <w:rStyle w:val="310"/>
          <w:rFonts w:hint="eastAsia" w:ascii="宋体" w:hAnsi="宋体" w:eastAsia="宋体" w:cs="宋体"/>
          <w:bCs/>
          <w:color w:val="auto"/>
          <w:szCs w:val="24"/>
          <w:lang w:val="en-US" w:eastAsia="zh-CN"/>
        </w:rPr>
        <w:t>10</w:t>
      </w:r>
      <w:r>
        <w:rPr>
          <w:rStyle w:val="310"/>
          <w:rFonts w:ascii="宋体" w:hAnsi="宋体" w:eastAsia="宋体" w:cs="宋体"/>
          <w:bCs/>
          <w:color w:val="auto"/>
          <w:szCs w:val="24"/>
        </w:rPr>
        <w:t>亿元（含</w:t>
      </w:r>
      <w:r>
        <w:rPr>
          <w:rStyle w:val="310"/>
          <w:rFonts w:hint="eastAsia" w:ascii="宋体" w:hAnsi="宋体" w:eastAsia="宋体" w:cs="宋体"/>
          <w:bCs/>
          <w:color w:val="auto"/>
          <w:szCs w:val="24"/>
          <w:lang w:val="en-US" w:eastAsia="zh-CN"/>
        </w:rPr>
        <w:t>10</w:t>
      </w:r>
      <w:r>
        <w:rPr>
          <w:rStyle w:val="310"/>
          <w:rFonts w:ascii="宋体" w:hAnsi="宋体" w:eastAsia="宋体" w:cs="宋体"/>
          <w:bCs/>
          <w:color w:val="auto"/>
          <w:szCs w:val="24"/>
        </w:rPr>
        <w:t>亿元），发行期限</w:t>
      </w:r>
      <w:r>
        <w:rPr>
          <w:rStyle w:val="310"/>
          <w:rFonts w:hint="eastAsia" w:ascii="宋体" w:hAnsi="宋体" w:eastAsia="宋体" w:cs="宋体"/>
          <w:bCs/>
          <w:color w:val="auto"/>
          <w:szCs w:val="24"/>
        </w:rPr>
        <w:t>3年</w:t>
      </w:r>
      <w:r>
        <w:rPr>
          <w:rStyle w:val="310"/>
          <w:rFonts w:ascii="宋体" w:hAnsi="宋体" w:eastAsia="宋体" w:cs="宋体"/>
          <w:bCs/>
          <w:color w:val="auto"/>
          <w:szCs w:val="24"/>
        </w:rPr>
        <w:t>，发行利率根据发行时市场行情确定。</w:t>
      </w:r>
    </w:p>
    <w:p>
      <w:pPr>
        <w:spacing w:line="360" w:lineRule="auto"/>
        <w:ind w:firstLine="420" w:firstLineChars="200"/>
        <w:rPr>
          <w:rStyle w:val="310"/>
          <w:rFonts w:hint="eastAsia" w:ascii="宋体" w:hAnsi="宋体" w:eastAsia="宋体" w:cs="宋体"/>
          <w:color w:val="auto"/>
          <w:szCs w:val="21"/>
        </w:rPr>
      </w:pPr>
      <w:r>
        <w:rPr>
          <w:rStyle w:val="310"/>
          <w:rFonts w:hint="eastAsia" w:ascii="宋体" w:hAnsi="宋体" w:eastAsia="宋体" w:cs="宋体"/>
          <w:color w:val="auto"/>
          <w:szCs w:val="21"/>
        </w:rPr>
        <w:t>承销商接受发行人的委托作为本期公司债券的主承销商，根据发行人实际情况，提出合理化建议，制定发行方案，组织专业人员从事申报发行工作，为发行人提供与本次发行相关的顾问策划、主管机关协调、方案设计和销售兑付等服务并承担余额包销责任。具体工作内容包括但不限于：</w:t>
      </w:r>
    </w:p>
    <w:p>
      <w:pPr>
        <w:spacing w:line="360" w:lineRule="auto"/>
        <w:ind w:firstLine="420" w:firstLineChars="200"/>
        <w:rPr>
          <w:rStyle w:val="310"/>
          <w:rFonts w:hint="eastAsia" w:ascii="宋体" w:hAnsi="宋体" w:eastAsia="宋体" w:cs="宋体"/>
          <w:color w:val="auto"/>
          <w:szCs w:val="21"/>
        </w:rPr>
      </w:pPr>
      <w:r>
        <w:rPr>
          <w:rStyle w:val="310"/>
          <w:rFonts w:hint="eastAsia" w:ascii="宋体" w:hAnsi="宋体" w:eastAsia="宋体" w:cs="宋体"/>
          <w:color w:val="auto"/>
          <w:szCs w:val="21"/>
        </w:rPr>
        <w:t>（1）在对发行人进行尽职调查的基础上，为发行人设计公司债券的申报发行方案；</w:t>
      </w:r>
    </w:p>
    <w:p>
      <w:pPr>
        <w:spacing w:line="360" w:lineRule="auto"/>
        <w:ind w:firstLine="420" w:firstLineChars="200"/>
        <w:rPr>
          <w:rStyle w:val="310"/>
          <w:rFonts w:hint="eastAsia" w:ascii="宋体" w:hAnsi="宋体" w:eastAsia="宋体" w:cs="宋体"/>
          <w:color w:val="auto"/>
          <w:szCs w:val="21"/>
        </w:rPr>
      </w:pPr>
      <w:r>
        <w:rPr>
          <w:rStyle w:val="310"/>
          <w:rFonts w:hint="eastAsia" w:ascii="宋体" w:hAnsi="宋体" w:eastAsia="宋体" w:cs="宋体"/>
          <w:color w:val="auto"/>
          <w:szCs w:val="21"/>
        </w:rPr>
        <w:t>（2）对发行人公司债券的申报发行进行总体策划，起草发行工作方案，组织并主持召开发行人、承销商及有关中介机构参加的协调会，并通过协调讨论，确定发行总体方案及工作时间表；</w:t>
      </w:r>
    </w:p>
    <w:p>
      <w:pPr>
        <w:spacing w:line="360" w:lineRule="auto"/>
        <w:ind w:firstLine="420" w:firstLineChars="200"/>
        <w:rPr>
          <w:rStyle w:val="310"/>
          <w:rFonts w:hint="eastAsia" w:ascii="宋体" w:hAnsi="宋体" w:eastAsia="宋体" w:cs="宋体"/>
          <w:color w:val="auto"/>
          <w:szCs w:val="21"/>
        </w:rPr>
      </w:pPr>
      <w:r>
        <w:rPr>
          <w:rStyle w:val="310"/>
          <w:rFonts w:hint="eastAsia" w:ascii="宋体" w:hAnsi="宋体" w:eastAsia="宋体" w:cs="宋体"/>
          <w:color w:val="auto"/>
          <w:szCs w:val="21"/>
        </w:rPr>
        <w:t>（3）制作、编制发行所必须的申请材料（法律规定应由其他相关中介机构制作的申报材料除外）；</w:t>
      </w:r>
    </w:p>
    <w:p>
      <w:pPr>
        <w:spacing w:line="360" w:lineRule="auto"/>
        <w:ind w:firstLine="420" w:firstLineChars="200"/>
        <w:rPr>
          <w:rStyle w:val="310"/>
          <w:rFonts w:hint="eastAsia" w:ascii="宋体" w:hAnsi="宋体" w:eastAsia="宋体" w:cs="宋体"/>
          <w:color w:val="auto"/>
          <w:szCs w:val="21"/>
        </w:rPr>
      </w:pPr>
      <w:r>
        <w:rPr>
          <w:rStyle w:val="310"/>
          <w:rFonts w:hint="eastAsia" w:ascii="宋体" w:hAnsi="宋体" w:eastAsia="宋体" w:cs="宋体"/>
          <w:color w:val="auto"/>
          <w:szCs w:val="21"/>
        </w:rPr>
        <w:t>（4）负责公司债券发行有关的申报、审批、发行承销、登记托管、信息披露等事宜，以及发行后续服务支持；</w:t>
      </w:r>
    </w:p>
    <w:p>
      <w:pPr>
        <w:spacing w:line="360" w:lineRule="auto"/>
        <w:ind w:firstLine="420" w:firstLineChars="200"/>
        <w:rPr>
          <w:rStyle w:val="310"/>
          <w:rFonts w:hint="eastAsia" w:ascii="宋体" w:hAnsi="宋体" w:eastAsia="宋体" w:cs="宋体"/>
          <w:color w:val="auto"/>
          <w:szCs w:val="21"/>
        </w:rPr>
      </w:pPr>
      <w:r>
        <w:rPr>
          <w:rStyle w:val="310"/>
          <w:rFonts w:hint="eastAsia" w:ascii="宋体" w:hAnsi="宋体" w:eastAsia="宋体" w:cs="宋体"/>
          <w:color w:val="auto"/>
          <w:szCs w:val="21"/>
        </w:rPr>
        <w:t>（5）法律规定和交易文件约定的应提供的相关服务。</w:t>
      </w:r>
    </w:p>
    <w:p>
      <w:pPr>
        <w:spacing w:line="360" w:lineRule="auto"/>
        <w:rPr>
          <w:rStyle w:val="310"/>
          <w:rFonts w:ascii="宋体" w:hAnsi="宋体" w:eastAsia="宋体" w:cs="宋体"/>
          <w:b/>
          <w:bCs/>
          <w:color w:val="auto"/>
          <w:szCs w:val="21"/>
        </w:rPr>
      </w:pPr>
      <w:r>
        <w:rPr>
          <w:rStyle w:val="310"/>
          <w:rFonts w:hint="eastAsia" w:ascii="宋体" w:hAnsi="宋体" w:eastAsia="宋体" w:cs="宋体"/>
          <w:b/>
          <w:bCs/>
          <w:color w:val="auto"/>
          <w:szCs w:val="21"/>
        </w:rPr>
        <w:t>三</w:t>
      </w:r>
      <w:r>
        <w:rPr>
          <w:rStyle w:val="310"/>
          <w:rFonts w:ascii="宋体" w:hAnsi="宋体" w:eastAsia="宋体" w:cs="宋体"/>
          <w:b/>
          <w:bCs/>
          <w:color w:val="auto"/>
          <w:szCs w:val="21"/>
        </w:rPr>
        <w:t>、时限与地点要求</w:t>
      </w:r>
    </w:p>
    <w:p>
      <w:pPr>
        <w:pStyle w:val="311"/>
        <w:spacing w:after="0" w:line="360" w:lineRule="auto"/>
        <w:ind w:left="0" w:leftChars="0"/>
        <w:rPr>
          <w:rStyle w:val="310"/>
          <w:rFonts w:ascii="宋体" w:hAnsi="宋体"/>
          <w:color w:val="auto"/>
          <w:sz w:val="21"/>
          <w:szCs w:val="21"/>
        </w:rPr>
      </w:pPr>
      <w:r>
        <w:rPr>
          <w:rStyle w:val="310"/>
          <w:rFonts w:ascii="宋体" w:hAnsi="宋体"/>
          <w:color w:val="auto"/>
          <w:kern w:val="2"/>
          <w:sz w:val="21"/>
          <w:szCs w:val="21"/>
        </w:rPr>
        <w:t>中标人在签订合同后60日内完成发行方案、撰写申报材料等各项内部审核工作，能够向</w:t>
      </w:r>
      <w:r>
        <w:rPr>
          <w:rStyle w:val="310"/>
          <w:rFonts w:hint="eastAsia" w:ascii="宋体" w:hAnsi="宋体"/>
          <w:color w:val="auto"/>
          <w:kern w:val="2"/>
          <w:sz w:val="21"/>
          <w:szCs w:val="21"/>
        </w:rPr>
        <w:t>交易所</w:t>
      </w:r>
      <w:r>
        <w:rPr>
          <w:rStyle w:val="310"/>
          <w:rFonts w:ascii="宋体" w:hAnsi="宋体"/>
          <w:color w:val="auto"/>
          <w:kern w:val="2"/>
          <w:sz w:val="21"/>
          <w:szCs w:val="21"/>
        </w:rPr>
        <w:t>进行第一次申报工作，具体发行时间和发行期数根据合同签订后双方的具体约定执行。</w:t>
      </w:r>
    </w:p>
    <w:p>
      <w:pPr>
        <w:pStyle w:val="311"/>
        <w:spacing w:after="0" w:line="360" w:lineRule="auto"/>
        <w:ind w:left="0" w:leftChars="0"/>
        <w:rPr>
          <w:rStyle w:val="310"/>
          <w:rFonts w:ascii="宋体" w:hAnsi="宋体"/>
          <w:color w:val="auto"/>
          <w:sz w:val="21"/>
          <w:szCs w:val="21"/>
        </w:rPr>
      </w:pPr>
      <w:r>
        <w:rPr>
          <w:rStyle w:val="310"/>
          <w:rFonts w:ascii="宋体" w:hAnsi="宋体"/>
          <w:color w:val="auto"/>
          <w:kern w:val="2"/>
          <w:sz w:val="21"/>
          <w:szCs w:val="21"/>
        </w:rPr>
        <w:t>交付地点：采购人指定地点。</w:t>
      </w:r>
    </w:p>
    <w:p>
      <w:pPr>
        <w:pStyle w:val="311"/>
        <w:spacing w:after="0" w:line="360" w:lineRule="auto"/>
        <w:ind w:left="0" w:leftChars="0" w:firstLine="0"/>
        <w:rPr>
          <w:rStyle w:val="310"/>
          <w:rFonts w:ascii="宋体" w:hAnsi="宋体" w:cs="宋体"/>
          <w:b/>
          <w:bCs/>
          <w:color w:val="auto"/>
          <w:sz w:val="21"/>
          <w:szCs w:val="21"/>
        </w:rPr>
      </w:pPr>
      <w:r>
        <w:rPr>
          <w:rStyle w:val="310"/>
          <w:rFonts w:hint="eastAsia" w:ascii="宋体" w:hAnsi="宋体" w:cs="宋体"/>
          <w:b/>
          <w:bCs/>
          <w:color w:val="auto"/>
          <w:kern w:val="2"/>
          <w:sz w:val="21"/>
          <w:szCs w:val="21"/>
        </w:rPr>
        <w:t>四</w:t>
      </w:r>
      <w:r>
        <w:rPr>
          <w:rStyle w:val="310"/>
          <w:rFonts w:ascii="宋体" w:hAnsi="宋体" w:cs="宋体"/>
          <w:b/>
          <w:bCs/>
          <w:color w:val="auto"/>
          <w:kern w:val="2"/>
          <w:sz w:val="21"/>
          <w:szCs w:val="21"/>
        </w:rPr>
        <w:t>、服务质量要求</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1、确保债券按时、按量、按质的顺利发行。</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2、发行利率、发行期限合理，尽可能降低发债成本。</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3、与采购人、银行间市场交易商协会有良好的沟通能力、尽心尽责。</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4、及时、准确、充分的完成申报材料及申报方案并主动反馈相关信息意见的回复。</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5、中标单位须保证本次债券发行任务能如质如期地完成。如合同签订后一年内未能发行成功，采购人有权单方面解除合约，采购人不承担任何责任。</w:t>
      </w:r>
    </w:p>
    <w:p>
      <w:pPr>
        <w:spacing w:line="360" w:lineRule="auto"/>
        <w:rPr>
          <w:rStyle w:val="310"/>
          <w:rFonts w:ascii="宋体" w:hAnsi="宋体" w:eastAsia="宋体" w:cs="宋体"/>
          <w:b/>
          <w:bCs/>
          <w:color w:val="auto"/>
          <w:szCs w:val="21"/>
        </w:rPr>
      </w:pPr>
      <w:r>
        <w:rPr>
          <w:rStyle w:val="310"/>
          <w:rFonts w:hint="eastAsia" w:ascii="宋体" w:hAnsi="宋体" w:eastAsia="宋体" w:cs="宋体"/>
          <w:b/>
          <w:bCs/>
          <w:color w:val="auto"/>
          <w:szCs w:val="21"/>
        </w:rPr>
        <w:t>五</w:t>
      </w:r>
      <w:r>
        <w:rPr>
          <w:rStyle w:val="310"/>
          <w:rFonts w:ascii="宋体" w:hAnsi="宋体" w:eastAsia="宋体" w:cs="宋体"/>
          <w:b/>
          <w:bCs/>
          <w:color w:val="auto"/>
          <w:szCs w:val="21"/>
        </w:rPr>
        <w:t>、其他要求</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1、承销商对本期发行应进行充分的市场调查和可行性分析，负责向发行人提供本期发行总体方案的建议书，并与发行人共同确定发行利率和最终发行方案，与发行人共同编制与本期</w:t>
      </w:r>
      <w:r>
        <w:rPr>
          <w:rStyle w:val="310"/>
          <w:rFonts w:hint="eastAsia" w:ascii="宋体" w:hAnsi="宋体" w:eastAsia="宋体" w:cs="宋体"/>
          <w:bCs/>
          <w:color w:val="auto"/>
          <w:szCs w:val="24"/>
        </w:rPr>
        <w:t>公司债券</w:t>
      </w:r>
      <w:r>
        <w:rPr>
          <w:rStyle w:val="310"/>
          <w:rFonts w:ascii="宋体" w:hAnsi="宋体" w:eastAsia="宋体" w:cs="宋体"/>
          <w:bCs/>
          <w:color w:val="auto"/>
          <w:szCs w:val="24"/>
        </w:rPr>
        <w:t>发行有关的申报材料，包括募集说明书等的编写、草拟工作。</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2、服务期限内，成交供应商应无条件积极配合采购人的相关发债工作，组织专业团队，专人负责完成本项目。项目团队配置应不少于3人，职责分工明确、合理，团队人员应包含具有丰富的类似债券发行及销售经验的专业人员。</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3、中标供应商必须按照国家现行法律法规以及相关政策开展发行工作，如有违反，采购人有权中止合同。</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4、本项目为包干价，</w:t>
      </w:r>
      <w:r>
        <w:rPr>
          <w:rStyle w:val="310"/>
          <w:rFonts w:hint="eastAsia" w:ascii="宋体" w:hAnsi="宋体" w:eastAsia="宋体" w:cs="宋体"/>
          <w:bCs/>
          <w:color w:val="auto"/>
          <w:szCs w:val="24"/>
          <w:lang w:eastAsia="zh-CN"/>
        </w:rPr>
        <w:t>包括但不限于以下费用：</w:t>
      </w:r>
      <w:r>
        <w:rPr>
          <w:rStyle w:val="310"/>
          <w:rFonts w:ascii="宋体" w:hAnsi="宋体" w:eastAsia="宋体" w:cs="宋体"/>
          <w:bCs/>
          <w:color w:val="auto"/>
          <w:szCs w:val="24"/>
        </w:rPr>
        <w:t>税费、管理费、保险费(含意外保险）、工作人员差旅和食宿费、财务、耗材等一切与该项目管理有关的费用，投标人应详细列明项目所需的各项费用，如一旦中标，在项目实施中出现任何遗漏，均由成交人负责，采购人不再支付任何费用。</w:t>
      </w:r>
    </w:p>
    <w:p>
      <w:pPr>
        <w:spacing w:line="360" w:lineRule="auto"/>
        <w:ind w:firstLine="420"/>
        <w:rPr>
          <w:rStyle w:val="310"/>
          <w:rFonts w:ascii="宋体" w:hAnsi="宋体" w:eastAsia="宋体" w:cs="宋体"/>
          <w:bCs/>
          <w:color w:val="auto"/>
          <w:szCs w:val="24"/>
        </w:rPr>
      </w:pPr>
      <w:r>
        <w:rPr>
          <w:rStyle w:val="310"/>
          <w:rFonts w:ascii="宋体" w:hAnsi="宋体" w:eastAsia="宋体" w:cs="宋体"/>
          <w:bCs/>
          <w:color w:val="auto"/>
          <w:szCs w:val="24"/>
        </w:rPr>
        <w:t>5、其他事项以双方约定为准。</w:t>
      </w:r>
    </w:p>
    <w:p>
      <w:pPr>
        <w:rPr>
          <w:rFonts w:hint="eastAsia" w:ascii="Times New Roman" w:hAnsi="Times New Roman" w:eastAsia="宋体" w:cs="Times New Roman"/>
          <w:color w:val="auto"/>
          <w:kern w:val="0"/>
          <w:sz w:val="24"/>
          <w:szCs w:val="20"/>
          <w:lang w:val="en-US" w:eastAsia="zh-CN" w:bidi="ar-SA"/>
        </w:rPr>
      </w:pPr>
    </w:p>
    <w:p>
      <w:pPr>
        <w:spacing w:line="400" w:lineRule="exact"/>
        <w:ind w:left="483" w:hanging="552" w:hangingChars="230"/>
        <w:rPr>
          <w:rFonts w:hint="eastAsia" w:ascii="宋体" w:hAnsi="宋体" w:cs="宋体"/>
          <w:color w:val="auto"/>
        </w:rPr>
      </w:pPr>
      <w:r>
        <w:rPr>
          <w:rFonts w:hint="eastAsia" w:ascii="Times New Roman" w:hAnsi="Times New Roman" w:eastAsia="宋体" w:cs="Times New Roman"/>
          <w:color w:val="auto"/>
          <w:kern w:val="0"/>
          <w:sz w:val="24"/>
          <w:szCs w:val="20"/>
          <w:lang w:val="en-US" w:eastAsia="zh-CN" w:bidi="ar-SA"/>
        </w:rPr>
        <w:t>对于上述项目要求，投标人应在投标文件中进行回应，作出承诺及说明。</w:t>
      </w:r>
    </w:p>
    <w:p>
      <w:pPr>
        <w:rPr>
          <w:rFonts w:hint="eastAsia"/>
          <w:color w:val="auto"/>
          <w:sz w:val="20"/>
          <w:highlight w:val="white"/>
        </w:rPr>
      </w:pPr>
      <w:r>
        <w:rPr>
          <w:rFonts w:hint="eastAsia"/>
          <w:color w:val="auto"/>
          <w:sz w:val="20"/>
          <w:highlight w:val="white"/>
        </w:rPr>
        <w:t xml:space="preserve"> </w:t>
      </w:r>
    </w:p>
    <w:p>
      <w:pPr>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br w:type="page"/>
      </w:r>
    </w:p>
    <w:p>
      <w:pPr>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t>第五章 响应文件组成</w:t>
      </w:r>
    </w:p>
    <w:p>
      <w:pPr>
        <w:spacing w:line="360" w:lineRule="auto"/>
        <w:rPr>
          <w:rFonts w:ascii="宋体" w:hAnsi="宋体" w:cs="宋体"/>
          <w:color w:val="auto"/>
        </w:rPr>
      </w:pPr>
      <w:r>
        <w:rPr>
          <w:rFonts w:hint="eastAsia" w:ascii="宋体" w:hAnsi="宋体" w:cs="宋体"/>
          <w:color w:val="auto"/>
        </w:rPr>
        <w:t>供应商的响应文件应包含以下部分：</w:t>
      </w:r>
    </w:p>
    <w:p>
      <w:pPr>
        <w:adjustRightInd w:val="0"/>
        <w:snapToGrid w:val="0"/>
        <w:spacing w:line="360" w:lineRule="auto"/>
        <w:jc w:val="left"/>
        <w:outlineLvl w:val="0"/>
        <w:rPr>
          <w:rFonts w:ascii="宋体" w:hAnsi="宋体" w:cs="宋体"/>
          <w:b/>
          <w:color w:val="auto"/>
          <w:szCs w:val="21"/>
        </w:rPr>
      </w:pPr>
      <w:r>
        <w:rPr>
          <w:rFonts w:hint="eastAsia" w:ascii="宋体" w:hAnsi="宋体" w:cs="宋体"/>
          <w:b/>
          <w:color w:val="auto"/>
          <w:szCs w:val="21"/>
        </w:rPr>
        <w:t>一、磋商响应声明</w:t>
      </w:r>
    </w:p>
    <w:p>
      <w:pPr>
        <w:adjustRightInd w:val="0"/>
        <w:snapToGrid w:val="0"/>
        <w:spacing w:line="360" w:lineRule="auto"/>
        <w:jc w:val="left"/>
        <w:outlineLvl w:val="0"/>
        <w:rPr>
          <w:rFonts w:ascii="宋体" w:hAnsi="宋体" w:cs="宋体"/>
          <w:b/>
          <w:color w:val="auto"/>
          <w:szCs w:val="21"/>
        </w:rPr>
      </w:pPr>
      <w:r>
        <w:rPr>
          <w:rFonts w:hint="eastAsia" w:ascii="宋体" w:hAnsi="宋体" w:cs="宋体"/>
          <w:b/>
          <w:color w:val="auto"/>
          <w:szCs w:val="21"/>
        </w:rPr>
        <w:t>二、供应商的资格证明资料</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三、技术方案</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四、拟投入的服务团队</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五、商务评审资料</w:t>
      </w:r>
    </w:p>
    <w:p>
      <w:pPr>
        <w:adjustRightInd w:val="0"/>
        <w:snapToGrid w:val="0"/>
        <w:spacing w:line="360" w:lineRule="auto"/>
        <w:rPr>
          <w:rFonts w:hint="eastAsia" w:ascii="宋体" w:hAnsi="宋体" w:cs="宋体"/>
          <w:b/>
          <w:color w:val="auto"/>
          <w:szCs w:val="21"/>
        </w:rPr>
      </w:pPr>
      <w:r>
        <w:rPr>
          <w:rFonts w:hint="eastAsia" w:ascii="宋体" w:hAnsi="宋体" w:cs="宋体"/>
          <w:b/>
          <w:color w:val="auto"/>
          <w:szCs w:val="21"/>
        </w:rPr>
        <w:t>六、技术/商务响应与偏离表</w:t>
      </w:r>
    </w:p>
    <w:p>
      <w:pPr>
        <w:adjustRightInd w:val="0"/>
        <w:snapToGrid w:val="0"/>
        <w:spacing w:line="360" w:lineRule="auto"/>
        <w:rPr>
          <w:rFonts w:hint="eastAsia" w:ascii="宋体" w:hAnsi="宋体" w:cs="宋体"/>
          <w:b/>
          <w:color w:val="auto"/>
          <w:szCs w:val="21"/>
        </w:rPr>
      </w:pPr>
      <w:r>
        <w:rPr>
          <w:rFonts w:hint="eastAsia" w:ascii="宋体" w:hAnsi="宋体" w:cs="宋体"/>
          <w:b/>
          <w:color w:val="auto"/>
          <w:szCs w:val="21"/>
        </w:rPr>
        <w:t>七、报价一览表</w:t>
      </w:r>
    </w:p>
    <w:p>
      <w:pPr>
        <w:adjustRightInd w:val="0"/>
        <w:snapToGrid w:val="0"/>
        <w:spacing w:line="360" w:lineRule="auto"/>
        <w:rPr>
          <w:rFonts w:hint="eastAsia" w:ascii="宋体" w:hAnsi="宋体" w:cs="宋体"/>
          <w:b/>
          <w:color w:val="auto"/>
          <w:szCs w:val="21"/>
          <w:lang w:val="en-US" w:eastAsia="zh-CN"/>
        </w:rPr>
      </w:pPr>
      <w:r>
        <w:rPr>
          <w:rFonts w:hint="eastAsia" w:ascii="宋体" w:hAnsi="宋体" w:cs="宋体"/>
          <w:b/>
          <w:color w:val="auto"/>
          <w:szCs w:val="21"/>
          <w:lang w:val="en-US" w:eastAsia="zh-CN"/>
        </w:rPr>
        <w:t>八、供应商认为需要提供的其它资料</w:t>
      </w:r>
    </w:p>
    <w:p>
      <w:pPr>
        <w:adjustRightInd w:val="0"/>
        <w:snapToGrid w:val="0"/>
        <w:spacing w:line="360" w:lineRule="auto"/>
        <w:rPr>
          <w:rFonts w:hint="eastAsia" w:ascii="宋体" w:hAnsi="宋体" w:cs="宋体"/>
          <w:b/>
          <w:color w:val="auto"/>
          <w:szCs w:val="21"/>
          <w:lang w:val="en-US" w:eastAsia="zh-CN"/>
        </w:rPr>
      </w:pPr>
      <w:r>
        <w:rPr>
          <w:rFonts w:hint="eastAsia" w:ascii="宋体" w:hAnsi="宋体" w:cs="宋体"/>
          <w:b/>
          <w:color w:val="auto"/>
          <w:szCs w:val="21"/>
          <w:lang w:val="en-US" w:eastAsia="zh-CN"/>
        </w:rPr>
        <w:t>九、最后报价</w:t>
      </w: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pStyle w:val="46"/>
        <w:ind w:firstLine="0" w:firstLineChars="0"/>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spacing w:line="360" w:lineRule="exact"/>
        <w:jc w:val="center"/>
        <w:rPr>
          <w:rFonts w:ascii="宋体" w:hAnsi="宋体" w:cs="宋体"/>
          <w:b/>
          <w:color w:val="auto"/>
          <w:sz w:val="32"/>
          <w:szCs w:val="32"/>
        </w:rPr>
      </w:pPr>
      <w:r>
        <w:rPr>
          <w:rFonts w:hint="eastAsia" w:ascii="宋体" w:hAnsi="宋体" w:cs="宋体"/>
          <w:b/>
          <w:color w:val="auto"/>
          <w:sz w:val="32"/>
          <w:szCs w:val="32"/>
        </w:rPr>
        <w:t>一、磋商响应声明</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 xml:space="preserve"> (采购人或采购代理机构)：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我方已仔细研究了</w:t>
      </w:r>
      <w:r>
        <w:rPr>
          <w:rFonts w:hint="eastAsia" w:ascii="宋体" w:hAnsi="宋体" w:cs="宋体"/>
          <w:color w:val="auto"/>
          <w:szCs w:val="21"/>
          <w:u w:val="single"/>
        </w:rPr>
        <w:t xml:space="preserve">             (</w:t>
      </w:r>
      <w:r>
        <w:rPr>
          <w:rFonts w:hint="eastAsia" w:ascii="宋体" w:hAnsi="宋体" w:cs="宋体"/>
          <w:color w:val="auto"/>
          <w:szCs w:val="21"/>
        </w:rPr>
        <w:t>项目名称)的竞争性磋商文件</w:t>
      </w:r>
      <w:r>
        <w:rPr>
          <w:rFonts w:hint="eastAsia" w:ascii="宋体" w:hAnsi="宋体" w:cs="宋体"/>
          <w:color w:val="auto"/>
          <w:szCs w:val="21"/>
          <w:lang w:eastAsia="zh-CN"/>
        </w:rPr>
        <w:t>（</w:t>
      </w:r>
      <w:r>
        <w:rPr>
          <w:rFonts w:hint="eastAsia" w:ascii="宋体" w:hAnsi="宋体" w:cs="宋体"/>
          <w:color w:val="auto"/>
          <w:szCs w:val="21"/>
        </w:rPr>
        <w:t>采购代理编号：</w:t>
      </w:r>
      <w:r>
        <w:rPr>
          <w:rFonts w:hint="eastAsia" w:ascii="宋体" w:hAnsi="宋体" w:cs="宋体"/>
          <w:color w:val="auto"/>
          <w:szCs w:val="21"/>
          <w:u w:val="single"/>
        </w:rPr>
        <w:t xml:space="preserve">           </w:t>
      </w:r>
      <w:r>
        <w:rPr>
          <w:rFonts w:hint="eastAsia" w:ascii="宋体" w:hAnsi="宋体" w:cs="宋体"/>
          <w:color w:val="auto"/>
          <w:szCs w:val="21"/>
        </w:rPr>
        <w:t>）的全部内容，知悉参加竞争性磋商的风险，我方承诺接受磋商文件的全部条款且无任何异议。</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一、我方同意在磋商文件中规定的提交首次响应文件截止时间起</w:t>
      </w:r>
      <w:r>
        <w:rPr>
          <w:rFonts w:hint="eastAsia" w:ascii="宋体" w:hAnsi="宋体" w:cs="宋体"/>
          <w:color w:val="auto"/>
          <w:szCs w:val="21"/>
          <w:u w:val="single"/>
        </w:rPr>
        <w:t xml:space="preserve">    </w:t>
      </w:r>
      <w:r>
        <w:rPr>
          <w:rFonts w:hint="eastAsia" w:ascii="宋体" w:hAnsi="宋体" w:cs="宋体"/>
          <w:color w:val="auto"/>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二、我方提交响应文件正本一份和副本一式</w:t>
      </w:r>
      <w:r>
        <w:rPr>
          <w:rFonts w:hint="eastAsia" w:ascii="宋体" w:hAnsi="宋体" w:cs="宋体"/>
          <w:color w:val="auto"/>
          <w:szCs w:val="21"/>
          <w:u w:val="single"/>
        </w:rPr>
        <w:t xml:space="preserve">     </w:t>
      </w:r>
      <w:r>
        <w:rPr>
          <w:rFonts w:hint="eastAsia" w:ascii="宋体" w:hAnsi="宋体" w:cs="宋体"/>
          <w:color w:val="auto"/>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五、我方承诺遵守《中华人民共和国政府采购法》的有关规定，保证在获得成交资格后，按照磋商文件确定的事项签订采购合同，履行双方所签订的合同，并承担合同规定的责任和义务。</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lang w:val="en-US" w:eastAsia="zh-CN"/>
        </w:rPr>
        <w:t>六</w:t>
      </w:r>
      <w:r>
        <w:rPr>
          <w:rFonts w:hint="eastAsia" w:ascii="宋体" w:hAnsi="宋体" w:cs="宋体"/>
          <w:color w:val="auto"/>
          <w:szCs w:val="21"/>
        </w:rPr>
        <w:t xml:space="preserve">、我方在此声明：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（三）我方未为本项目前期准备提供设计或咨询服务。</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2、我方在经营活动中没有存在下列重大违法记录：</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(1)受到刑事处罚；</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(2)受到三万元以上的罚款、责令停产停业、在一至三年内禁止参加采购活动、暂扣或者吊销许可证、暂扣或者吊销执照的行政处罚。</w:t>
      </w:r>
    </w:p>
    <w:p>
      <w:pPr>
        <w:adjustRightInd w:val="0"/>
        <w:snapToGrid w:val="0"/>
        <w:spacing w:line="360" w:lineRule="auto"/>
        <w:ind w:right="24"/>
        <w:rPr>
          <w:rFonts w:ascii="宋体" w:hAnsi="宋体" w:cs="宋体"/>
          <w:color w:val="auto"/>
          <w:szCs w:val="21"/>
        </w:rPr>
      </w:pPr>
      <w:r>
        <w:rPr>
          <w:rFonts w:hint="eastAsia" w:ascii="宋体" w:hAnsi="宋体" w:cs="宋体"/>
          <w:bCs/>
          <w:color w:val="auto"/>
          <w:szCs w:val="21"/>
        </w:rPr>
        <w:t>附件1：</w:t>
      </w:r>
      <w:r>
        <w:rPr>
          <w:rFonts w:hint="eastAsia" w:ascii="宋体" w:hAnsi="宋体" w:cs="宋体"/>
          <w:color w:val="auto"/>
          <w:szCs w:val="21"/>
        </w:rPr>
        <w:t>法定代表人身份证明</w:t>
      </w:r>
    </w:p>
    <w:p>
      <w:pPr>
        <w:adjustRightInd w:val="0"/>
        <w:snapToGrid w:val="0"/>
        <w:spacing w:line="360" w:lineRule="auto"/>
        <w:ind w:right="24"/>
        <w:rPr>
          <w:rFonts w:ascii="宋体" w:hAnsi="宋体" w:cs="宋体"/>
          <w:color w:val="auto"/>
          <w:szCs w:val="21"/>
        </w:rPr>
      </w:pPr>
      <w:r>
        <w:rPr>
          <w:rFonts w:hint="eastAsia" w:ascii="宋体" w:hAnsi="宋体" w:cs="宋体"/>
          <w:bCs/>
          <w:color w:val="auto"/>
          <w:szCs w:val="21"/>
        </w:rPr>
        <w:t>附件2</w:t>
      </w:r>
      <w:r>
        <w:rPr>
          <w:rFonts w:hint="eastAsia" w:ascii="宋体" w:hAnsi="宋体" w:cs="宋体"/>
          <w:color w:val="auto"/>
          <w:szCs w:val="21"/>
        </w:rPr>
        <w:t>：法定代表人授权书</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法定代表人或其委托代理人 (签字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60" w:lineRule="auto"/>
        <w:ind w:right="24"/>
        <w:jc w:val="left"/>
        <w:rPr>
          <w:rFonts w:hint="eastAsia" w:ascii="宋体" w:hAnsi="宋体" w:cs="宋体"/>
          <w:bCs/>
          <w:color w:val="auto"/>
          <w:szCs w:val="21"/>
        </w:rPr>
      </w:pPr>
    </w:p>
    <w:p>
      <w:pPr>
        <w:adjustRightInd w:val="0"/>
        <w:snapToGrid w:val="0"/>
        <w:spacing w:line="360" w:lineRule="auto"/>
        <w:ind w:right="24"/>
        <w:jc w:val="left"/>
        <w:rPr>
          <w:rFonts w:hint="eastAsia" w:ascii="宋体" w:hAnsi="宋体" w:cs="宋体"/>
          <w:bCs/>
          <w:color w:val="auto"/>
          <w:szCs w:val="21"/>
        </w:rPr>
      </w:pPr>
    </w:p>
    <w:p>
      <w:pPr>
        <w:adjustRightInd w:val="0"/>
        <w:snapToGrid w:val="0"/>
        <w:spacing w:line="360" w:lineRule="auto"/>
        <w:ind w:right="24"/>
        <w:jc w:val="left"/>
        <w:rPr>
          <w:rFonts w:hint="eastAsia" w:ascii="宋体" w:hAnsi="宋体" w:cs="宋体"/>
          <w:bCs/>
          <w:color w:val="auto"/>
          <w:szCs w:val="21"/>
        </w:rPr>
      </w:pPr>
    </w:p>
    <w:p>
      <w:pPr>
        <w:adjustRightInd w:val="0"/>
        <w:snapToGrid w:val="0"/>
        <w:spacing w:line="360" w:lineRule="auto"/>
        <w:ind w:right="24"/>
        <w:jc w:val="left"/>
        <w:rPr>
          <w:rFonts w:hint="eastAsia" w:ascii="宋体" w:hAnsi="宋体" w:cs="宋体"/>
          <w:bCs/>
          <w:color w:val="auto"/>
          <w:szCs w:val="21"/>
        </w:rPr>
      </w:pPr>
      <w:r>
        <w:rPr>
          <w:rFonts w:hint="eastAsia" w:ascii="宋体" w:hAnsi="宋体" w:cs="宋体"/>
          <w:bCs/>
          <w:color w:val="auto"/>
          <w:szCs w:val="21"/>
        </w:rPr>
        <w:t>附件1</w:t>
      </w:r>
    </w:p>
    <w:p>
      <w:pPr>
        <w:adjustRightInd w:val="0"/>
        <w:snapToGrid w:val="0"/>
        <w:spacing w:line="360" w:lineRule="auto"/>
        <w:ind w:right="24"/>
        <w:jc w:val="center"/>
        <w:rPr>
          <w:rFonts w:ascii="宋体" w:hAnsi="宋体" w:cs="宋体"/>
          <w:b/>
          <w:color w:val="auto"/>
          <w:szCs w:val="21"/>
        </w:rPr>
      </w:pPr>
      <w:r>
        <w:rPr>
          <w:rFonts w:hint="eastAsia" w:ascii="宋体" w:hAnsi="宋体" w:cs="宋体"/>
          <w:b/>
          <w:color w:val="auto"/>
          <w:szCs w:val="21"/>
        </w:rPr>
        <w:t>法定代表人身份证明</w:t>
      </w:r>
    </w:p>
    <w:p>
      <w:pPr>
        <w:widowControl/>
        <w:kinsoku w:val="0"/>
        <w:autoSpaceDE w:val="0"/>
        <w:autoSpaceDN w:val="0"/>
        <w:adjustRightInd w:val="0"/>
        <w:snapToGrid w:val="0"/>
        <w:spacing w:before="188" w:line="221" w:lineRule="auto"/>
        <w:ind w:left="2628"/>
        <w:jc w:val="left"/>
        <w:textAlignment w:val="baseline"/>
        <w:rPr>
          <w:rFonts w:hint="eastAsia" w:ascii="宋体" w:hAnsi="宋体" w:eastAsia="宋体" w:cs="宋体"/>
          <w:snapToGrid w:val="0"/>
          <w:color w:val="000000"/>
          <w:kern w:val="0"/>
          <w:sz w:val="21"/>
          <w:szCs w:val="21"/>
          <w:lang w:eastAsia="en-US"/>
        </w:rPr>
      </w:pPr>
      <w:r>
        <w:rPr>
          <w:rFonts w:hint="eastAsia" w:ascii="宋体" w:hAnsi="宋体" w:eastAsia="宋体" w:cs="宋体"/>
          <w:snapToGrid w:val="0"/>
          <w:color w:val="000000"/>
          <w:spacing w:val="-3"/>
          <w:kern w:val="0"/>
          <w:sz w:val="21"/>
          <w:szCs w:val="21"/>
          <w:lang w:eastAsia="en-US"/>
        </w:rPr>
        <w:t>（格式</w:t>
      </w:r>
      <w:r>
        <w:rPr>
          <w:rFonts w:hint="eastAsia" w:ascii="宋体" w:hAnsi="宋体" w:eastAsia="宋体" w:cs="宋体"/>
          <w:snapToGrid w:val="0"/>
          <w:color w:val="000000"/>
          <w:spacing w:val="-22"/>
          <w:kern w:val="0"/>
          <w:sz w:val="21"/>
          <w:szCs w:val="21"/>
          <w:lang w:eastAsia="en-US"/>
        </w:rPr>
        <w:t xml:space="preserve"> </w:t>
      </w:r>
      <w:r>
        <w:rPr>
          <w:rFonts w:hint="eastAsia" w:ascii="宋体" w:hAnsi="宋体" w:eastAsia="宋体" w:cs="宋体"/>
          <w:b/>
          <w:bCs/>
          <w:snapToGrid w:val="0"/>
          <w:color w:val="000000"/>
          <w:spacing w:val="-3"/>
          <w:kern w:val="0"/>
          <w:sz w:val="21"/>
          <w:szCs w:val="21"/>
          <w:lang w:eastAsia="en-US"/>
        </w:rPr>
        <w:t>1</w:t>
      </w:r>
      <w:r>
        <w:rPr>
          <w:rFonts w:hint="eastAsia" w:ascii="宋体" w:hAnsi="宋体" w:eastAsia="宋体" w:cs="宋体"/>
          <w:snapToGrid w:val="0"/>
          <w:color w:val="000000"/>
          <w:spacing w:val="-3"/>
          <w:kern w:val="0"/>
          <w:sz w:val="21"/>
          <w:szCs w:val="21"/>
          <w:lang w:eastAsia="en-US"/>
        </w:rPr>
        <w:t>：非联合体投标时适用）</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highlight w:val="none"/>
          <w:u w:val="single"/>
          <w:lang w:eastAsia="en-US"/>
        </w:rPr>
      </w:pPr>
      <w:r>
        <w:rPr>
          <w:rFonts w:hint="eastAsia" w:ascii="宋体" w:hAnsi="宋体" w:eastAsia="宋体" w:cs="宋体"/>
          <w:sz w:val="21"/>
          <w:szCs w:val="21"/>
          <w:highlight w:val="none"/>
          <w:lang w:eastAsia="en-US"/>
        </w:rPr>
        <w:t>投标人名称：</w:t>
      </w:r>
      <w:r>
        <w:rPr>
          <w:rFonts w:hint="eastAsia" w:ascii="宋体" w:hAnsi="宋体" w:eastAsia="宋体" w:cs="宋体"/>
          <w:sz w:val="21"/>
          <w:szCs w:val="21"/>
          <w:highlight w:val="none"/>
          <w:u w:val="single"/>
          <w:lang w:eastAsia="en-US"/>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单位性质：</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 xml:space="preserve">地址： </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成立时间：</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年</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月</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日</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highlight w:val="none"/>
          <w:u w:val="single"/>
          <w:lang w:eastAsia="en-US"/>
        </w:rPr>
      </w:pPr>
      <w:r>
        <w:rPr>
          <w:rFonts w:hint="eastAsia" w:ascii="宋体" w:hAnsi="宋体" w:eastAsia="宋体" w:cs="宋体"/>
          <w:sz w:val="21"/>
          <w:szCs w:val="21"/>
          <w:highlight w:val="none"/>
          <w:lang w:eastAsia="en-US"/>
        </w:rPr>
        <w:t>经营期限：</w:t>
      </w:r>
      <w:r>
        <w:rPr>
          <w:rFonts w:hint="eastAsia" w:ascii="宋体" w:hAnsi="宋体" w:eastAsia="宋体" w:cs="宋体"/>
          <w:sz w:val="21"/>
          <w:szCs w:val="21"/>
          <w:highlight w:val="none"/>
          <w:u w:val="single"/>
          <w:lang w:eastAsia="en-US"/>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highlight w:val="none"/>
          <w:u w:val="single"/>
          <w:lang w:eastAsia="en-US"/>
        </w:rPr>
      </w:pPr>
      <w:r>
        <w:rPr>
          <w:rFonts w:hint="eastAsia" w:ascii="宋体" w:hAnsi="宋体" w:eastAsia="宋体" w:cs="宋体"/>
          <w:sz w:val="21"/>
          <w:szCs w:val="21"/>
          <w:highlight w:val="none"/>
          <w:lang w:eastAsia="en-US"/>
        </w:rPr>
        <w:t>姓名：</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性别：</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年龄</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职务：</w:t>
      </w:r>
      <w:r>
        <w:rPr>
          <w:rFonts w:hint="eastAsia" w:ascii="宋体" w:hAnsi="宋体" w:eastAsia="宋体" w:cs="宋体"/>
          <w:sz w:val="21"/>
          <w:szCs w:val="21"/>
          <w:highlight w:val="none"/>
          <w:u w:val="single"/>
          <w:lang w:eastAsia="en-US"/>
        </w:rPr>
        <w:t xml:space="preserve">     </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系</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（投标人名称）的法定代表人。</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特此证明。</w:t>
      </w:r>
    </w:p>
    <w:p>
      <w:pPr>
        <w:kinsoku w:val="0"/>
        <w:autoSpaceDE w:val="0"/>
        <w:autoSpaceDN w:val="0"/>
        <w:adjustRightInd w:val="0"/>
        <w:snapToGrid w:val="0"/>
        <w:spacing w:line="381" w:lineRule="auto"/>
        <w:jc w:val="left"/>
        <w:textAlignment w:val="baseline"/>
        <w:rPr>
          <w:rFonts w:hint="eastAsia" w:ascii="宋体" w:hAnsi="宋体" w:eastAsia="宋体" w:cs="宋体"/>
          <w:snapToGrid w:val="0"/>
          <w:color w:val="000000"/>
          <w:kern w:val="0"/>
          <w:sz w:val="21"/>
          <w:szCs w:val="21"/>
          <w:lang w:val="en-US" w:eastAsia="en-US" w:bidi="ar-SA"/>
        </w:rPr>
      </w:pPr>
    </w:p>
    <w:p>
      <w:pPr>
        <w:widowControl/>
        <w:kinsoku w:val="0"/>
        <w:autoSpaceDE w:val="0"/>
        <w:autoSpaceDN w:val="0"/>
        <w:adjustRightInd w:val="0"/>
        <w:snapToGrid w:val="0"/>
        <w:spacing w:before="69" w:line="220" w:lineRule="auto"/>
        <w:ind w:left="459"/>
        <w:jc w:val="left"/>
        <w:textAlignment w:val="baseline"/>
        <w:rPr>
          <w:rFonts w:hint="eastAsia" w:ascii="宋体" w:hAnsi="宋体" w:eastAsia="宋体" w:cs="宋体"/>
          <w:snapToGrid w:val="0"/>
          <w:color w:val="000000"/>
          <w:kern w:val="0"/>
          <w:sz w:val="21"/>
          <w:szCs w:val="21"/>
          <w:lang w:eastAsia="en-US"/>
        </w:rPr>
      </w:pPr>
      <w:r>
        <w:rPr>
          <w:rFonts w:hint="eastAsia" w:ascii="宋体" w:hAnsi="宋体" w:eastAsia="宋体" w:cs="宋体"/>
          <w:snapToGrid w:val="0"/>
          <w:color w:val="000000"/>
          <w:spacing w:val="-3"/>
          <w:kern w:val="0"/>
          <w:sz w:val="21"/>
          <w:szCs w:val="21"/>
          <w:lang w:eastAsia="en-US"/>
        </w:rPr>
        <w:t>附：法定代表人身份证</w:t>
      </w:r>
    </w:p>
    <w:p>
      <w:pPr>
        <w:widowControl/>
        <w:kinsoku w:val="0"/>
        <w:autoSpaceDE w:val="0"/>
        <w:autoSpaceDN w:val="0"/>
        <w:adjustRightInd w:val="0"/>
        <w:snapToGrid w:val="0"/>
        <w:spacing w:line="110" w:lineRule="auto"/>
        <w:jc w:val="left"/>
        <w:textAlignment w:val="baseline"/>
        <w:rPr>
          <w:rFonts w:hint="eastAsia" w:ascii="宋体" w:hAnsi="宋体" w:eastAsia="宋体" w:cs="宋体"/>
          <w:snapToGrid w:val="0"/>
          <w:color w:val="000000"/>
          <w:kern w:val="0"/>
          <w:sz w:val="21"/>
          <w:szCs w:val="21"/>
          <w:lang w:eastAsia="en-US"/>
        </w:rPr>
      </w:pPr>
    </w:p>
    <w:tbl>
      <w:tblPr>
        <w:tblStyle w:val="307"/>
        <w:tblW w:w="851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62"/>
        <w:gridCol w:w="42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6" w:hRule="atLeast"/>
        </w:trPr>
        <w:tc>
          <w:tcPr>
            <w:tcW w:w="4262" w:type="dxa"/>
            <w:noWrap w:val="0"/>
            <w:vAlign w:val="top"/>
          </w:tcPr>
          <w:p>
            <w:pPr>
              <w:widowControl/>
              <w:kinsoku w:val="0"/>
              <w:autoSpaceDE w:val="0"/>
              <w:autoSpaceDN w:val="0"/>
              <w:adjustRightInd w:val="0"/>
              <w:snapToGrid w:val="0"/>
              <w:spacing w:line="271" w:lineRule="auto"/>
              <w:jc w:val="left"/>
              <w:textAlignment w:val="baseline"/>
              <w:rPr>
                <w:rFonts w:hint="eastAsia" w:ascii="宋体" w:hAnsi="宋体" w:eastAsia="宋体" w:cs="宋体"/>
                <w:snapToGrid w:val="0"/>
                <w:color w:val="000000"/>
                <w:kern w:val="0"/>
                <w:sz w:val="21"/>
                <w:szCs w:val="21"/>
                <w:lang w:eastAsia="en-US"/>
              </w:rPr>
            </w:pPr>
          </w:p>
          <w:p>
            <w:pPr>
              <w:widowControl/>
              <w:kinsoku w:val="0"/>
              <w:autoSpaceDE w:val="0"/>
              <w:autoSpaceDN w:val="0"/>
              <w:adjustRightInd w:val="0"/>
              <w:snapToGrid w:val="0"/>
              <w:spacing w:line="271" w:lineRule="auto"/>
              <w:jc w:val="left"/>
              <w:textAlignment w:val="baseline"/>
              <w:rPr>
                <w:rFonts w:hint="eastAsia" w:ascii="宋体" w:hAnsi="宋体" w:eastAsia="宋体" w:cs="宋体"/>
                <w:snapToGrid w:val="0"/>
                <w:color w:val="000000"/>
                <w:kern w:val="0"/>
                <w:sz w:val="21"/>
                <w:szCs w:val="21"/>
                <w:lang w:eastAsia="en-US"/>
              </w:rPr>
            </w:pPr>
          </w:p>
          <w:p>
            <w:pPr>
              <w:pStyle w:val="308"/>
              <w:widowControl/>
              <w:spacing w:before="68" w:line="221" w:lineRule="auto"/>
              <w:rPr>
                <w:rFonts w:hint="eastAsia" w:ascii="宋体" w:hAnsi="宋体" w:eastAsia="宋体" w:cs="宋体"/>
                <w:sz w:val="21"/>
                <w:szCs w:val="21"/>
              </w:rPr>
            </w:pPr>
            <w:r>
              <w:rPr>
                <w:rFonts w:hint="eastAsia" w:ascii="宋体" w:hAnsi="宋体" w:eastAsia="宋体" w:cs="宋体"/>
                <w:spacing w:val="-1"/>
                <w:sz w:val="21"/>
                <w:szCs w:val="21"/>
              </w:rPr>
              <w:t>法定代表人二代身份证复印件（正面）</w:t>
            </w:r>
          </w:p>
        </w:tc>
        <w:tc>
          <w:tcPr>
            <w:tcW w:w="4249" w:type="dxa"/>
            <w:noWrap w:val="0"/>
            <w:vAlign w:val="top"/>
          </w:tcPr>
          <w:p>
            <w:pPr>
              <w:widowControl/>
              <w:kinsoku w:val="0"/>
              <w:autoSpaceDE w:val="0"/>
              <w:autoSpaceDN w:val="0"/>
              <w:adjustRightInd w:val="0"/>
              <w:snapToGrid w:val="0"/>
              <w:spacing w:line="271" w:lineRule="auto"/>
              <w:jc w:val="left"/>
              <w:textAlignment w:val="baseline"/>
              <w:rPr>
                <w:rFonts w:hint="eastAsia" w:ascii="宋体" w:hAnsi="宋体" w:eastAsia="宋体" w:cs="宋体"/>
                <w:snapToGrid w:val="0"/>
                <w:color w:val="000000"/>
                <w:kern w:val="0"/>
                <w:sz w:val="21"/>
                <w:szCs w:val="21"/>
                <w:lang w:eastAsia="en-US"/>
              </w:rPr>
            </w:pPr>
          </w:p>
          <w:p>
            <w:pPr>
              <w:widowControl/>
              <w:kinsoku w:val="0"/>
              <w:autoSpaceDE w:val="0"/>
              <w:autoSpaceDN w:val="0"/>
              <w:adjustRightInd w:val="0"/>
              <w:snapToGrid w:val="0"/>
              <w:spacing w:line="271" w:lineRule="auto"/>
              <w:jc w:val="left"/>
              <w:textAlignment w:val="baseline"/>
              <w:rPr>
                <w:rFonts w:hint="eastAsia" w:ascii="宋体" w:hAnsi="宋体" w:eastAsia="宋体" w:cs="宋体"/>
                <w:snapToGrid w:val="0"/>
                <w:color w:val="000000"/>
                <w:kern w:val="0"/>
                <w:sz w:val="21"/>
                <w:szCs w:val="21"/>
                <w:lang w:eastAsia="en-US"/>
              </w:rPr>
            </w:pPr>
          </w:p>
          <w:p>
            <w:pPr>
              <w:pStyle w:val="308"/>
              <w:widowControl/>
              <w:spacing w:before="68" w:line="221" w:lineRule="auto"/>
              <w:rPr>
                <w:rFonts w:hint="eastAsia" w:ascii="宋体" w:hAnsi="宋体" w:eastAsia="宋体" w:cs="宋体"/>
                <w:sz w:val="21"/>
                <w:szCs w:val="21"/>
              </w:rPr>
            </w:pPr>
            <w:r>
              <w:rPr>
                <w:rFonts w:hint="eastAsia" w:ascii="宋体" w:hAnsi="宋体" w:eastAsia="宋体" w:cs="宋体"/>
                <w:spacing w:val="-1"/>
                <w:sz w:val="21"/>
                <w:szCs w:val="21"/>
              </w:rPr>
              <w:t>法定代表人二代身份证复印件（反面）</w:t>
            </w:r>
          </w:p>
        </w:tc>
      </w:tr>
    </w:tbl>
    <w:p>
      <w:pPr>
        <w:kinsoku w:val="0"/>
        <w:autoSpaceDE w:val="0"/>
        <w:autoSpaceDN w:val="0"/>
        <w:adjustRightInd w:val="0"/>
        <w:snapToGrid w:val="0"/>
        <w:spacing w:line="249" w:lineRule="auto"/>
        <w:jc w:val="left"/>
        <w:textAlignment w:val="baseline"/>
        <w:rPr>
          <w:rFonts w:hint="eastAsia" w:ascii="宋体" w:hAnsi="宋体" w:eastAsia="宋体" w:cs="宋体"/>
          <w:snapToGrid w:val="0"/>
          <w:color w:val="000000"/>
          <w:kern w:val="0"/>
          <w:sz w:val="21"/>
          <w:szCs w:val="21"/>
          <w:lang w:val="en-US" w:eastAsia="en-US" w:bidi="ar-SA"/>
        </w:rPr>
      </w:pPr>
    </w:p>
    <w:p>
      <w:pPr>
        <w:kinsoku w:val="0"/>
        <w:autoSpaceDE w:val="0"/>
        <w:autoSpaceDN w:val="0"/>
        <w:adjustRightInd w:val="0"/>
        <w:snapToGrid w:val="0"/>
        <w:spacing w:line="249" w:lineRule="auto"/>
        <w:jc w:val="left"/>
        <w:textAlignment w:val="baseline"/>
        <w:rPr>
          <w:rFonts w:hint="eastAsia" w:ascii="宋体" w:hAnsi="宋体" w:eastAsia="宋体" w:cs="宋体"/>
          <w:snapToGrid w:val="0"/>
          <w:color w:val="000000"/>
          <w:kern w:val="0"/>
          <w:sz w:val="21"/>
          <w:szCs w:val="21"/>
          <w:lang w:val="en-US" w:eastAsia="en-US" w:bidi="ar-SA"/>
        </w:rPr>
      </w:pPr>
    </w:p>
    <w:p>
      <w:pPr>
        <w:kinsoku w:val="0"/>
        <w:autoSpaceDE w:val="0"/>
        <w:autoSpaceDN w:val="0"/>
        <w:adjustRightInd w:val="0"/>
        <w:snapToGrid w:val="0"/>
        <w:spacing w:line="250" w:lineRule="auto"/>
        <w:jc w:val="left"/>
        <w:textAlignment w:val="baseline"/>
        <w:rPr>
          <w:rFonts w:hint="eastAsia" w:ascii="宋体" w:hAnsi="宋体" w:eastAsia="宋体" w:cs="宋体"/>
          <w:snapToGrid w:val="0"/>
          <w:color w:val="000000"/>
          <w:kern w:val="0"/>
          <w:sz w:val="21"/>
          <w:szCs w:val="21"/>
          <w:lang w:val="en-US" w:eastAsia="en-US" w:bidi="ar-SA"/>
        </w:rPr>
      </w:pPr>
    </w:p>
    <w:p>
      <w:pPr>
        <w:widowControl/>
        <w:kinsoku w:val="0"/>
        <w:autoSpaceDE w:val="0"/>
        <w:autoSpaceDN w:val="0"/>
        <w:adjustRightInd w:val="0"/>
        <w:snapToGrid w:val="0"/>
        <w:spacing w:before="69" w:line="220" w:lineRule="auto"/>
        <w:ind w:left="4751"/>
        <w:jc w:val="left"/>
        <w:textAlignment w:val="baseline"/>
        <w:rPr>
          <w:rFonts w:hint="eastAsia" w:ascii="宋体" w:hAnsi="宋体" w:eastAsia="宋体" w:cs="宋体"/>
          <w:snapToGrid w:val="0"/>
          <w:color w:val="000000"/>
          <w:kern w:val="0"/>
          <w:sz w:val="21"/>
          <w:szCs w:val="21"/>
          <w:lang w:eastAsia="en-US"/>
        </w:rPr>
      </w:pPr>
      <w:r>
        <w:rPr>
          <w:rFonts w:hint="eastAsia" w:ascii="宋体" w:hAnsi="宋体" w:eastAsia="宋体" w:cs="宋体"/>
          <w:snapToGrid w:val="0"/>
          <w:color w:val="000000"/>
          <w:spacing w:val="2"/>
          <w:kern w:val="0"/>
          <w:sz w:val="21"/>
          <w:szCs w:val="21"/>
          <w:lang w:eastAsia="en-US"/>
        </w:rPr>
        <w:t>投标人</w:t>
      </w:r>
      <w:r>
        <w:rPr>
          <w:rFonts w:hint="eastAsia" w:ascii="宋体" w:hAnsi="宋体" w:eastAsia="宋体" w:cs="宋体"/>
          <w:snapToGrid w:val="0"/>
          <w:color w:val="000000"/>
          <w:spacing w:val="-12"/>
          <w:kern w:val="0"/>
          <w:sz w:val="21"/>
          <w:szCs w:val="21"/>
          <w:lang w:eastAsia="en-US"/>
        </w:rPr>
        <w:t>：（</w:t>
      </w:r>
      <w:r>
        <w:rPr>
          <w:rFonts w:hint="eastAsia" w:ascii="宋体" w:hAnsi="宋体" w:eastAsia="宋体" w:cs="宋体"/>
          <w:snapToGrid w:val="0"/>
          <w:color w:val="000000"/>
          <w:spacing w:val="2"/>
          <w:kern w:val="0"/>
          <w:sz w:val="21"/>
          <w:szCs w:val="21"/>
          <w:lang w:eastAsia="en-US"/>
        </w:rPr>
        <w:t>盖单位章）</w:t>
      </w:r>
    </w:p>
    <w:p>
      <w:pPr>
        <w:kinsoku w:val="0"/>
        <w:autoSpaceDE w:val="0"/>
        <w:autoSpaceDN w:val="0"/>
        <w:adjustRightInd w:val="0"/>
        <w:snapToGrid w:val="0"/>
        <w:spacing w:line="279" w:lineRule="auto"/>
        <w:jc w:val="left"/>
        <w:textAlignment w:val="baseline"/>
        <w:rPr>
          <w:rFonts w:hint="eastAsia" w:ascii="宋体" w:hAnsi="宋体" w:eastAsia="宋体" w:cs="宋体"/>
          <w:snapToGrid w:val="0"/>
          <w:color w:val="000000"/>
          <w:kern w:val="0"/>
          <w:sz w:val="21"/>
          <w:szCs w:val="21"/>
          <w:lang w:val="en-US" w:eastAsia="en-US" w:bidi="ar-SA"/>
        </w:rPr>
      </w:pPr>
    </w:p>
    <w:p>
      <w:pPr>
        <w:kinsoku w:val="0"/>
        <w:autoSpaceDE w:val="0"/>
        <w:autoSpaceDN w:val="0"/>
        <w:adjustRightInd w:val="0"/>
        <w:snapToGrid w:val="0"/>
        <w:spacing w:line="279" w:lineRule="auto"/>
        <w:jc w:val="left"/>
        <w:textAlignment w:val="baseline"/>
        <w:rPr>
          <w:rFonts w:hint="eastAsia" w:ascii="宋体" w:hAnsi="宋体" w:eastAsia="宋体" w:cs="宋体"/>
          <w:snapToGrid w:val="0"/>
          <w:color w:val="000000"/>
          <w:kern w:val="0"/>
          <w:sz w:val="21"/>
          <w:szCs w:val="21"/>
          <w:lang w:val="en-US" w:eastAsia="en-US" w:bidi="ar-SA"/>
        </w:rPr>
      </w:pPr>
    </w:p>
    <w:p>
      <w:pPr>
        <w:widowControl/>
        <w:kinsoku w:val="0"/>
        <w:autoSpaceDE w:val="0"/>
        <w:autoSpaceDN w:val="0"/>
        <w:adjustRightInd w:val="0"/>
        <w:snapToGrid w:val="0"/>
        <w:spacing w:before="68" w:line="221" w:lineRule="auto"/>
        <w:ind w:left="7070"/>
        <w:jc w:val="left"/>
        <w:textAlignment w:val="baseline"/>
        <w:rPr>
          <w:rFonts w:hint="eastAsia" w:ascii="宋体" w:hAnsi="宋体" w:eastAsia="宋体" w:cs="宋体"/>
          <w:snapToGrid w:val="0"/>
          <w:color w:val="000000"/>
          <w:spacing w:val="-7"/>
          <w:kern w:val="0"/>
          <w:sz w:val="21"/>
          <w:szCs w:val="21"/>
          <w:lang w:eastAsia="en-US"/>
        </w:rPr>
      </w:pPr>
      <w:r>
        <w:rPr>
          <w:rFonts w:hint="eastAsia" w:ascii="宋体" w:hAnsi="宋体" w:eastAsia="宋体" w:cs="宋体"/>
          <w:snapToGrid w:val="0"/>
          <w:color w:val="000000"/>
          <w:spacing w:val="-7"/>
          <w:kern w:val="0"/>
          <w:sz w:val="21"/>
          <w:szCs w:val="21"/>
          <w:lang w:eastAsia="en-US"/>
        </w:rPr>
        <w:t>年</w:t>
      </w:r>
      <w:r>
        <w:rPr>
          <w:rFonts w:hint="eastAsia" w:ascii="宋体" w:hAnsi="宋体" w:eastAsia="宋体" w:cs="宋体"/>
          <w:snapToGrid w:val="0"/>
          <w:color w:val="000000"/>
          <w:spacing w:val="4"/>
          <w:kern w:val="0"/>
          <w:sz w:val="21"/>
          <w:szCs w:val="21"/>
          <w:lang w:eastAsia="en-US"/>
        </w:rPr>
        <w:t xml:space="preserve">   </w:t>
      </w:r>
      <w:r>
        <w:rPr>
          <w:rFonts w:hint="eastAsia" w:ascii="宋体" w:hAnsi="宋体" w:eastAsia="宋体" w:cs="宋体"/>
          <w:snapToGrid w:val="0"/>
          <w:color w:val="000000"/>
          <w:spacing w:val="-7"/>
          <w:kern w:val="0"/>
          <w:sz w:val="21"/>
          <w:szCs w:val="21"/>
          <w:lang w:eastAsia="en-US"/>
        </w:rPr>
        <w:t>月</w:t>
      </w:r>
      <w:r>
        <w:rPr>
          <w:rFonts w:hint="eastAsia" w:ascii="宋体" w:hAnsi="宋体" w:eastAsia="宋体" w:cs="宋体"/>
          <w:snapToGrid w:val="0"/>
          <w:color w:val="000000"/>
          <w:spacing w:val="15"/>
          <w:kern w:val="0"/>
          <w:sz w:val="21"/>
          <w:szCs w:val="21"/>
          <w:lang w:eastAsia="en-US"/>
        </w:rPr>
        <w:t xml:space="preserve">   </w:t>
      </w:r>
      <w:r>
        <w:rPr>
          <w:rFonts w:hint="eastAsia" w:ascii="宋体" w:hAnsi="宋体" w:eastAsia="宋体" w:cs="宋体"/>
          <w:snapToGrid w:val="0"/>
          <w:color w:val="000000"/>
          <w:spacing w:val="-7"/>
          <w:kern w:val="0"/>
          <w:sz w:val="21"/>
          <w:szCs w:val="21"/>
          <w:lang w:eastAsia="en-US"/>
        </w:rPr>
        <w:t>日</w:t>
      </w:r>
    </w:p>
    <w:p>
      <w:pPr>
        <w:widowControl/>
        <w:kinsoku w:val="0"/>
        <w:autoSpaceDE w:val="0"/>
        <w:autoSpaceDN w:val="0"/>
        <w:adjustRightInd w:val="0"/>
        <w:snapToGrid w:val="0"/>
        <w:spacing w:before="68" w:line="221" w:lineRule="auto"/>
        <w:ind w:left="7070"/>
        <w:jc w:val="left"/>
        <w:textAlignment w:val="baseline"/>
        <w:rPr>
          <w:rFonts w:ascii="宋体" w:hAnsi="宋体" w:eastAsia="宋体" w:cs="宋体"/>
          <w:snapToGrid w:val="0"/>
          <w:color w:val="000000"/>
          <w:spacing w:val="-7"/>
          <w:kern w:val="0"/>
          <w:sz w:val="21"/>
          <w:szCs w:val="21"/>
          <w:lang w:eastAsia="en-US"/>
        </w:rPr>
      </w:pPr>
    </w:p>
    <w:p>
      <w:pPr>
        <w:widowControl/>
        <w:kinsoku w:val="0"/>
        <w:autoSpaceDE w:val="0"/>
        <w:autoSpaceDN w:val="0"/>
        <w:adjustRightInd w:val="0"/>
        <w:snapToGrid w:val="0"/>
        <w:spacing w:before="68" w:line="221" w:lineRule="auto"/>
        <w:ind w:left="7070"/>
        <w:jc w:val="left"/>
        <w:textAlignment w:val="baseline"/>
        <w:rPr>
          <w:rFonts w:ascii="宋体" w:hAnsi="宋体" w:eastAsia="宋体" w:cs="宋体"/>
          <w:snapToGrid w:val="0"/>
          <w:color w:val="000000"/>
          <w:spacing w:val="-7"/>
          <w:kern w:val="0"/>
          <w:sz w:val="21"/>
          <w:szCs w:val="21"/>
          <w:lang w:eastAsia="en-US"/>
        </w:rPr>
      </w:pPr>
    </w:p>
    <w:p>
      <w:pPr>
        <w:widowControl/>
        <w:kinsoku w:val="0"/>
        <w:autoSpaceDE w:val="0"/>
        <w:autoSpaceDN w:val="0"/>
        <w:adjustRightInd w:val="0"/>
        <w:snapToGrid w:val="0"/>
        <w:spacing w:before="68" w:line="221" w:lineRule="auto"/>
        <w:ind w:left="7070"/>
        <w:jc w:val="left"/>
        <w:textAlignment w:val="baseline"/>
        <w:rPr>
          <w:rFonts w:ascii="宋体" w:hAnsi="宋体" w:eastAsia="宋体" w:cs="宋体"/>
          <w:snapToGrid w:val="0"/>
          <w:color w:val="000000"/>
          <w:spacing w:val="-7"/>
          <w:kern w:val="0"/>
          <w:sz w:val="21"/>
          <w:szCs w:val="21"/>
          <w:lang w:eastAsia="en-US"/>
        </w:rPr>
      </w:pPr>
    </w:p>
    <w:p>
      <w:pPr>
        <w:widowControl/>
        <w:kinsoku w:val="0"/>
        <w:autoSpaceDE w:val="0"/>
        <w:autoSpaceDN w:val="0"/>
        <w:adjustRightInd w:val="0"/>
        <w:snapToGrid w:val="0"/>
        <w:spacing w:before="68" w:line="221" w:lineRule="auto"/>
        <w:ind w:left="7070"/>
        <w:jc w:val="left"/>
        <w:textAlignment w:val="baseline"/>
        <w:rPr>
          <w:rFonts w:ascii="宋体" w:hAnsi="宋体" w:eastAsia="宋体" w:cs="宋体"/>
          <w:snapToGrid w:val="0"/>
          <w:color w:val="000000"/>
          <w:spacing w:val="-7"/>
          <w:kern w:val="0"/>
          <w:sz w:val="21"/>
          <w:szCs w:val="21"/>
          <w:lang w:eastAsia="en-US"/>
        </w:rPr>
      </w:pPr>
    </w:p>
    <w:p>
      <w:pPr>
        <w:widowControl/>
        <w:kinsoku w:val="0"/>
        <w:autoSpaceDE w:val="0"/>
        <w:autoSpaceDN w:val="0"/>
        <w:adjustRightInd w:val="0"/>
        <w:snapToGrid w:val="0"/>
        <w:spacing w:before="68" w:line="221" w:lineRule="auto"/>
        <w:ind w:left="7070"/>
        <w:jc w:val="left"/>
        <w:textAlignment w:val="baseline"/>
        <w:rPr>
          <w:rFonts w:ascii="宋体" w:hAnsi="宋体" w:eastAsia="宋体" w:cs="宋体"/>
          <w:snapToGrid w:val="0"/>
          <w:color w:val="000000"/>
          <w:spacing w:val="-7"/>
          <w:kern w:val="0"/>
          <w:sz w:val="21"/>
          <w:szCs w:val="21"/>
          <w:lang w:eastAsia="en-US"/>
        </w:rPr>
      </w:pPr>
    </w:p>
    <w:p>
      <w:pPr>
        <w:widowControl/>
        <w:kinsoku w:val="0"/>
        <w:autoSpaceDE w:val="0"/>
        <w:autoSpaceDN w:val="0"/>
        <w:adjustRightInd w:val="0"/>
        <w:snapToGrid w:val="0"/>
        <w:spacing w:before="68" w:line="221" w:lineRule="auto"/>
        <w:ind w:left="7070"/>
        <w:jc w:val="left"/>
        <w:textAlignment w:val="baseline"/>
        <w:rPr>
          <w:rFonts w:ascii="宋体" w:hAnsi="宋体" w:eastAsia="宋体" w:cs="宋体"/>
          <w:snapToGrid w:val="0"/>
          <w:color w:val="000000"/>
          <w:spacing w:val="-7"/>
          <w:kern w:val="0"/>
          <w:sz w:val="21"/>
          <w:szCs w:val="21"/>
          <w:lang w:eastAsia="en-US"/>
        </w:rPr>
      </w:pPr>
    </w:p>
    <w:p>
      <w:pPr>
        <w:widowControl/>
        <w:kinsoku w:val="0"/>
        <w:autoSpaceDE w:val="0"/>
        <w:autoSpaceDN w:val="0"/>
        <w:adjustRightInd w:val="0"/>
        <w:snapToGrid w:val="0"/>
        <w:spacing w:before="68" w:line="221" w:lineRule="auto"/>
        <w:jc w:val="left"/>
        <w:textAlignment w:val="baseline"/>
        <w:rPr>
          <w:rFonts w:ascii="宋体" w:hAnsi="宋体" w:eastAsia="宋体" w:cs="宋体"/>
          <w:snapToGrid w:val="0"/>
          <w:color w:val="000000"/>
          <w:spacing w:val="-7"/>
          <w:kern w:val="0"/>
          <w:sz w:val="21"/>
          <w:szCs w:val="21"/>
          <w:lang w:eastAsia="en-US"/>
        </w:rPr>
      </w:pPr>
    </w:p>
    <w:p>
      <w:pPr>
        <w:widowControl/>
        <w:kinsoku w:val="0"/>
        <w:autoSpaceDE w:val="0"/>
        <w:autoSpaceDN w:val="0"/>
        <w:adjustRightInd w:val="0"/>
        <w:snapToGrid w:val="0"/>
        <w:spacing w:before="179" w:line="221" w:lineRule="auto"/>
        <w:ind w:left="2453"/>
        <w:jc w:val="left"/>
        <w:textAlignment w:val="baseline"/>
        <w:rPr>
          <w:rFonts w:hint="eastAsia" w:ascii="宋体" w:hAnsi="宋体" w:eastAsia="宋体" w:cs="宋体"/>
          <w:snapToGrid w:val="0"/>
          <w:color w:val="000000"/>
          <w:kern w:val="0"/>
          <w:sz w:val="21"/>
          <w:szCs w:val="21"/>
          <w:lang w:eastAsia="en-US"/>
        </w:rPr>
      </w:pPr>
      <w:r>
        <w:rPr>
          <w:rFonts w:hint="eastAsia" w:ascii="宋体" w:hAnsi="宋体" w:eastAsia="宋体" w:cs="宋体"/>
          <w:snapToGrid w:val="0"/>
          <w:color w:val="000000"/>
          <w:spacing w:val="-2"/>
          <w:kern w:val="0"/>
          <w:sz w:val="21"/>
          <w:szCs w:val="21"/>
          <w:lang w:eastAsia="en-US"/>
        </w:rPr>
        <w:t>（</w:t>
      </w:r>
      <w:r>
        <w:rPr>
          <w:rFonts w:hint="eastAsia" w:ascii="宋体" w:hAnsi="宋体" w:eastAsia="宋体" w:cs="宋体"/>
          <w:sz w:val="21"/>
          <w:szCs w:val="21"/>
          <w:highlight w:val="none"/>
          <w:lang w:eastAsia="en-US"/>
        </w:rPr>
        <w:t>格式 2：联合体投标时适用</w:t>
      </w:r>
      <w:r>
        <w:rPr>
          <w:rFonts w:hint="eastAsia" w:ascii="宋体" w:hAnsi="宋体" w:eastAsia="宋体" w:cs="宋体"/>
          <w:snapToGrid w:val="0"/>
          <w:color w:val="000000"/>
          <w:spacing w:val="-2"/>
          <w:kern w:val="0"/>
          <w:sz w:val="21"/>
          <w:szCs w:val="21"/>
          <w:lang w:eastAsia="en-US"/>
        </w:rPr>
        <w:t>）</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投标人名称（联合体牵头人）：</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单位性质：</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地址：</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成立时间：</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年 </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月</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日</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经营期限：</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姓名：</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性别：</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年龄：</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职务：</w:t>
      </w:r>
      <w:r>
        <w:rPr>
          <w:rFonts w:hint="eastAsia" w:ascii="宋体" w:hAnsi="宋体" w:eastAsia="宋体" w:cs="宋体"/>
          <w:sz w:val="21"/>
          <w:szCs w:val="21"/>
          <w:highlight w:val="none"/>
          <w:u w:val="single"/>
          <w:lang w:eastAsia="en-US"/>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系</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（投标人名称）（联合体牵头人）的法定代表人。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附： 联合体牵头人法定代表人身份证复印件</w:t>
      </w:r>
    </w:p>
    <w:tbl>
      <w:tblPr>
        <w:tblStyle w:val="307"/>
        <w:tblW w:w="913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76"/>
        <w:gridCol w:w="4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6" w:hRule="atLeast"/>
        </w:trPr>
        <w:tc>
          <w:tcPr>
            <w:tcW w:w="4576" w:type="dxa"/>
            <w:noWrap w:val="0"/>
            <w:vAlign w:val="center"/>
          </w:tcPr>
          <w:p>
            <w:pPr>
              <w:widowControl/>
              <w:kinsoku w:val="0"/>
              <w:autoSpaceDE w:val="0"/>
              <w:autoSpaceDN w:val="0"/>
              <w:adjustRightInd w:val="0"/>
              <w:snapToGrid w:val="0"/>
              <w:spacing w:before="68" w:line="221" w:lineRule="auto"/>
              <w:jc w:val="center"/>
              <w:textAlignment w:val="baseline"/>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spacing w:val="-1"/>
                <w:kern w:val="0"/>
                <w:sz w:val="21"/>
                <w:szCs w:val="21"/>
                <w:lang w:val="en-US" w:eastAsia="en-US" w:bidi="ar-SA"/>
              </w:rPr>
              <w:t>法定代表人二代身份证复印件（正面）</w:t>
            </w:r>
          </w:p>
        </w:tc>
        <w:tc>
          <w:tcPr>
            <w:tcW w:w="4563" w:type="dxa"/>
            <w:noWrap w:val="0"/>
            <w:vAlign w:val="center"/>
          </w:tcPr>
          <w:p>
            <w:pPr>
              <w:widowControl/>
              <w:kinsoku w:val="0"/>
              <w:autoSpaceDE w:val="0"/>
              <w:autoSpaceDN w:val="0"/>
              <w:adjustRightInd w:val="0"/>
              <w:snapToGrid w:val="0"/>
              <w:spacing w:before="68" w:line="221" w:lineRule="auto"/>
              <w:jc w:val="center"/>
              <w:textAlignment w:val="baseline"/>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spacing w:val="-1"/>
                <w:kern w:val="0"/>
                <w:sz w:val="21"/>
                <w:szCs w:val="21"/>
                <w:lang w:val="en-US" w:eastAsia="en-US" w:bidi="ar-SA"/>
              </w:rPr>
              <w:t>法定代表人二代身份证复印件（反面）</w:t>
            </w:r>
          </w:p>
        </w:tc>
      </w:tr>
    </w:tbl>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投标人名称（联合体</w:t>
      </w:r>
      <w:r>
        <w:rPr>
          <w:rFonts w:hint="eastAsia" w:ascii="宋体" w:hAnsi="宋体" w:eastAsia="宋体" w:cs="宋体"/>
          <w:sz w:val="21"/>
          <w:szCs w:val="21"/>
          <w:highlight w:val="none"/>
          <w:lang w:val="en-US" w:eastAsia="zh-CN"/>
        </w:rPr>
        <w:t>参与方</w:t>
      </w:r>
      <w:r>
        <w:rPr>
          <w:rFonts w:hint="eastAsia" w:ascii="宋体" w:hAnsi="宋体" w:eastAsia="宋体" w:cs="宋体"/>
          <w:sz w:val="21"/>
          <w:szCs w:val="21"/>
          <w:highlight w:val="none"/>
          <w:lang w:eastAsia="en-US"/>
        </w:rPr>
        <w:t>）：</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单位性质：</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地址：</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成立时间：</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年 </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月</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日</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经营期限：</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姓名：</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 xml:space="preserve"> 性别：</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年龄：</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职务：</w:t>
      </w:r>
      <w:r>
        <w:rPr>
          <w:rFonts w:hint="eastAsia" w:ascii="宋体" w:hAnsi="宋体" w:eastAsia="宋体" w:cs="宋体"/>
          <w:sz w:val="21"/>
          <w:szCs w:val="21"/>
          <w:highlight w:val="none"/>
          <w:u w:val="single"/>
          <w:lang w:eastAsia="en-US"/>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系</w:t>
      </w:r>
      <w:r>
        <w:rPr>
          <w:rFonts w:hint="eastAsia" w:ascii="宋体" w:hAnsi="宋体" w:eastAsia="宋体" w:cs="宋体"/>
          <w:sz w:val="21"/>
          <w:szCs w:val="21"/>
          <w:highlight w:val="none"/>
          <w:u w:val="single"/>
          <w:lang w:eastAsia="en-US"/>
        </w:rPr>
        <w:t xml:space="preserve">              </w:t>
      </w:r>
      <w:r>
        <w:rPr>
          <w:rFonts w:hint="eastAsia" w:ascii="宋体" w:hAnsi="宋体" w:eastAsia="宋体" w:cs="宋体"/>
          <w:sz w:val="21"/>
          <w:szCs w:val="21"/>
          <w:highlight w:val="none"/>
          <w:lang w:eastAsia="en-US"/>
        </w:rPr>
        <w:t>（投标人名称）（联合体</w:t>
      </w:r>
      <w:r>
        <w:rPr>
          <w:rFonts w:hint="eastAsia" w:ascii="宋体" w:hAnsi="宋体" w:eastAsia="宋体" w:cs="宋体"/>
          <w:sz w:val="21"/>
          <w:szCs w:val="21"/>
          <w:highlight w:val="none"/>
          <w:lang w:val="en-US" w:eastAsia="zh-CN"/>
        </w:rPr>
        <w:t>参与方</w:t>
      </w:r>
      <w:r>
        <w:rPr>
          <w:rFonts w:hint="eastAsia" w:ascii="宋体" w:hAnsi="宋体" w:eastAsia="宋体" w:cs="宋体"/>
          <w:sz w:val="21"/>
          <w:szCs w:val="21"/>
          <w:highlight w:val="none"/>
          <w:lang w:eastAsia="en-US"/>
        </w:rPr>
        <w:t>）的法定代表人。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附： 联合体参与方法定代表人身份证复印件</w:t>
      </w:r>
    </w:p>
    <w:tbl>
      <w:tblPr>
        <w:tblStyle w:val="307"/>
        <w:tblW w:w="9499"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56"/>
        <w:gridCol w:w="474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6" w:hRule="atLeast"/>
        </w:trPr>
        <w:tc>
          <w:tcPr>
            <w:tcW w:w="4756" w:type="dxa"/>
            <w:noWrap w:val="0"/>
            <w:vAlign w:val="center"/>
          </w:tcPr>
          <w:p>
            <w:pPr>
              <w:widowControl/>
              <w:kinsoku w:val="0"/>
              <w:autoSpaceDE w:val="0"/>
              <w:autoSpaceDN w:val="0"/>
              <w:adjustRightInd w:val="0"/>
              <w:snapToGrid w:val="0"/>
              <w:spacing w:before="68" w:line="221" w:lineRule="auto"/>
              <w:jc w:val="center"/>
              <w:textAlignment w:val="baseline"/>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spacing w:val="-1"/>
                <w:kern w:val="0"/>
                <w:sz w:val="21"/>
                <w:szCs w:val="21"/>
                <w:lang w:val="en-US" w:eastAsia="en-US" w:bidi="ar-SA"/>
              </w:rPr>
              <w:t>法定代表人二代身份证复印件（正面）</w:t>
            </w:r>
          </w:p>
        </w:tc>
        <w:tc>
          <w:tcPr>
            <w:tcW w:w="4743" w:type="dxa"/>
            <w:noWrap w:val="0"/>
            <w:vAlign w:val="center"/>
          </w:tcPr>
          <w:p>
            <w:pPr>
              <w:widowControl/>
              <w:kinsoku w:val="0"/>
              <w:autoSpaceDE w:val="0"/>
              <w:autoSpaceDN w:val="0"/>
              <w:adjustRightInd w:val="0"/>
              <w:snapToGrid w:val="0"/>
              <w:spacing w:before="68" w:line="221" w:lineRule="auto"/>
              <w:jc w:val="center"/>
              <w:textAlignment w:val="baseline"/>
              <w:rPr>
                <w:rFonts w:hint="eastAsia" w:ascii="宋体" w:hAnsi="宋体" w:eastAsia="宋体" w:cs="宋体"/>
                <w:snapToGrid w:val="0"/>
                <w:color w:val="000000"/>
                <w:kern w:val="0"/>
                <w:sz w:val="21"/>
                <w:szCs w:val="21"/>
                <w:lang w:val="en-US" w:eastAsia="en-US" w:bidi="ar-SA"/>
              </w:rPr>
            </w:pPr>
            <w:r>
              <w:rPr>
                <w:rFonts w:hint="eastAsia" w:ascii="宋体" w:hAnsi="宋体" w:eastAsia="宋体" w:cs="宋体"/>
                <w:snapToGrid w:val="0"/>
                <w:color w:val="000000"/>
                <w:spacing w:val="-1"/>
                <w:kern w:val="0"/>
                <w:sz w:val="21"/>
                <w:szCs w:val="21"/>
                <w:lang w:val="en-US" w:eastAsia="en-US" w:bidi="ar-SA"/>
              </w:rPr>
              <w:t>法定代表人二代身份证复印件（反面）</w:t>
            </w:r>
          </w:p>
        </w:tc>
      </w:tr>
    </w:tbl>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eastAsia="宋体" w:cs="宋体"/>
          <w:sz w:val="21"/>
          <w:szCs w:val="21"/>
          <w:highlight w:val="none"/>
          <w:lang w:val="en-US" w:eastAsia="en-US"/>
        </w:rPr>
      </w:pPr>
      <w:r>
        <w:rPr>
          <w:rFonts w:hint="eastAsia" w:ascii="宋体" w:hAnsi="宋体" w:eastAsia="宋体" w:cs="宋体"/>
          <w:sz w:val="21"/>
          <w:szCs w:val="21"/>
          <w:highlight w:val="none"/>
          <w:lang w:eastAsia="en-US"/>
        </w:rPr>
        <w:t>特此证明。</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宋体" w:hAnsi="宋体" w:eastAsia="宋体" w:cs="宋体"/>
          <w:sz w:val="21"/>
          <w:szCs w:val="21"/>
          <w:highlight w:val="none"/>
          <w:lang w:val="en-US" w:eastAsia="en-US"/>
        </w:rPr>
      </w:pPr>
      <w:r>
        <w:rPr>
          <w:rFonts w:hint="eastAsia" w:ascii="宋体" w:hAnsi="宋体" w:eastAsia="宋体" w:cs="宋体"/>
          <w:sz w:val="21"/>
          <w:szCs w:val="21"/>
          <w:highlight w:val="none"/>
          <w:lang w:eastAsia="en-US"/>
        </w:rPr>
        <w:t>投标人（联合体各方成员）：</w:t>
      </w:r>
      <w:r>
        <w:rPr>
          <w:rFonts w:hint="eastAsia" w:ascii="宋体" w:hAnsi="宋体" w:eastAsia="宋体" w:cs="宋体"/>
          <w:sz w:val="21"/>
          <w:szCs w:val="21"/>
          <w:highlight w:val="none"/>
          <w:u w:val="single"/>
          <w:lang w:eastAsia="en-US"/>
        </w:rPr>
        <w:t xml:space="preserve">      （全称）       </w:t>
      </w:r>
      <w:r>
        <w:rPr>
          <w:rFonts w:hint="eastAsia" w:ascii="宋体" w:hAnsi="宋体" w:eastAsia="宋体" w:cs="宋体"/>
          <w:sz w:val="21"/>
          <w:szCs w:val="21"/>
          <w:highlight w:val="none"/>
          <w:lang w:eastAsia="en-US"/>
        </w:rPr>
        <w:t>（盖单位公章）</w:t>
      </w:r>
    </w:p>
    <w:p>
      <w:pPr>
        <w:keepNext w:val="0"/>
        <w:keepLines w:val="0"/>
        <w:pageBreakBefore w:val="0"/>
        <w:widowControl w:val="0"/>
        <w:kinsoku/>
        <w:wordWrap/>
        <w:overflowPunct/>
        <w:topLinePunct w:val="0"/>
        <w:autoSpaceDE/>
        <w:autoSpaceDN/>
        <w:bidi w:val="0"/>
        <w:adjustRightInd/>
        <w:snapToGrid/>
        <w:spacing w:line="480" w:lineRule="auto"/>
        <w:jc w:val="right"/>
        <w:textAlignment w:val="auto"/>
        <w:rPr>
          <w:rFonts w:hint="eastAsia" w:ascii="宋体" w:hAnsi="宋体" w:eastAsia="宋体" w:cs="宋体"/>
          <w:sz w:val="21"/>
          <w:szCs w:val="21"/>
          <w:highlight w:val="none"/>
          <w:lang w:eastAsia="en-US"/>
        </w:rPr>
      </w:pPr>
      <w:r>
        <w:rPr>
          <w:rFonts w:hint="eastAsia" w:ascii="宋体" w:hAnsi="宋体" w:eastAsia="宋体" w:cs="宋体"/>
          <w:sz w:val="21"/>
          <w:szCs w:val="21"/>
          <w:highlight w:val="none"/>
          <w:lang w:eastAsia="en-US"/>
        </w:rPr>
        <w:tab/>
      </w:r>
      <w:r>
        <w:rPr>
          <w:rFonts w:hint="eastAsia" w:ascii="宋体" w:hAnsi="宋体" w:eastAsia="宋体" w:cs="宋体"/>
          <w:sz w:val="21"/>
          <w:szCs w:val="21"/>
          <w:highlight w:val="none"/>
          <w:lang w:eastAsia="en-US"/>
        </w:rPr>
        <w:t xml:space="preserve"> 年     月      日</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ascii="宋体" w:hAnsi="宋体" w:cs="宋体"/>
          <w:bCs/>
          <w:color w:val="auto"/>
          <w:sz w:val="21"/>
          <w:szCs w:val="21"/>
        </w:rPr>
      </w:pPr>
      <w:r>
        <w:rPr>
          <w:rFonts w:hint="eastAsia" w:ascii="宋体" w:hAnsi="宋体" w:eastAsia="宋体" w:cs="宋体"/>
          <w:sz w:val="21"/>
          <w:szCs w:val="21"/>
          <w:highlight w:val="none"/>
          <w:lang w:eastAsia="en-US"/>
        </w:rPr>
        <w:t>注： 联合体投标的，此证明须由联合体各方成员加盖单位公章。</w:t>
      </w:r>
    </w:p>
    <w:p>
      <w:pPr>
        <w:adjustRightInd w:val="0"/>
        <w:snapToGrid w:val="0"/>
        <w:spacing w:before="156" w:beforeLines="50" w:line="360" w:lineRule="auto"/>
        <w:rPr>
          <w:rFonts w:ascii="宋体" w:hAnsi="宋体" w:cs="宋体"/>
          <w:bCs/>
          <w:color w:val="auto"/>
          <w:sz w:val="21"/>
          <w:szCs w:val="21"/>
        </w:rPr>
      </w:pPr>
      <w:r>
        <w:rPr>
          <w:rFonts w:hint="eastAsia" w:ascii="宋体" w:hAnsi="宋体" w:cs="宋体"/>
          <w:b/>
          <w:color w:val="auto"/>
          <w:sz w:val="21"/>
          <w:szCs w:val="21"/>
        </w:rPr>
        <w:t>注：（此法定代表人身份证明由供应商单位加盖单位公章，除响应文件中须提供外，还须另外准备一份，不装入响应文件，与项目的响应文件同时分别递交，否则，视为自动放弃磋商）</w:t>
      </w:r>
    </w:p>
    <w:p>
      <w:pPr>
        <w:rPr>
          <w:rFonts w:ascii="宋体" w:hAnsi="宋体" w:cs="宋体"/>
          <w:color w:val="auto"/>
          <w:sz w:val="21"/>
          <w:szCs w:val="21"/>
        </w:rPr>
      </w:pPr>
      <w:r>
        <w:rPr>
          <w:rFonts w:hint="eastAsia" w:ascii="宋体" w:hAnsi="宋体" w:cs="宋体"/>
          <w:bCs/>
          <w:color w:val="auto"/>
          <w:sz w:val="21"/>
          <w:szCs w:val="21"/>
        </w:rPr>
        <w:t>附件2</w:t>
      </w:r>
    </w:p>
    <w:p>
      <w:pPr>
        <w:jc w:val="center"/>
        <w:rPr>
          <w:rFonts w:ascii="宋体" w:hAnsi="宋体" w:cs="宋体"/>
          <w:b/>
          <w:color w:val="auto"/>
          <w:sz w:val="21"/>
          <w:szCs w:val="21"/>
        </w:rPr>
      </w:pPr>
      <w:r>
        <w:rPr>
          <w:rFonts w:hint="eastAsia" w:ascii="宋体" w:hAnsi="宋体" w:cs="宋体"/>
          <w:b/>
          <w:color w:val="auto"/>
          <w:sz w:val="21"/>
          <w:szCs w:val="21"/>
        </w:rPr>
        <w:t>法定代表人授权委托书</w:t>
      </w:r>
    </w:p>
    <w:p>
      <w:pPr>
        <w:adjustRightInd w:val="0"/>
        <w:snapToGrid w:val="0"/>
        <w:spacing w:line="360" w:lineRule="auto"/>
        <w:jc w:val="center"/>
        <w:rPr>
          <w:rFonts w:ascii="宋体" w:hAnsi="宋体" w:cs="宋体"/>
          <w:b/>
          <w:color w:val="auto"/>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ascii="Arial" w:hAnsi="Arial" w:eastAsia="Arial" w:cs="Arial"/>
          <w:snapToGrid w:val="0"/>
          <w:color w:val="000000"/>
          <w:kern w:val="0"/>
          <w:sz w:val="21"/>
          <w:szCs w:val="21"/>
          <w:lang w:val="en-US" w:eastAsia="en-US" w:bidi="ar-SA"/>
        </w:rPr>
      </w:pPr>
      <w:r>
        <w:rPr>
          <w:rFonts w:ascii="宋体" w:hAnsi="宋体" w:eastAsia="宋体" w:cs="宋体"/>
          <w:snapToGrid w:val="0"/>
          <w:color w:val="000000"/>
          <w:spacing w:val="-1"/>
          <w:kern w:val="0"/>
          <w:sz w:val="21"/>
          <w:szCs w:val="21"/>
          <w:lang w:eastAsia="en-US"/>
        </w:rPr>
        <w:t>（</w:t>
      </w:r>
      <w:r>
        <w:rPr>
          <w:rFonts w:hint="eastAsia" w:ascii="宋体" w:hAnsi="宋体" w:eastAsia="宋体" w:cs="宋体"/>
          <w:snapToGrid w:val="0"/>
          <w:color w:val="000000"/>
          <w:spacing w:val="-1"/>
          <w:kern w:val="0"/>
          <w:sz w:val="21"/>
          <w:szCs w:val="21"/>
          <w:lang w:val="en-US" w:eastAsia="en-US"/>
        </w:rPr>
        <w:t xml:space="preserve">格式 </w:t>
      </w:r>
      <w:r>
        <w:rPr>
          <w:rFonts w:ascii="宋体" w:hAnsi="宋体" w:eastAsia="宋体" w:cs="宋体"/>
          <w:snapToGrid w:val="0"/>
          <w:color w:val="000000"/>
          <w:spacing w:val="-1"/>
          <w:kern w:val="0"/>
          <w:sz w:val="21"/>
          <w:szCs w:val="21"/>
          <w:lang w:val="en-US" w:eastAsia="en-US"/>
        </w:rPr>
        <w:t>1</w:t>
      </w:r>
      <w:r>
        <w:rPr>
          <w:rFonts w:hint="eastAsia" w:ascii="宋体" w:hAnsi="宋体" w:eastAsia="宋体" w:cs="宋体"/>
          <w:snapToGrid w:val="0"/>
          <w:color w:val="000000"/>
          <w:spacing w:val="-1"/>
          <w:kern w:val="0"/>
          <w:sz w:val="21"/>
          <w:szCs w:val="21"/>
          <w:lang w:val="en-US" w:eastAsia="en-US"/>
        </w:rPr>
        <w:t>：非联合体</w:t>
      </w:r>
      <w:r>
        <w:rPr>
          <w:rFonts w:hint="eastAsia" w:ascii="宋体" w:hAnsi="宋体" w:eastAsia="宋体" w:cs="宋体"/>
          <w:snapToGrid w:val="0"/>
          <w:color w:val="000000"/>
          <w:spacing w:val="-1"/>
          <w:kern w:val="0"/>
          <w:sz w:val="21"/>
          <w:szCs w:val="21"/>
          <w:lang w:val="en-US" w:eastAsia="zh-CN"/>
        </w:rPr>
        <w:t>投标</w:t>
      </w:r>
      <w:r>
        <w:rPr>
          <w:rFonts w:hint="eastAsia" w:ascii="宋体" w:hAnsi="宋体" w:eastAsia="宋体" w:cs="宋体"/>
          <w:snapToGrid w:val="0"/>
          <w:color w:val="000000"/>
          <w:spacing w:val="-1"/>
          <w:kern w:val="0"/>
          <w:sz w:val="21"/>
          <w:szCs w:val="21"/>
          <w:lang w:val="en-US" w:eastAsia="en-US"/>
        </w:rPr>
        <w:t>时适用</w:t>
      </w:r>
      <w:r>
        <w:rPr>
          <w:rFonts w:hint="eastAsia" w:ascii="宋体" w:hAnsi="宋体" w:eastAsia="宋体" w:cs="宋体"/>
          <w:snapToGrid w:val="0"/>
          <w:color w:val="000000"/>
          <w:spacing w:val="-1"/>
          <w:kern w:val="0"/>
          <w:sz w:val="21"/>
          <w:szCs w:val="21"/>
          <w:lang w:val="en-US" w:eastAsia="zh-CN"/>
        </w:rPr>
        <w:t>，</w:t>
      </w:r>
      <w:r>
        <w:rPr>
          <w:rFonts w:ascii="宋体" w:hAnsi="宋体" w:eastAsia="宋体" w:cs="宋体"/>
          <w:snapToGrid w:val="0"/>
          <w:color w:val="000000"/>
          <w:spacing w:val="-1"/>
          <w:kern w:val="0"/>
          <w:sz w:val="21"/>
          <w:szCs w:val="21"/>
          <w:lang w:eastAsia="en-US"/>
        </w:rPr>
        <w:t>委托代理人作为签字代表的提供并附法定代表人身份证</w:t>
      </w:r>
      <w:r>
        <w:rPr>
          <w:rFonts w:ascii="宋体" w:hAnsi="宋体" w:eastAsia="宋体" w:cs="宋体"/>
          <w:snapToGrid w:val="0"/>
          <w:color w:val="000000"/>
          <w:spacing w:val="-2"/>
          <w:kern w:val="0"/>
          <w:sz w:val="21"/>
          <w:szCs w:val="21"/>
          <w:lang w:eastAsia="en-US"/>
        </w:rPr>
        <w:t>明）</w:t>
      </w:r>
    </w:p>
    <w:p>
      <w:pPr>
        <w:kinsoku w:val="0"/>
        <w:autoSpaceDE w:val="0"/>
        <w:autoSpaceDN w:val="0"/>
        <w:adjustRightInd w:val="0"/>
        <w:snapToGrid w:val="0"/>
        <w:spacing w:line="286" w:lineRule="auto"/>
        <w:jc w:val="left"/>
        <w:textAlignment w:val="baseline"/>
        <w:rPr>
          <w:rFonts w:ascii="Arial" w:hAnsi="Arial" w:eastAsia="Arial" w:cs="Arial"/>
          <w:snapToGrid w:val="0"/>
          <w:color w:val="000000"/>
          <w:kern w:val="0"/>
          <w:sz w:val="21"/>
          <w:szCs w:val="21"/>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left="0" w:leftChars="0" w:firstLine="238" w:firstLineChars="128"/>
        <w:jc w:val="left"/>
        <w:textAlignment w:val="baseline"/>
        <w:rPr>
          <w:rFonts w:ascii="宋体" w:hAnsi="宋体" w:eastAsia="宋体" w:cs="宋体"/>
          <w:snapToGrid w:val="0"/>
          <w:color w:val="000000"/>
          <w:kern w:val="0"/>
          <w:sz w:val="21"/>
          <w:szCs w:val="21"/>
          <w:lang w:eastAsia="en-US"/>
        </w:rPr>
      </w:pPr>
      <w:r>
        <w:rPr>
          <w:rFonts w:ascii="宋体" w:hAnsi="宋体" w:eastAsia="宋体" w:cs="宋体"/>
          <w:snapToGrid w:val="0"/>
          <w:color w:val="000000"/>
          <w:spacing w:val="-12"/>
          <w:kern w:val="0"/>
          <w:sz w:val="21"/>
          <w:szCs w:val="21"/>
          <w:lang w:eastAsia="en-US"/>
        </w:rPr>
        <w:t>本人</w:t>
      </w:r>
      <w:r>
        <w:rPr>
          <w:rFonts w:ascii="宋体" w:hAnsi="宋体" w:eastAsia="宋体" w:cs="宋体"/>
          <w:snapToGrid w:val="0"/>
          <w:color w:val="000000"/>
          <w:kern w:val="0"/>
          <w:sz w:val="21"/>
          <w:szCs w:val="21"/>
          <w:u w:val="single" w:color="auto"/>
          <w:lang w:eastAsia="en-US"/>
        </w:rPr>
        <w:t xml:space="preserve">          </w:t>
      </w:r>
      <w:r>
        <w:rPr>
          <w:rFonts w:ascii="宋体" w:hAnsi="宋体" w:eastAsia="宋体" w:cs="宋体"/>
          <w:snapToGrid w:val="0"/>
          <w:color w:val="000000"/>
          <w:spacing w:val="-75"/>
          <w:kern w:val="0"/>
          <w:sz w:val="21"/>
          <w:szCs w:val="21"/>
          <w:lang w:eastAsia="en-US"/>
        </w:rPr>
        <w:t xml:space="preserve"> </w:t>
      </w:r>
      <w:r>
        <w:rPr>
          <w:rFonts w:ascii="宋体" w:hAnsi="宋体" w:eastAsia="宋体" w:cs="宋体"/>
          <w:snapToGrid w:val="0"/>
          <w:color w:val="000000"/>
          <w:spacing w:val="-12"/>
          <w:kern w:val="0"/>
          <w:sz w:val="21"/>
          <w:szCs w:val="21"/>
          <w:lang w:eastAsia="en-US"/>
        </w:rPr>
        <w:t>（姓名、职务） 系</w:t>
      </w:r>
      <w:r>
        <w:rPr>
          <w:rFonts w:ascii="宋体" w:hAnsi="宋体" w:eastAsia="宋体" w:cs="宋体"/>
          <w:snapToGrid w:val="0"/>
          <w:color w:val="000000"/>
          <w:spacing w:val="-119"/>
          <w:kern w:val="0"/>
          <w:sz w:val="21"/>
          <w:szCs w:val="21"/>
          <w:lang w:eastAsia="en-US"/>
        </w:rPr>
        <w:t xml:space="preserve"> </w:t>
      </w:r>
      <w:r>
        <w:rPr>
          <w:rFonts w:ascii="宋体" w:hAnsi="宋体" w:eastAsia="宋体" w:cs="宋体"/>
          <w:snapToGrid w:val="0"/>
          <w:color w:val="000000"/>
          <w:spacing w:val="-12"/>
          <w:kern w:val="0"/>
          <w:sz w:val="21"/>
          <w:szCs w:val="21"/>
          <w:u w:val="single" w:color="auto"/>
          <w:lang w:eastAsia="en-US"/>
        </w:rPr>
        <w:t xml:space="preserve">                   </w:t>
      </w:r>
      <w:r>
        <w:rPr>
          <w:rFonts w:ascii="宋体" w:hAnsi="宋体" w:eastAsia="宋体" w:cs="宋体"/>
          <w:snapToGrid w:val="0"/>
          <w:color w:val="000000"/>
          <w:spacing w:val="-13"/>
          <w:kern w:val="0"/>
          <w:sz w:val="21"/>
          <w:szCs w:val="21"/>
          <w:lang w:eastAsia="en-US"/>
        </w:rPr>
        <w:t>（投标人名称） 的法定代表人，</w:t>
      </w:r>
      <w:r>
        <w:rPr>
          <w:rFonts w:ascii="宋体" w:hAnsi="宋体" w:eastAsia="宋体" w:cs="宋体"/>
          <w:snapToGrid w:val="0"/>
          <w:color w:val="000000"/>
          <w:kern w:val="0"/>
          <w:sz w:val="21"/>
          <w:szCs w:val="21"/>
          <w:lang w:eastAsia="en-US"/>
        </w:rPr>
        <w:t xml:space="preserve"> </w:t>
      </w:r>
      <w:r>
        <w:rPr>
          <w:rFonts w:ascii="宋体" w:hAnsi="宋体" w:eastAsia="宋体" w:cs="宋体"/>
          <w:snapToGrid w:val="0"/>
          <w:color w:val="000000"/>
          <w:spacing w:val="-3"/>
          <w:kern w:val="0"/>
          <w:sz w:val="21"/>
          <w:szCs w:val="21"/>
          <w:lang w:eastAsia="en-US"/>
        </w:rPr>
        <w:t>现授权</w:t>
      </w:r>
      <w:r>
        <w:rPr>
          <w:rFonts w:ascii="宋体" w:hAnsi="宋体" w:eastAsia="宋体" w:cs="宋体"/>
          <w:snapToGrid w:val="0"/>
          <w:color w:val="000000"/>
          <w:spacing w:val="-3"/>
          <w:kern w:val="0"/>
          <w:sz w:val="21"/>
          <w:szCs w:val="21"/>
          <w:u w:val="single" w:color="auto"/>
          <w:lang w:eastAsia="en-US"/>
        </w:rPr>
        <w:t xml:space="preserve">         </w:t>
      </w:r>
      <w:r>
        <w:rPr>
          <w:rFonts w:ascii="宋体" w:hAnsi="宋体" w:eastAsia="宋体" w:cs="宋体"/>
          <w:snapToGrid w:val="0"/>
          <w:color w:val="000000"/>
          <w:spacing w:val="-3"/>
          <w:kern w:val="0"/>
          <w:sz w:val="21"/>
          <w:szCs w:val="21"/>
          <w:lang w:eastAsia="en-US"/>
        </w:rPr>
        <w:t>（姓名、职务）为我方代理人。代理人根据授权</w:t>
      </w:r>
      <w:r>
        <w:rPr>
          <w:rFonts w:ascii="宋体" w:hAnsi="宋体" w:eastAsia="宋体" w:cs="宋体"/>
          <w:snapToGrid w:val="0"/>
          <w:color w:val="000000"/>
          <w:spacing w:val="-4"/>
          <w:kern w:val="0"/>
          <w:sz w:val="21"/>
          <w:szCs w:val="21"/>
          <w:lang w:eastAsia="en-US"/>
        </w:rPr>
        <w:t>，以我方名义签署、澄清、说明、</w:t>
      </w:r>
      <w:r>
        <w:rPr>
          <w:rFonts w:ascii="宋体" w:hAnsi="宋体" w:eastAsia="宋体" w:cs="宋体"/>
          <w:snapToGrid w:val="0"/>
          <w:color w:val="000000"/>
          <w:kern w:val="0"/>
          <w:sz w:val="21"/>
          <w:szCs w:val="21"/>
          <w:lang w:eastAsia="en-US"/>
        </w:rPr>
        <w:t xml:space="preserve"> </w:t>
      </w:r>
      <w:r>
        <w:rPr>
          <w:rFonts w:ascii="宋体" w:hAnsi="宋体" w:eastAsia="宋体" w:cs="宋体"/>
          <w:snapToGrid w:val="0"/>
          <w:color w:val="000000"/>
          <w:spacing w:val="-3"/>
          <w:kern w:val="0"/>
          <w:sz w:val="21"/>
          <w:szCs w:val="21"/>
          <w:lang w:eastAsia="en-US"/>
        </w:rPr>
        <w:t>补正、递交、撤回、修改</w:t>
      </w:r>
      <w:r>
        <w:rPr>
          <w:rFonts w:ascii="宋体" w:hAnsi="宋体" w:eastAsia="宋体" w:cs="宋体"/>
          <w:snapToGrid w:val="0"/>
          <w:color w:val="000000"/>
          <w:spacing w:val="-117"/>
          <w:kern w:val="0"/>
          <w:sz w:val="21"/>
          <w:szCs w:val="21"/>
          <w:lang w:eastAsia="en-US"/>
        </w:rPr>
        <w:t xml:space="preserve"> </w:t>
      </w:r>
      <w:r>
        <w:rPr>
          <w:rFonts w:ascii="宋体" w:hAnsi="宋体" w:eastAsia="宋体" w:cs="宋体"/>
          <w:snapToGrid w:val="0"/>
          <w:color w:val="000000"/>
          <w:spacing w:val="-3"/>
          <w:kern w:val="0"/>
          <w:sz w:val="21"/>
          <w:szCs w:val="21"/>
          <w:u w:val="single" w:color="auto"/>
          <w:lang w:eastAsia="en-US"/>
        </w:rPr>
        <w:t xml:space="preserve">              </w:t>
      </w:r>
      <w:r>
        <w:rPr>
          <w:rFonts w:ascii="宋体" w:hAnsi="宋体" w:eastAsia="宋体" w:cs="宋体"/>
          <w:snapToGrid w:val="0"/>
          <w:color w:val="000000"/>
          <w:spacing w:val="-3"/>
          <w:kern w:val="0"/>
          <w:sz w:val="21"/>
          <w:szCs w:val="21"/>
          <w:lang w:eastAsia="en-US"/>
        </w:rPr>
        <w:t xml:space="preserve"> （项目名称</w:t>
      </w:r>
      <w:r>
        <w:rPr>
          <w:rFonts w:ascii="宋体" w:hAnsi="宋体" w:eastAsia="宋体" w:cs="宋体"/>
          <w:snapToGrid w:val="0"/>
          <w:color w:val="000000"/>
          <w:spacing w:val="-10"/>
          <w:kern w:val="0"/>
          <w:sz w:val="21"/>
          <w:szCs w:val="21"/>
          <w:lang w:eastAsia="en-US"/>
        </w:rPr>
        <w:t>）（</w:t>
      </w:r>
      <w:r>
        <w:rPr>
          <w:rFonts w:ascii="宋体" w:hAnsi="宋体" w:eastAsia="宋体" w:cs="宋体"/>
          <w:snapToGrid w:val="0"/>
          <w:color w:val="000000"/>
          <w:spacing w:val="-3"/>
          <w:kern w:val="0"/>
          <w:sz w:val="21"/>
          <w:szCs w:val="21"/>
          <w:lang w:eastAsia="en-US"/>
        </w:rPr>
        <w:t>委托代理编号</w:t>
      </w:r>
      <w:r>
        <w:rPr>
          <w:rFonts w:ascii="宋体" w:hAnsi="宋体" w:eastAsia="宋体" w:cs="宋体"/>
          <w:snapToGrid w:val="0"/>
          <w:color w:val="000000"/>
          <w:spacing w:val="-10"/>
          <w:kern w:val="0"/>
          <w:sz w:val="21"/>
          <w:szCs w:val="21"/>
          <w:lang w:eastAsia="en-US"/>
        </w:rPr>
        <w:t>：</w:t>
      </w:r>
      <w:r>
        <w:rPr>
          <w:rFonts w:ascii="宋体" w:hAnsi="宋体" w:eastAsia="宋体" w:cs="宋体"/>
          <w:snapToGrid w:val="0"/>
          <w:color w:val="000000"/>
          <w:kern w:val="0"/>
          <w:sz w:val="21"/>
          <w:szCs w:val="21"/>
          <w:u w:val="single" w:color="auto"/>
          <w:lang w:eastAsia="en-US"/>
        </w:rPr>
        <w:t xml:space="preserve">      </w:t>
      </w:r>
      <w:r>
        <w:rPr>
          <w:rFonts w:ascii="宋体" w:hAnsi="宋体" w:eastAsia="宋体" w:cs="宋体"/>
          <w:snapToGrid w:val="0"/>
          <w:color w:val="000000"/>
          <w:spacing w:val="35"/>
          <w:kern w:val="0"/>
          <w:sz w:val="21"/>
          <w:szCs w:val="21"/>
          <w:lang w:eastAsia="en-US"/>
        </w:rPr>
        <w:t xml:space="preserve"> </w:t>
      </w:r>
      <w:r>
        <w:rPr>
          <w:rFonts w:ascii="宋体" w:hAnsi="宋体" w:eastAsia="宋体" w:cs="宋体"/>
          <w:snapToGrid w:val="0"/>
          <w:color w:val="000000"/>
          <w:spacing w:val="-10"/>
          <w:kern w:val="0"/>
          <w:sz w:val="21"/>
          <w:szCs w:val="21"/>
          <w:lang w:eastAsia="en-US"/>
        </w:rPr>
        <w:t>）</w:t>
      </w:r>
      <w:r>
        <w:rPr>
          <w:rFonts w:ascii="宋体" w:hAnsi="宋体" w:eastAsia="宋体" w:cs="宋体"/>
          <w:snapToGrid w:val="0"/>
          <w:color w:val="000000"/>
          <w:spacing w:val="-3"/>
          <w:kern w:val="0"/>
          <w:sz w:val="21"/>
          <w:szCs w:val="21"/>
          <w:lang w:eastAsia="en-US"/>
        </w:rPr>
        <w:t>投标文件、签订</w:t>
      </w:r>
      <w:r>
        <w:rPr>
          <w:rFonts w:ascii="宋体" w:hAnsi="宋体" w:eastAsia="宋体" w:cs="宋体"/>
          <w:snapToGrid w:val="0"/>
          <w:color w:val="000000"/>
          <w:spacing w:val="-2"/>
          <w:kern w:val="0"/>
          <w:sz w:val="21"/>
          <w:szCs w:val="21"/>
          <w:lang w:eastAsia="en-US"/>
        </w:rPr>
        <w:t>合同和询问、质疑、投诉等有关事宜，其法律后果由我方承担。</w:t>
      </w:r>
    </w:p>
    <w:p>
      <w:pPr>
        <w:widowControl/>
        <w:kinsoku w:val="0"/>
        <w:autoSpaceDE w:val="0"/>
        <w:autoSpaceDN w:val="0"/>
        <w:adjustRightInd w:val="0"/>
        <w:snapToGrid w:val="0"/>
        <w:spacing w:before="186" w:line="220" w:lineRule="auto"/>
        <w:ind w:left="480"/>
        <w:jc w:val="left"/>
        <w:textAlignment w:val="baseline"/>
        <w:rPr>
          <w:rFonts w:ascii="宋体" w:hAnsi="宋体" w:eastAsia="宋体" w:cs="宋体"/>
          <w:snapToGrid w:val="0"/>
          <w:color w:val="000000"/>
          <w:kern w:val="0"/>
          <w:sz w:val="21"/>
          <w:szCs w:val="21"/>
          <w:lang w:eastAsia="en-US"/>
        </w:rPr>
      </w:pPr>
      <w:r>
        <w:rPr>
          <w:rFonts w:ascii="宋体" w:hAnsi="宋体" w:eastAsia="宋体" w:cs="宋体"/>
          <w:snapToGrid w:val="0"/>
          <w:color w:val="000000"/>
          <w:spacing w:val="-21"/>
          <w:kern w:val="0"/>
          <w:sz w:val="21"/>
          <w:szCs w:val="21"/>
          <w:lang w:eastAsia="en-US"/>
        </w:rPr>
        <w:t>委托期限：</w:t>
      </w:r>
      <w:r>
        <w:rPr>
          <w:rFonts w:ascii="宋体" w:hAnsi="宋体" w:eastAsia="宋体" w:cs="宋体"/>
          <w:snapToGrid w:val="0"/>
          <w:color w:val="000000"/>
          <w:spacing w:val="18"/>
          <w:kern w:val="0"/>
          <w:sz w:val="21"/>
          <w:szCs w:val="21"/>
          <w:lang w:eastAsia="en-US"/>
        </w:rPr>
        <w:t xml:space="preserve"> </w:t>
      </w:r>
      <w:r>
        <w:rPr>
          <w:rFonts w:ascii="宋体" w:hAnsi="宋体" w:eastAsia="宋体" w:cs="宋体"/>
          <w:snapToGrid w:val="0"/>
          <w:color w:val="000000"/>
          <w:kern w:val="0"/>
          <w:sz w:val="21"/>
          <w:szCs w:val="21"/>
          <w:u w:val="single" w:color="auto"/>
          <w:lang w:eastAsia="en-US"/>
        </w:rPr>
        <w:t xml:space="preserve">                                     </w:t>
      </w:r>
      <w:r>
        <w:rPr>
          <w:rFonts w:ascii="宋体" w:hAnsi="宋体" w:eastAsia="宋体" w:cs="宋体"/>
          <w:snapToGrid w:val="0"/>
          <w:color w:val="000000"/>
          <w:spacing w:val="-21"/>
          <w:kern w:val="0"/>
          <w:sz w:val="21"/>
          <w:szCs w:val="21"/>
          <w:lang w:eastAsia="en-US"/>
        </w:rPr>
        <w:t xml:space="preserve"> 。</w:t>
      </w:r>
    </w:p>
    <w:p>
      <w:pPr>
        <w:widowControl/>
        <w:kinsoku w:val="0"/>
        <w:autoSpaceDE w:val="0"/>
        <w:autoSpaceDN w:val="0"/>
        <w:adjustRightInd w:val="0"/>
        <w:snapToGrid w:val="0"/>
        <w:spacing w:before="178" w:line="220" w:lineRule="auto"/>
        <w:ind w:left="436"/>
        <w:jc w:val="left"/>
        <w:textAlignment w:val="baseline"/>
        <w:rPr>
          <w:rFonts w:ascii="宋体" w:hAnsi="宋体" w:eastAsia="宋体" w:cs="宋体"/>
          <w:snapToGrid w:val="0"/>
          <w:color w:val="000000"/>
          <w:kern w:val="0"/>
          <w:sz w:val="21"/>
          <w:szCs w:val="21"/>
          <w:lang w:eastAsia="en-US"/>
        </w:rPr>
      </w:pPr>
      <w:r>
        <w:rPr>
          <w:rFonts w:ascii="宋体" w:hAnsi="宋体" w:eastAsia="宋体" w:cs="宋体"/>
          <w:snapToGrid w:val="0"/>
          <w:color w:val="000000"/>
          <w:spacing w:val="-5"/>
          <w:kern w:val="0"/>
          <w:sz w:val="21"/>
          <w:szCs w:val="21"/>
          <w:lang w:eastAsia="en-US"/>
        </w:rPr>
        <w:t>代理人无转委托权。</w:t>
      </w:r>
    </w:p>
    <w:p>
      <w:pPr>
        <w:widowControl/>
        <w:kinsoku w:val="0"/>
        <w:autoSpaceDE w:val="0"/>
        <w:autoSpaceDN w:val="0"/>
        <w:adjustRightInd w:val="0"/>
        <w:snapToGrid w:val="0"/>
        <w:spacing w:before="180" w:line="219" w:lineRule="auto"/>
        <w:ind w:left="438"/>
        <w:jc w:val="left"/>
        <w:textAlignment w:val="baseline"/>
        <w:rPr>
          <w:rFonts w:ascii="宋体" w:hAnsi="宋体" w:eastAsia="宋体" w:cs="宋体"/>
          <w:snapToGrid w:val="0"/>
          <w:color w:val="000000"/>
          <w:kern w:val="0"/>
          <w:sz w:val="21"/>
          <w:szCs w:val="21"/>
          <w:lang w:eastAsia="en-US"/>
        </w:rPr>
      </w:pPr>
      <w:r>
        <w:rPr>
          <w:rFonts w:ascii="宋体" w:hAnsi="宋体" w:eastAsia="宋体" w:cs="宋体"/>
          <w:snapToGrid w:val="0"/>
          <w:color w:val="000000"/>
          <w:spacing w:val="-4"/>
          <w:kern w:val="0"/>
          <w:sz w:val="21"/>
          <w:szCs w:val="21"/>
          <w:lang w:eastAsia="en-US"/>
        </w:rPr>
        <w:t>本授权书于</w:t>
      </w:r>
      <w:r>
        <w:rPr>
          <w:rFonts w:ascii="宋体" w:hAnsi="宋体" w:eastAsia="宋体" w:cs="宋体"/>
          <w:snapToGrid w:val="0"/>
          <w:color w:val="000000"/>
          <w:spacing w:val="-4"/>
          <w:kern w:val="0"/>
          <w:sz w:val="21"/>
          <w:szCs w:val="21"/>
          <w:u w:val="single" w:color="auto"/>
          <w:lang w:eastAsia="en-US"/>
        </w:rPr>
        <w:t xml:space="preserve">      </w:t>
      </w:r>
      <w:r>
        <w:rPr>
          <w:rFonts w:ascii="宋体" w:hAnsi="宋体" w:eastAsia="宋体" w:cs="宋体"/>
          <w:snapToGrid w:val="0"/>
          <w:color w:val="000000"/>
          <w:spacing w:val="-110"/>
          <w:kern w:val="0"/>
          <w:sz w:val="21"/>
          <w:szCs w:val="21"/>
          <w:lang w:eastAsia="en-US"/>
        </w:rPr>
        <w:t xml:space="preserve"> </w:t>
      </w:r>
      <w:r>
        <w:rPr>
          <w:rFonts w:ascii="宋体" w:hAnsi="宋体" w:eastAsia="宋体" w:cs="宋体"/>
          <w:snapToGrid w:val="0"/>
          <w:color w:val="000000"/>
          <w:spacing w:val="-4"/>
          <w:kern w:val="0"/>
          <w:sz w:val="21"/>
          <w:szCs w:val="21"/>
          <w:lang w:eastAsia="en-US"/>
        </w:rPr>
        <w:t>年</w:t>
      </w:r>
      <w:r>
        <w:rPr>
          <w:rFonts w:ascii="宋体" w:hAnsi="宋体" w:eastAsia="宋体" w:cs="宋体"/>
          <w:snapToGrid w:val="0"/>
          <w:color w:val="000000"/>
          <w:spacing w:val="-119"/>
          <w:kern w:val="0"/>
          <w:sz w:val="21"/>
          <w:szCs w:val="21"/>
          <w:lang w:eastAsia="en-US"/>
        </w:rPr>
        <w:t xml:space="preserve"> </w:t>
      </w:r>
      <w:r>
        <w:rPr>
          <w:rFonts w:ascii="宋体" w:hAnsi="宋体" w:eastAsia="宋体" w:cs="宋体"/>
          <w:snapToGrid w:val="0"/>
          <w:color w:val="000000"/>
          <w:kern w:val="0"/>
          <w:sz w:val="21"/>
          <w:szCs w:val="21"/>
          <w:u w:val="single" w:color="auto"/>
          <w:lang w:eastAsia="en-US"/>
        </w:rPr>
        <w:t xml:space="preserve">    </w:t>
      </w:r>
      <w:r>
        <w:rPr>
          <w:rFonts w:ascii="宋体" w:hAnsi="宋体" w:eastAsia="宋体" w:cs="宋体"/>
          <w:snapToGrid w:val="0"/>
          <w:color w:val="000000"/>
          <w:spacing w:val="-105"/>
          <w:kern w:val="0"/>
          <w:sz w:val="21"/>
          <w:szCs w:val="21"/>
          <w:lang w:eastAsia="en-US"/>
        </w:rPr>
        <w:t xml:space="preserve"> </w:t>
      </w:r>
      <w:r>
        <w:rPr>
          <w:rFonts w:ascii="宋体" w:hAnsi="宋体" w:eastAsia="宋体" w:cs="宋体"/>
          <w:snapToGrid w:val="0"/>
          <w:color w:val="000000"/>
          <w:spacing w:val="-4"/>
          <w:kern w:val="0"/>
          <w:sz w:val="21"/>
          <w:szCs w:val="21"/>
          <w:lang w:eastAsia="en-US"/>
        </w:rPr>
        <w:t>月</w:t>
      </w:r>
      <w:r>
        <w:rPr>
          <w:rFonts w:ascii="宋体" w:hAnsi="宋体" w:eastAsia="宋体" w:cs="宋体"/>
          <w:snapToGrid w:val="0"/>
          <w:color w:val="000000"/>
          <w:spacing w:val="-4"/>
          <w:kern w:val="0"/>
          <w:sz w:val="21"/>
          <w:szCs w:val="21"/>
          <w:u w:val="single" w:color="auto"/>
          <w:lang w:eastAsia="en-US"/>
        </w:rPr>
        <w:t xml:space="preserve">    </w:t>
      </w:r>
      <w:r>
        <w:rPr>
          <w:rFonts w:ascii="宋体" w:hAnsi="宋体" w:eastAsia="宋体" w:cs="宋体"/>
          <w:snapToGrid w:val="0"/>
          <w:color w:val="000000"/>
          <w:spacing w:val="-69"/>
          <w:kern w:val="0"/>
          <w:sz w:val="21"/>
          <w:szCs w:val="21"/>
          <w:lang w:eastAsia="en-US"/>
        </w:rPr>
        <w:t xml:space="preserve"> </w:t>
      </w:r>
      <w:r>
        <w:rPr>
          <w:rFonts w:ascii="宋体" w:hAnsi="宋体" w:eastAsia="宋体" w:cs="宋体"/>
          <w:snapToGrid w:val="0"/>
          <w:color w:val="000000"/>
          <w:spacing w:val="-4"/>
          <w:kern w:val="0"/>
          <w:sz w:val="21"/>
          <w:szCs w:val="21"/>
          <w:lang w:eastAsia="en-US"/>
        </w:rPr>
        <w:t>日签字生效，特此声</w:t>
      </w:r>
      <w:r>
        <w:rPr>
          <w:rFonts w:ascii="宋体" w:hAnsi="宋体" w:eastAsia="宋体" w:cs="宋体"/>
          <w:snapToGrid w:val="0"/>
          <w:color w:val="000000"/>
          <w:spacing w:val="-5"/>
          <w:kern w:val="0"/>
          <w:sz w:val="21"/>
          <w:szCs w:val="21"/>
          <w:lang w:eastAsia="en-US"/>
        </w:rPr>
        <w:t>明。</w:t>
      </w:r>
    </w:p>
    <w:p>
      <w:pPr>
        <w:widowControl/>
        <w:kinsoku w:val="0"/>
        <w:autoSpaceDE w:val="0"/>
        <w:autoSpaceDN w:val="0"/>
        <w:adjustRightInd w:val="0"/>
        <w:snapToGrid w:val="0"/>
        <w:spacing w:before="68" w:line="240"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before="68" w:line="240" w:lineRule="auto"/>
        <w:jc w:val="left"/>
        <w:textAlignment w:val="baseline"/>
        <w:rPr>
          <w:rFonts w:ascii="Arial" w:hAnsi="Arial" w:eastAsia="Arial" w:cs="Arial"/>
          <w:snapToGrid w:val="0"/>
          <w:color w:val="000000"/>
          <w:kern w:val="0"/>
          <w:sz w:val="21"/>
          <w:szCs w:val="21"/>
          <w:lang w:eastAsia="en-US"/>
        </w:rPr>
      </w:pPr>
    </w:p>
    <w:tbl>
      <w:tblPr>
        <w:tblStyle w:val="307"/>
        <w:tblW w:w="8282" w:type="dxa"/>
        <w:tblInd w:w="133"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282"/>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534" w:hRule="atLeast"/>
        </w:trPr>
        <w:tc>
          <w:tcPr>
            <w:tcW w:w="8282" w:type="dxa"/>
            <w:noWrap w:val="0"/>
            <w:vAlign w:val="top"/>
          </w:tcPr>
          <w:p>
            <w:pPr>
              <w:widowControl/>
              <w:kinsoku w:val="0"/>
              <w:autoSpaceDE w:val="0"/>
              <w:autoSpaceDN w:val="0"/>
              <w:adjustRightInd w:val="0"/>
              <w:snapToGrid w:val="0"/>
              <w:spacing w:line="245"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5"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5" w:lineRule="auto"/>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line="245" w:lineRule="auto"/>
              <w:jc w:val="left"/>
              <w:textAlignment w:val="baseline"/>
              <w:rPr>
                <w:rFonts w:ascii="Arial" w:hAnsi="Arial" w:eastAsia="Arial" w:cs="Arial"/>
                <w:snapToGrid w:val="0"/>
                <w:color w:val="000000"/>
                <w:kern w:val="0"/>
                <w:sz w:val="21"/>
                <w:szCs w:val="21"/>
                <w:lang w:eastAsia="en-US"/>
              </w:rPr>
            </w:pPr>
          </w:p>
          <w:p>
            <w:pPr>
              <w:pStyle w:val="308"/>
              <w:widowControl/>
              <w:spacing w:before="78" w:line="220" w:lineRule="auto"/>
              <w:ind w:left="2826"/>
              <w:rPr>
                <w:sz w:val="21"/>
                <w:szCs w:val="21"/>
              </w:rPr>
            </w:pPr>
            <w:r>
              <w:rPr>
                <w:spacing w:val="-1"/>
                <w:sz w:val="21"/>
                <w:szCs w:val="21"/>
              </w:rPr>
              <w:t>委托代理人身份证复印件</w:t>
            </w:r>
          </w:p>
        </w:tc>
      </w:tr>
    </w:tbl>
    <w:p>
      <w:pPr>
        <w:widowControl/>
        <w:kinsoku w:val="0"/>
        <w:autoSpaceDE w:val="0"/>
        <w:autoSpaceDN w:val="0"/>
        <w:adjustRightInd w:val="0"/>
        <w:snapToGrid w:val="0"/>
        <w:spacing w:before="33" w:line="219" w:lineRule="auto"/>
        <w:ind w:left="499"/>
        <w:jc w:val="left"/>
        <w:textAlignment w:val="baseline"/>
        <w:rPr>
          <w:rFonts w:ascii="宋体" w:hAnsi="宋体" w:eastAsia="宋体" w:cs="宋体"/>
          <w:snapToGrid w:val="0"/>
          <w:color w:val="000000"/>
          <w:kern w:val="0"/>
          <w:sz w:val="21"/>
          <w:szCs w:val="21"/>
          <w:lang w:eastAsia="en-US"/>
        </w:rPr>
      </w:pPr>
      <w:r>
        <w:rPr>
          <w:rFonts w:ascii="宋体" w:hAnsi="宋体" w:eastAsia="宋体" w:cs="宋体"/>
          <w:snapToGrid w:val="0"/>
          <w:color w:val="000000"/>
          <w:spacing w:val="-1"/>
          <w:kern w:val="0"/>
          <w:sz w:val="21"/>
          <w:szCs w:val="21"/>
          <w:lang w:eastAsia="en-US"/>
        </w:rPr>
        <w:t>附：法定代表人身份证明及委托代理人在投标单位近三个月内任意一个月的社保证明</w:t>
      </w:r>
    </w:p>
    <w:p>
      <w:pPr>
        <w:kinsoku w:val="0"/>
        <w:autoSpaceDE w:val="0"/>
        <w:autoSpaceDN w:val="0"/>
        <w:adjustRightInd w:val="0"/>
        <w:snapToGrid w:val="0"/>
        <w:spacing w:line="258"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adjustRightInd w:val="0"/>
        <w:snapToGrid w:val="0"/>
        <w:spacing w:line="258"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adjustRightInd w:val="0"/>
        <w:snapToGrid w:val="0"/>
        <w:spacing w:line="258" w:lineRule="auto"/>
        <w:jc w:val="left"/>
        <w:textAlignment w:val="baseline"/>
        <w:rPr>
          <w:rFonts w:ascii="Arial" w:hAnsi="Arial" w:eastAsia="Arial" w:cs="Arial"/>
          <w:snapToGrid w:val="0"/>
          <w:color w:val="000000"/>
          <w:kern w:val="0"/>
          <w:sz w:val="21"/>
          <w:szCs w:val="21"/>
          <w:lang w:val="en-US" w:eastAsia="en-US" w:bidi="ar-SA"/>
        </w:rPr>
      </w:pPr>
    </w:p>
    <w:p>
      <w:pPr>
        <w:kinsoku w:val="0"/>
        <w:autoSpaceDE w:val="0"/>
        <w:autoSpaceDN w:val="0"/>
        <w:adjustRightInd w:val="0"/>
        <w:snapToGrid w:val="0"/>
        <w:spacing w:line="258" w:lineRule="auto"/>
        <w:jc w:val="left"/>
        <w:textAlignment w:val="baseline"/>
        <w:rPr>
          <w:rFonts w:ascii="Arial" w:hAnsi="Arial" w:eastAsia="Arial" w:cs="Arial"/>
          <w:snapToGrid w:val="0"/>
          <w:color w:val="000000"/>
          <w:kern w:val="0"/>
          <w:sz w:val="21"/>
          <w:szCs w:val="21"/>
          <w:lang w:val="en-US" w:eastAsia="en-US" w:bidi="ar-SA"/>
        </w:rPr>
      </w:pPr>
    </w:p>
    <w:p>
      <w:pPr>
        <w:widowControl/>
        <w:kinsoku w:val="0"/>
        <w:autoSpaceDE w:val="0"/>
        <w:autoSpaceDN w:val="0"/>
        <w:adjustRightInd w:val="0"/>
        <w:snapToGrid w:val="0"/>
        <w:spacing w:before="79" w:line="219" w:lineRule="auto"/>
        <w:ind w:left="3"/>
        <w:jc w:val="left"/>
        <w:textAlignment w:val="baseline"/>
        <w:rPr>
          <w:rFonts w:ascii="宋体" w:hAnsi="宋体" w:eastAsia="宋体" w:cs="宋体"/>
          <w:snapToGrid w:val="0"/>
          <w:color w:val="000000"/>
          <w:kern w:val="0"/>
          <w:sz w:val="21"/>
          <w:szCs w:val="21"/>
          <w:lang w:eastAsia="en-US"/>
        </w:rPr>
      </w:pPr>
      <w:r>
        <w:rPr>
          <w:rFonts w:ascii="宋体" w:hAnsi="宋体" w:eastAsia="宋体" w:cs="宋体"/>
          <w:snapToGrid w:val="0"/>
          <w:color w:val="000000"/>
          <w:spacing w:val="-6"/>
          <w:kern w:val="0"/>
          <w:sz w:val="21"/>
          <w:szCs w:val="21"/>
          <w:lang w:eastAsia="en-US"/>
        </w:rPr>
        <w:t>投标人名称（盖单位章</w:t>
      </w:r>
      <w:r>
        <w:rPr>
          <w:rFonts w:ascii="宋体" w:hAnsi="宋体" w:eastAsia="宋体" w:cs="宋体"/>
          <w:snapToGrid w:val="0"/>
          <w:color w:val="000000"/>
          <w:spacing w:val="-2"/>
          <w:kern w:val="0"/>
          <w:sz w:val="21"/>
          <w:szCs w:val="21"/>
          <w:lang w:eastAsia="en-US"/>
        </w:rPr>
        <w:t>）：</w:t>
      </w:r>
    </w:p>
    <w:p>
      <w:pPr>
        <w:widowControl/>
        <w:kinsoku w:val="0"/>
        <w:autoSpaceDE w:val="0"/>
        <w:autoSpaceDN w:val="0"/>
        <w:adjustRightInd w:val="0"/>
        <w:snapToGrid w:val="0"/>
        <w:spacing w:before="181" w:line="466" w:lineRule="exact"/>
        <w:ind w:left="1"/>
        <w:jc w:val="left"/>
        <w:textAlignment w:val="baseline"/>
        <w:rPr>
          <w:rFonts w:ascii="宋体" w:hAnsi="宋体" w:eastAsia="宋体" w:cs="宋体"/>
          <w:snapToGrid w:val="0"/>
          <w:color w:val="000000"/>
          <w:kern w:val="0"/>
          <w:sz w:val="21"/>
          <w:szCs w:val="21"/>
          <w:lang w:eastAsia="en-US"/>
        </w:rPr>
      </w:pPr>
      <w:r>
        <w:rPr>
          <w:rFonts w:ascii="宋体" w:hAnsi="宋体" w:eastAsia="宋体" w:cs="宋体"/>
          <w:snapToGrid w:val="0"/>
          <w:color w:val="000000"/>
          <w:spacing w:val="-1"/>
          <w:kern w:val="0"/>
          <w:position w:val="17"/>
          <w:sz w:val="21"/>
          <w:szCs w:val="21"/>
          <w:lang w:eastAsia="en-US"/>
        </w:rPr>
        <w:t>法定代表人（签字或盖章</w:t>
      </w:r>
      <w:r>
        <w:rPr>
          <w:rFonts w:ascii="宋体" w:hAnsi="宋体" w:eastAsia="宋体" w:cs="宋体"/>
          <w:snapToGrid w:val="0"/>
          <w:color w:val="000000"/>
          <w:spacing w:val="-14"/>
          <w:kern w:val="0"/>
          <w:position w:val="17"/>
          <w:sz w:val="21"/>
          <w:szCs w:val="21"/>
          <w:lang w:eastAsia="en-US"/>
        </w:rPr>
        <w:t>）：</w:t>
      </w:r>
    </w:p>
    <w:p>
      <w:pPr>
        <w:widowControl/>
        <w:kinsoku w:val="0"/>
        <w:autoSpaceDE w:val="0"/>
        <w:autoSpaceDN w:val="0"/>
        <w:adjustRightInd w:val="0"/>
        <w:snapToGrid w:val="0"/>
        <w:spacing w:before="1" w:line="218" w:lineRule="auto"/>
        <w:jc w:val="left"/>
        <w:textAlignment w:val="baseline"/>
        <w:rPr>
          <w:rFonts w:ascii="宋体" w:hAnsi="宋体" w:eastAsia="宋体" w:cs="宋体"/>
          <w:snapToGrid w:val="0"/>
          <w:color w:val="000000"/>
          <w:kern w:val="0"/>
          <w:sz w:val="21"/>
          <w:szCs w:val="21"/>
          <w:lang w:eastAsia="en-US"/>
        </w:rPr>
      </w:pPr>
      <w:r>
        <w:rPr>
          <w:rFonts w:ascii="宋体" w:hAnsi="宋体" w:eastAsia="宋体" w:cs="宋体"/>
          <w:snapToGrid w:val="0"/>
          <w:color w:val="000000"/>
          <w:spacing w:val="-1"/>
          <w:kern w:val="0"/>
          <w:sz w:val="21"/>
          <w:szCs w:val="21"/>
          <w:lang w:eastAsia="en-US"/>
        </w:rPr>
        <w:t>委托代理人（签字或盖章</w:t>
      </w:r>
      <w:r>
        <w:rPr>
          <w:rFonts w:ascii="宋体" w:hAnsi="宋体" w:eastAsia="宋体" w:cs="宋体"/>
          <w:snapToGrid w:val="0"/>
          <w:color w:val="000000"/>
          <w:spacing w:val="-13"/>
          <w:kern w:val="0"/>
          <w:sz w:val="21"/>
          <w:szCs w:val="21"/>
          <w:lang w:eastAsia="en-US"/>
        </w:rPr>
        <w:t>）：</w:t>
      </w:r>
    </w:p>
    <w:p>
      <w:pPr>
        <w:widowControl/>
        <w:kinsoku w:val="0"/>
        <w:autoSpaceDE w:val="0"/>
        <w:autoSpaceDN w:val="0"/>
        <w:adjustRightInd w:val="0"/>
        <w:snapToGrid w:val="0"/>
        <w:spacing w:before="186" w:line="220" w:lineRule="auto"/>
        <w:ind w:left="42"/>
        <w:jc w:val="left"/>
        <w:textAlignment w:val="baseline"/>
        <w:rPr>
          <w:rFonts w:ascii="宋体" w:hAnsi="宋体" w:eastAsia="宋体" w:cs="宋体"/>
          <w:snapToGrid w:val="0"/>
          <w:color w:val="000000"/>
          <w:kern w:val="0"/>
          <w:sz w:val="21"/>
          <w:szCs w:val="21"/>
          <w:lang w:eastAsia="en-US"/>
        </w:rPr>
      </w:pPr>
      <w:r>
        <w:rPr>
          <w:rFonts w:ascii="宋体" w:hAnsi="宋体" w:eastAsia="宋体" w:cs="宋体"/>
          <w:snapToGrid w:val="0"/>
          <w:color w:val="000000"/>
          <w:spacing w:val="-30"/>
          <w:kern w:val="0"/>
          <w:sz w:val="21"/>
          <w:szCs w:val="21"/>
          <w:lang w:eastAsia="en-US"/>
        </w:rPr>
        <w:t>日期：</w:t>
      </w:r>
      <w:r>
        <w:rPr>
          <w:rFonts w:ascii="宋体" w:hAnsi="宋体" w:eastAsia="宋体" w:cs="宋体"/>
          <w:snapToGrid w:val="0"/>
          <w:color w:val="000000"/>
          <w:spacing w:val="-18"/>
          <w:kern w:val="0"/>
          <w:sz w:val="21"/>
          <w:szCs w:val="21"/>
          <w:lang w:eastAsia="en-US"/>
        </w:rPr>
        <w:t xml:space="preserve"> </w:t>
      </w:r>
      <w:r>
        <w:rPr>
          <w:rFonts w:ascii="宋体" w:hAnsi="宋体" w:eastAsia="宋体" w:cs="宋体"/>
          <w:snapToGrid w:val="0"/>
          <w:color w:val="000000"/>
          <w:kern w:val="0"/>
          <w:sz w:val="21"/>
          <w:szCs w:val="21"/>
          <w:u w:val="single" w:color="auto"/>
          <w:lang w:eastAsia="en-US"/>
        </w:rPr>
        <w:t xml:space="preserve">         </w:t>
      </w:r>
      <w:r>
        <w:rPr>
          <w:rFonts w:ascii="宋体" w:hAnsi="宋体" w:eastAsia="宋体" w:cs="宋体"/>
          <w:snapToGrid w:val="0"/>
          <w:color w:val="000000"/>
          <w:spacing w:val="-109"/>
          <w:kern w:val="0"/>
          <w:sz w:val="21"/>
          <w:szCs w:val="21"/>
          <w:lang w:eastAsia="en-US"/>
        </w:rPr>
        <w:t xml:space="preserve"> </w:t>
      </w:r>
      <w:r>
        <w:rPr>
          <w:rFonts w:ascii="宋体" w:hAnsi="宋体" w:eastAsia="宋体" w:cs="宋体"/>
          <w:snapToGrid w:val="0"/>
          <w:color w:val="000000"/>
          <w:spacing w:val="-30"/>
          <w:kern w:val="0"/>
          <w:sz w:val="21"/>
          <w:szCs w:val="21"/>
          <w:lang w:eastAsia="en-US"/>
        </w:rPr>
        <w:t>年</w:t>
      </w:r>
      <w:r>
        <w:rPr>
          <w:rFonts w:ascii="宋体" w:hAnsi="宋体" w:eastAsia="宋体" w:cs="宋体"/>
          <w:snapToGrid w:val="0"/>
          <w:color w:val="000000"/>
          <w:kern w:val="0"/>
          <w:sz w:val="21"/>
          <w:szCs w:val="21"/>
          <w:u w:val="single" w:color="auto"/>
          <w:lang w:eastAsia="en-US"/>
        </w:rPr>
        <w:t xml:space="preserve">    </w:t>
      </w:r>
      <w:r>
        <w:rPr>
          <w:rFonts w:ascii="宋体" w:hAnsi="宋体" w:eastAsia="宋体" w:cs="宋体"/>
          <w:snapToGrid w:val="0"/>
          <w:color w:val="000000"/>
          <w:spacing w:val="-104"/>
          <w:kern w:val="0"/>
          <w:sz w:val="21"/>
          <w:szCs w:val="21"/>
          <w:lang w:eastAsia="en-US"/>
        </w:rPr>
        <w:t xml:space="preserve"> </w:t>
      </w:r>
      <w:r>
        <w:rPr>
          <w:rFonts w:ascii="宋体" w:hAnsi="宋体" w:eastAsia="宋体" w:cs="宋体"/>
          <w:snapToGrid w:val="0"/>
          <w:color w:val="000000"/>
          <w:spacing w:val="-30"/>
          <w:kern w:val="0"/>
          <w:sz w:val="21"/>
          <w:szCs w:val="21"/>
          <w:lang w:eastAsia="en-US"/>
        </w:rPr>
        <w:t>月</w:t>
      </w:r>
      <w:r>
        <w:rPr>
          <w:rFonts w:ascii="宋体" w:hAnsi="宋体" w:eastAsia="宋体" w:cs="宋体"/>
          <w:snapToGrid w:val="0"/>
          <w:color w:val="000000"/>
          <w:kern w:val="0"/>
          <w:sz w:val="21"/>
          <w:szCs w:val="21"/>
          <w:u w:val="single" w:color="auto"/>
          <w:lang w:eastAsia="en-US"/>
        </w:rPr>
        <w:t xml:space="preserve">   </w:t>
      </w:r>
      <w:r>
        <w:rPr>
          <w:rFonts w:ascii="宋体" w:hAnsi="宋体" w:eastAsia="宋体" w:cs="宋体"/>
          <w:snapToGrid w:val="0"/>
          <w:color w:val="000000"/>
          <w:spacing w:val="-70"/>
          <w:kern w:val="0"/>
          <w:sz w:val="21"/>
          <w:szCs w:val="21"/>
          <w:lang w:eastAsia="en-US"/>
        </w:rPr>
        <w:t xml:space="preserve"> </w:t>
      </w:r>
      <w:r>
        <w:rPr>
          <w:rFonts w:ascii="宋体" w:hAnsi="宋体" w:eastAsia="宋体" w:cs="宋体"/>
          <w:snapToGrid w:val="0"/>
          <w:color w:val="000000"/>
          <w:spacing w:val="-30"/>
          <w:kern w:val="0"/>
          <w:sz w:val="21"/>
          <w:szCs w:val="21"/>
          <w:lang w:eastAsia="en-US"/>
        </w:rPr>
        <w:t>日</w:t>
      </w:r>
    </w:p>
    <w:p>
      <w:pPr>
        <w:spacing w:line="220" w:lineRule="auto"/>
        <w:rPr>
          <w:rFonts w:ascii="宋体" w:hAnsi="宋体" w:eastAsia="宋体" w:cs="宋体"/>
          <w:sz w:val="21"/>
          <w:szCs w:val="21"/>
        </w:rPr>
      </w:pPr>
    </w:p>
    <w:p>
      <w:pPr>
        <w:spacing w:line="220" w:lineRule="auto"/>
        <w:rPr>
          <w:rFonts w:ascii="宋体" w:hAnsi="宋体" w:eastAsia="宋体" w:cs="宋体"/>
          <w:sz w:val="21"/>
          <w:szCs w:val="21"/>
        </w:rPr>
      </w:pPr>
    </w:p>
    <w:p>
      <w:pPr>
        <w:spacing w:line="220" w:lineRule="auto"/>
        <w:rPr>
          <w:rFonts w:ascii="宋体" w:hAnsi="宋体" w:eastAsia="宋体" w:cs="宋体"/>
          <w:sz w:val="21"/>
          <w:szCs w:val="21"/>
        </w:rPr>
      </w:pPr>
    </w:p>
    <w:p>
      <w:pPr>
        <w:spacing w:line="220" w:lineRule="auto"/>
        <w:rPr>
          <w:rFonts w:ascii="宋体" w:hAnsi="宋体" w:eastAsia="宋体" w:cs="宋体"/>
          <w:sz w:val="21"/>
          <w:szCs w:val="21"/>
        </w:rPr>
      </w:pPr>
    </w:p>
    <w:p>
      <w:pPr>
        <w:spacing w:line="220" w:lineRule="auto"/>
        <w:rPr>
          <w:rFonts w:ascii="宋体" w:hAnsi="宋体" w:eastAsia="宋体" w:cs="宋体"/>
          <w:sz w:val="21"/>
          <w:szCs w:val="21"/>
        </w:rPr>
      </w:pPr>
    </w:p>
    <w:p>
      <w:pPr>
        <w:spacing w:line="220" w:lineRule="auto"/>
        <w:rPr>
          <w:rFonts w:ascii="宋体" w:hAnsi="宋体" w:eastAsia="宋体" w:cs="宋体"/>
          <w:sz w:val="21"/>
          <w:szCs w:val="21"/>
        </w:rPr>
      </w:pPr>
    </w:p>
    <w:p>
      <w:pPr>
        <w:spacing w:line="220" w:lineRule="auto"/>
        <w:rPr>
          <w:rFonts w:ascii="宋体" w:hAnsi="宋体" w:eastAsia="宋体" w:cs="宋体"/>
          <w:sz w:val="21"/>
          <w:szCs w:val="21"/>
        </w:rPr>
      </w:pPr>
    </w:p>
    <w:p>
      <w:pPr>
        <w:spacing w:line="220" w:lineRule="auto"/>
        <w:rPr>
          <w:rFonts w:ascii="宋体" w:hAnsi="宋体" w:eastAsia="宋体" w:cs="宋体"/>
          <w:sz w:val="21"/>
          <w:szCs w:val="21"/>
        </w:rPr>
      </w:pPr>
    </w:p>
    <w:p>
      <w:pPr>
        <w:spacing w:line="220" w:lineRule="auto"/>
        <w:rPr>
          <w:rFonts w:ascii="宋体" w:hAnsi="宋体" w:eastAsia="宋体" w:cs="宋体"/>
          <w:sz w:val="21"/>
          <w:szCs w:val="21"/>
        </w:rPr>
      </w:pPr>
    </w:p>
    <w:p>
      <w:pPr>
        <w:spacing w:line="220" w:lineRule="auto"/>
        <w:rPr>
          <w:rFonts w:ascii="宋体" w:hAnsi="宋体" w:eastAsia="宋体" w:cs="宋体"/>
          <w:sz w:val="21"/>
          <w:szCs w:val="21"/>
        </w:rPr>
      </w:pPr>
    </w:p>
    <w:p>
      <w:pPr>
        <w:spacing w:line="220" w:lineRule="auto"/>
        <w:rPr>
          <w:rFonts w:ascii="宋体" w:hAnsi="宋体" w:eastAsia="宋体" w:cs="宋体"/>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0"/>
        <w:jc w:val="center"/>
        <w:textAlignment w:val="baseline"/>
        <w:rPr>
          <w:rFonts w:ascii="Arial" w:hAnsi="Arial" w:eastAsia="Arial" w:cs="Arial"/>
          <w:snapToGrid w:val="0"/>
          <w:color w:val="000000"/>
          <w:kern w:val="0"/>
          <w:sz w:val="21"/>
          <w:szCs w:val="21"/>
          <w:lang w:val="en-US" w:eastAsia="en-US" w:bidi="ar-SA"/>
        </w:rPr>
      </w:pPr>
      <w:r>
        <w:rPr>
          <w:rFonts w:ascii="宋体" w:hAnsi="宋体" w:eastAsia="宋体" w:cs="宋体"/>
          <w:snapToGrid w:val="0"/>
          <w:color w:val="000000"/>
          <w:spacing w:val="-1"/>
          <w:kern w:val="0"/>
          <w:sz w:val="21"/>
          <w:szCs w:val="21"/>
          <w:lang w:eastAsia="en-US"/>
        </w:rPr>
        <w:t>（</w:t>
      </w:r>
      <w:r>
        <w:rPr>
          <w:rFonts w:hint="eastAsia" w:ascii="宋体" w:hAnsi="宋体" w:eastAsia="宋体" w:cs="宋体"/>
          <w:snapToGrid w:val="0"/>
          <w:color w:val="000000"/>
          <w:spacing w:val="-1"/>
          <w:kern w:val="0"/>
          <w:sz w:val="21"/>
          <w:szCs w:val="21"/>
          <w:lang w:val="en-US" w:eastAsia="en-US"/>
        </w:rPr>
        <w:t>格式</w:t>
      </w:r>
      <w:r>
        <w:rPr>
          <w:rFonts w:hint="eastAsia" w:ascii="宋体" w:hAnsi="宋体" w:eastAsia="宋体" w:cs="宋体"/>
          <w:snapToGrid w:val="0"/>
          <w:color w:val="000000"/>
          <w:spacing w:val="-1"/>
          <w:kern w:val="0"/>
          <w:sz w:val="21"/>
          <w:szCs w:val="21"/>
          <w:lang w:val="en-US" w:eastAsia="zh-CN"/>
        </w:rPr>
        <w:t>2</w:t>
      </w:r>
      <w:r>
        <w:rPr>
          <w:rFonts w:hint="eastAsia" w:ascii="宋体" w:hAnsi="宋体" w:eastAsia="宋体" w:cs="宋体"/>
          <w:snapToGrid w:val="0"/>
          <w:color w:val="000000"/>
          <w:spacing w:val="-1"/>
          <w:kern w:val="0"/>
          <w:sz w:val="21"/>
          <w:szCs w:val="21"/>
          <w:lang w:val="en-US" w:eastAsia="en-US"/>
        </w:rPr>
        <w:t>：联合体</w:t>
      </w:r>
      <w:r>
        <w:rPr>
          <w:rFonts w:hint="eastAsia" w:ascii="宋体" w:hAnsi="宋体" w:eastAsia="宋体" w:cs="宋体"/>
          <w:snapToGrid w:val="0"/>
          <w:color w:val="000000"/>
          <w:spacing w:val="-1"/>
          <w:kern w:val="0"/>
          <w:sz w:val="21"/>
          <w:szCs w:val="21"/>
          <w:lang w:val="en-US" w:eastAsia="zh-CN"/>
        </w:rPr>
        <w:t>投标</w:t>
      </w:r>
      <w:r>
        <w:rPr>
          <w:rFonts w:hint="eastAsia" w:ascii="宋体" w:hAnsi="宋体" w:eastAsia="宋体" w:cs="宋体"/>
          <w:snapToGrid w:val="0"/>
          <w:color w:val="000000"/>
          <w:spacing w:val="-1"/>
          <w:kern w:val="0"/>
          <w:sz w:val="21"/>
          <w:szCs w:val="21"/>
          <w:lang w:val="en-US" w:eastAsia="en-US"/>
        </w:rPr>
        <w:t>时适用</w:t>
      </w:r>
      <w:r>
        <w:rPr>
          <w:rFonts w:hint="eastAsia" w:ascii="宋体" w:hAnsi="宋体" w:eastAsia="宋体" w:cs="宋体"/>
          <w:snapToGrid w:val="0"/>
          <w:color w:val="000000"/>
          <w:spacing w:val="-1"/>
          <w:kern w:val="0"/>
          <w:sz w:val="21"/>
          <w:szCs w:val="21"/>
          <w:lang w:val="en-US" w:eastAsia="zh-CN"/>
        </w:rPr>
        <w:t>，</w:t>
      </w:r>
      <w:r>
        <w:rPr>
          <w:rFonts w:ascii="宋体" w:hAnsi="宋体" w:eastAsia="宋体" w:cs="宋体"/>
          <w:snapToGrid w:val="0"/>
          <w:color w:val="000000"/>
          <w:spacing w:val="-1"/>
          <w:kern w:val="0"/>
          <w:sz w:val="21"/>
          <w:szCs w:val="21"/>
          <w:lang w:eastAsia="en-US"/>
        </w:rPr>
        <w:t>委托代理人作为签字代表的提供并附法定代表人身份证</w:t>
      </w:r>
      <w:r>
        <w:rPr>
          <w:rFonts w:ascii="宋体" w:hAnsi="宋体" w:eastAsia="宋体" w:cs="宋体"/>
          <w:snapToGrid w:val="0"/>
          <w:color w:val="000000"/>
          <w:spacing w:val="-2"/>
          <w:kern w:val="0"/>
          <w:sz w:val="21"/>
          <w:szCs w:val="21"/>
          <w:lang w:eastAsia="en-US"/>
        </w:rPr>
        <w:t>明）</w:t>
      </w:r>
    </w:p>
    <w:p>
      <w:pPr>
        <w:kinsoku w:val="0"/>
        <w:autoSpaceDE w:val="0"/>
        <w:autoSpaceDN w:val="0"/>
        <w:adjustRightInd w:val="0"/>
        <w:snapToGrid w:val="0"/>
        <w:spacing w:line="286" w:lineRule="auto"/>
        <w:jc w:val="left"/>
        <w:textAlignment w:val="baseline"/>
        <w:rPr>
          <w:rFonts w:ascii="Arial" w:hAnsi="Arial" w:eastAsia="Arial" w:cs="Arial"/>
          <w:snapToGrid w:val="0"/>
          <w:color w:val="000000"/>
          <w:kern w:val="0"/>
          <w:sz w:val="21"/>
          <w:szCs w:val="21"/>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500" w:lineRule="exact"/>
        <w:ind w:left="0" w:leftChars="0" w:firstLine="235" w:firstLineChars="128"/>
        <w:jc w:val="left"/>
        <w:textAlignment w:val="baseline"/>
        <w:rPr>
          <w:rFonts w:ascii="宋体" w:hAnsi="宋体" w:eastAsia="宋体" w:cs="宋体"/>
          <w:snapToGrid w:val="0"/>
          <w:color w:val="000000"/>
          <w:spacing w:val="-1"/>
          <w:kern w:val="0"/>
          <w:sz w:val="21"/>
          <w:szCs w:val="21"/>
          <w:lang w:eastAsia="en-US"/>
        </w:rPr>
      </w:pPr>
      <w:r>
        <w:rPr>
          <w:rFonts w:ascii="宋体" w:hAnsi="宋体" w:eastAsia="宋体" w:cs="宋体"/>
          <w:snapToGrid w:val="0"/>
          <w:color w:val="000000"/>
          <w:spacing w:val="-13"/>
          <w:kern w:val="0"/>
          <w:sz w:val="21"/>
          <w:szCs w:val="21"/>
          <w:lang w:eastAsia="en-US"/>
        </w:rPr>
        <w:t xml:space="preserve">本人 </w:t>
      </w:r>
      <w:r>
        <w:rPr>
          <w:rFonts w:ascii="宋体" w:hAnsi="宋体" w:eastAsia="宋体" w:cs="宋体"/>
          <w:snapToGrid w:val="0"/>
          <w:color w:val="000000"/>
          <w:spacing w:val="-13"/>
          <w:kern w:val="0"/>
          <w:sz w:val="21"/>
          <w:szCs w:val="21"/>
          <w:u w:val="single"/>
          <w:lang w:eastAsia="en-US"/>
        </w:rPr>
        <w:t xml:space="preserve">       </w:t>
      </w:r>
      <w:r>
        <w:rPr>
          <w:rFonts w:ascii="宋体" w:hAnsi="宋体" w:eastAsia="宋体" w:cs="宋体"/>
          <w:snapToGrid w:val="0"/>
          <w:color w:val="000000"/>
          <w:spacing w:val="-13"/>
          <w:kern w:val="0"/>
          <w:sz w:val="21"/>
          <w:szCs w:val="21"/>
          <w:lang w:eastAsia="en-US"/>
        </w:rPr>
        <w:t xml:space="preserve">（姓名）（联合体投标的， 指联合体牵头方）系 </w:t>
      </w:r>
      <w:r>
        <w:rPr>
          <w:rFonts w:ascii="宋体" w:hAnsi="宋体" w:eastAsia="宋体" w:cs="宋体"/>
          <w:snapToGrid w:val="0"/>
          <w:color w:val="000000"/>
          <w:spacing w:val="-13"/>
          <w:kern w:val="0"/>
          <w:sz w:val="21"/>
          <w:szCs w:val="21"/>
          <w:u w:val="single"/>
          <w:lang w:eastAsia="en-US"/>
        </w:rPr>
        <w:t xml:space="preserve">  </w:t>
      </w:r>
      <w:r>
        <w:rPr>
          <w:rFonts w:hint="eastAsia" w:ascii="宋体" w:hAnsi="宋体" w:eastAsia="宋体" w:cs="宋体"/>
          <w:snapToGrid w:val="0"/>
          <w:color w:val="000000"/>
          <w:spacing w:val="-13"/>
          <w:kern w:val="0"/>
          <w:sz w:val="21"/>
          <w:szCs w:val="21"/>
          <w:u w:val="single"/>
          <w:lang w:val="en-US" w:eastAsia="zh-CN"/>
        </w:rPr>
        <w:t xml:space="preserve"> </w:t>
      </w:r>
      <w:r>
        <w:rPr>
          <w:rFonts w:ascii="宋体" w:hAnsi="宋体" w:eastAsia="宋体" w:cs="宋体"/>
          <w:snapToGrid w:val="0"/>
          <w:color w:val="000000"/>
          <w:spacing w:val="-13"/>
          <w:kern w:val="0"/>
          <w:sz w:val="21"/>
          <w:szCs w:val="21"/>
          <w:u w:val="single"/>
          <w:lang w:eastAsia="en-US"/>
        </w:rPr>
        <w:t xml:space="preserve">      </w:t>
      </w:r>
      <w:r>
        <w:rPr>
          <w:rFonts w:ascii="宋体" w:hAnsi="宋体" w:eastAsia="宋体" w:cs="宋体"/>
          <w:snapToGrid w:val="0"/>
          <w:color w:val="000000"/>
          <w:spacing w:val="-13"/>
          <w:kern w:val="0"/>
          <w:sz w:val="21"/>
          <w:szCs w:val="21"/>
          <w:lang w:eastAsia="en-US"/>
        </w:rPr>
        <w:t>（投标人名称）（联合体投标的，指联合体牵头人） 的法定代表人，本人</w:t>
      </w:r>
      <w:r>
        <w:rPr>
          <w:rFonts w:ascii="宋体" w:hAnsi="宋体" w:eastAsia="宋体" w:cs="宋体"/>
          <w:snapToGrid w:val="0"/>
          <w:color w:val="000000"/>
          <w:spacing w:val="-13"/>
          <w:kern w:val="0"/>
          <w:sz w:val="21"/>
          <w:szCs w:val="21"/>
          <w:u w:val="single"/>
          <w:lang w:eastAsia="en-US"/>
        </w:rPr>
        <w:t xml:space="preserve">         </w:t>
      </w:r>
      <w:r>
        <w:rPr>
          <w:rFonts w:ascii="宋体" w:hAnsi="宋体" w:eastAsia="宋体" w:cs="宋体"/>
          <w:snapToGrid w:val="0"/>
          <w:color w:val="000000"/>
          <w:spacing w:val="-13"/>
          <w:kern w:val="0"/>
          <w:sz w:val="21"/>
          <w:szCs w:val="21"/>
          <w:lang w:eastAsia="en-US"/>
        </w:rPr>
        <w:t>（姓名）（联合体投标的， 指联合体参与方）系</w:t>
      </w:r>
      <w:r>
        <w:rPr>
          <w:rFonts w:ascii="宋体" w:hAnsi="宋体" w:eastAsia="宋体" w:cs="宋体"/>
          <w:snapToGrid w:val="0"/>
          <w:color w:val="000000"/>
          <w:spacing w:val="-13"/>
          <w:kern w:val="0"/>
          <w:sz w:val="21"/>
          <w:szCs w:val="21"/>
          <w:u w:val="single"/>
          <w:lang w:eastAsia="en-US"/>
        </w:rPr>
        <w:t xml:space="preserve">         </w:t>
      </w:r>
      <w:r>
        <w:rPr>
          <w:rFonts w:ascii="宋体" w:hAnsi="宋体" w:eastAsia="宋体" w:cs="宋体"/>
          <w:snapToGrid w:val="0"/>
          <w:color w:val="000000"/>
          <w:spacing w:val="-13"/>
          <w:kern w:val="0"/>
          <w:sz w:val="21"/>
          <w:szCs w:val="21"/>
          <w:lang w:eastAsia="en-US"/>
        </w:rPr>
        <w:t xml:space="preserve">（投标人名称）（联合体投标的， 指联合体参与方） 的法定代表人，现共同委托 </w:t>
      </w:r>
      <w:r>
        <w:rPr>
          <w:rFonts w:ascii="宋体" w:hAnsi="宋体" w:eastAsia="宋体" w:cs="宋体"/>
          <w:snapToGrid w:val="0"/>
          <w:color w:val="000000"/>
          <w:spacing w:val="-13"/>
          <w:kern w:val="0"/>
          <w:sz w:val="21"/>
          <w:szCs w:val="21"/>
          <w:u w:val="single"/>
          <w:lang w:eastAsia="en-US"/>
        </w:rPr>
        <w:t xml:space="preserve">                </w:t>
      </w:r>
      <w:r>
        <w:rPr>
          <w:rFonts w:ascii="宋体" w:hAnsi="宋体" w:eastAsia="宋体" w:cs="宋体"/>
          <w:snapToGrid w:val="0"/>
          <w:color w:val="000000"/>
          <w:spacing w:val="-13"/>
          <w:kern w:val="0"/>
          <w:sz w:val="21"/>
          <w:szCs w:val="21"/>
          <w:lang w:eastAsia="en-US"/>
        </w:rPr>
        <w:t xml:space="preserve">（姓名） 为我方代理人。代理人根据授权， 以我方 名义签署、澄清、说明、补正、递交、撤回、修改 </w:t>
      </w:r>
      <w:r>
        <w:rPr>
          <w:rFonts w:ascii="宋体" w:hAnsi="宋体" w:eastAsia="宋体" w:cs="宋体"/>
          <w:snapToGrid w:val="0"/>
          <w:color w:val="000000"/>
          <w:spacing w:val="-13"/>
          <w:kern w:val="0"/>
          <w:sz w:val="21"/>
          <w:szCs w:val="21"/>
          <w:u w:val="single"/>
          <w:lang w:eastAsia="en-US"/>
        </w:rPr>
        <w:t xml:space="preserve">                         </w:t>
      </w:r>
      <w:r>
        <w:rPr>
          <w:rFonts w:ascii="宋体" w:hAnsi="宋体" w:eastAsia="宋体" w:cs="宋体"/>
          <w:snapToGrid w:val="0"/>
          <w:color w:val="000000"/>
          <w:spacing w:val="-13"/>
          <w:kern w:val="0"/>
          <w:sz w:val="21"/>
          <w:szCs w:val="21"/>
          <w:lang w:eastAsia="en-US"/>
        </w:rPr>
        <w:t>（项目名称） 投标文件、签订合同和处理有关事宜，其法律后果由我方承担。</w:t>
      </w:r>
    </w:p>
    <w:p>
      <w:pPr>
        <w:widowControl/>
        <w:kinsoku w:val="0"/>
        <w:autoSpaceDE w:val="0"/>
        <w:autoSpaceDN w:val="0"/>
        <w:adjustRightInd w:val="0"/>
        <w:snapToGrid w:val="0"/>
        <w:spacing w:before="186" w:line="220" w:lineRule="auto"/>
        <w:ind w:left="480"/>
        <w:jc w:val="left"/>
        <w:textAlignment w:val="baseline"/>
        <w:rPr>
          <w:rFonts w:ascii="宋体" w:hAnsi="宋体" w:eastAsia="宋体" w:cs="宋体"/>
          <w:snapToGrid w:val="0"/>
          <w:color w:val="000000"/>
          <w:kern w:val="0"/>
          <w:sz w:val="21"/>
          <w:szCs w:val="21"/>
          <w:lang w:eastAsia="en-US"/>
        </w:rPr>
      </w:pPr>
      <w:r>
        <w:rPr>
          <w:rFonts w:ascii="宋体" w:hAnsi="宋体" w:eastAsia="宋体" w:cs="宋体"/>
          <w:snapToGrid w:val="0"/>
          <w:color w:val="000000"/>
          <w:spacing w:val="-21"/>
          <w:kern w:val="0"/>
          <w:sz w:val="21"/>
          <w:szCs w:val="21"/>
          <w:lang w:eastAsia="en-US"/>
        </w:rPr>
        <w:t>委托期限：</w:t>
      </w:r>
      <w:r>
        <w:rPr>
          <w:rFonts w:ascii="宋体" w:hAnsi="宋体" w:eastAsia="宋体" w:cs="宋体"/>
          <w:snapToGrid w:val="0"/>
          <w:color w:val="000000"/>
          <w:spacing w:val="18"/>
          <w:kern w:val="0"/>
          <w:sz w:val="21"/>
          <w:szCs w:val="21"/>
          <w:lang w:eastAsia="en-US"/>
        </w:rPr>
        <w:t xml:space="preserve"> </w:t>
      </w:r>
      <w:r>
        <w:rPr>
          <w:rFonts w:ascii="宋体" w:hAnsi="宋体" w:eastAsia="宋体" w:cs="宋体"/>
          <w:snapToGrid w:val="0"/>
          <w:color w:val="000000"/>
          <w:kern w:val="0"/>
          <w:sz w:val="21"/>
          <w:szCs w:val="21"/>
          <w:u w:val="single" w:color="auto"/>
          <w:lang w:eastAsia="en-US"/>
        </w:rPr>
        <w:t xml:space="preserve">                                     </w:t>
      </w:r>
      <w:r>
        <w:rPr>
          <w:rFonts w:ascii="宋体" w:hAnsi="宋体" w:eastAsia="宋体" w:cs="宋体"/>
          <w:snapToGrid w:val="0"/>
          <w:color w:val="000000"/>
          <w:spacing w:val="-21"/>
          <w:kern w:val="0"/>
          <w:sz w:val="21"/>
          <w:szCs w:val="21"/>
          <w:lang w:eastAsia="en-US"/>
        </w:rPr>
        <w:t xml:space="preserve"> 。</w:t>
      </w:r>
    </w:p>
    <w:p>
      <w:pPr>
        <w:widowControl/>
        <w:kinsoku w:val="0"/>
        <w:autoSpaceDE w:val="0"/>
        <w:autoSpaceDN w:val="0"/>
        <w:adjustRightInd w:val="0"/>
        <w:snapToGrid w:val="0"/>
        <w:spacing w:before="178" w:line="220" w:lineRule="auto"/>
        <w:ind w:left="436"/>
        <w:jc w:val="left"/>
        <w:textAlignment w:val="baseline"/>
        <w:rPr>
          <w:rFonts w:ascii="宋体" w:hAnsi="宋体" w:eastAsia="宋体" w:cs="宋体"/>
          <w:snapToGrid w:val="0"/>
          <w:color w:val="000000"/>
          <w:spacing w:val="-5"/>
          <w:kern w:val="0"/>
          <w:sz w:val="21"/>
          <w:szCs w:val="21"/>
          <w:lang w:eastAsia="en-US"/>
        </w:rPr>
      </w:pPr>
      <w:r>
        <w:rPr>
          <w:rFonts w:ascii="宋体" w:hAnsi="宋体" w:eastAsia="宋体" w:cs="宋体"/>
          <w:snapToGrid w:val="0"/>
          <w:color w:val="000000"/>
          <w:spacing w:val="-5"/>
          <w:kern w:val="0"/>
          <w:sz w:val="21"/>
          <w:szCs w:val="21"/>
          <w:lang w:eastAsia="en-US"/>
        </w:rPr>
        <w:t>代理人无转委托权。</w:t>
      </w:r>
    </w:p>
    <w:tbl>
      <w:tblPr>
        <w:tblStyle w:val="307"/>
        <w:tblW w:w="916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431"/>
        <w:gridCol w:w="47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6" w:hRule="atLeast"/>
        </w:trPr>
        <w:tc>
          <w:tcPr>
            <w:tcW w:w="4431" w:type="dxa"/>
            <w:noWrap w:val="0"/>
            <w:vAlign w:val="center"/>
          </w:tcPr>
          <w:p>
            <w:pPr>
              <w:keepNext w:val="0"/>
              <w:keepLines w:val="0"/>
              <w:pageBreakBefore w:val="0"/>
              <w:widowControl/>
              <w:kinsoku w:val="0"/>
              <w:wordWrap/>
              <w:overflowPunct/>
              <w:topLinePunct w:val="0"/>
              <w:autoSpaceDE w:val="0"/>
              <w:autoSpaceDN w:val="0"/>
              <w:bidi/>
              <w:adjustRightInd w:val="0"/>
              <w:snapToGrid w:val="0"/>
              <w:spacing w:line="240" w:lineRule="exact"/>
              <w:ind w:left="0"/>
              <w:jc w:val="center"/>
              <w:textAlignment w:val="baseline"/>
              <w:rPr>
                <w:rFonts w:ascii="宋体" w:hAnsi="宋体" w:eastAsia="宋体" w:cs="宋体"/>
                <w:snapToGrid w:val="0"/>
                <w:color w:val="000000"/>
                <w:spacing w:val="-1"/>
                <w:kern w:val="0"/>
                <w:sz w:val="21"/>
                <w:szCs w:val="21"/>
                <w:lang w:val="en-US" w:eastAsia="en-US" w:bidi="ar-SA"/>
              </w:rPr>
            </w:pPr>
          </w:p>
          <w:p>
            <w:pPr>
              <w:pStyle w:val="308"/>
              <w:keepNext w:val="0"/>
              <w:keepLines w:val="0"/>
              <w:pageBreakBefore w:val="0"/>
              <w:widowControl/>
              <w:kinsoku w:val="0"/>
              <w:wordWrap/>
              <w:overflowPunct/>
              <w:topLinePunct w:val="0"/>
              <w:autoSpaceDE w:val="0"/>
              <w:autoSpaceDN w:val="0"/>
              <w:bidi/>
              <w:adjustRightInd w:val="0"/>
              <w:snapToGrid w:val="0"/>
              <w:spacing w:line="240" w:lineRule="exact"/>
              <w:ind w:left="0"/>
              <w:jc w:val="center"/>
              <w:textAlignment w:val="baseline"/>
              <w:rPr>
                <w:rFonts w:ascii="宋体" w:hAnsi="宋体" w:eastAsia="宋体" w:cs="宋体"/>
                <w:snapToGrid w:val="0"/>
                <w:color w:val="000000"/>
                <w:spacing w:val="-1"/>
                <w:kern w:val="0"/>
                <w:sz w:val="21"/>
                <w:szCs w:val="21"/>
                <w:lang w:val="en-US" w:eastAsia="en-US" w:bidi="ar-SA"/>
              </w:rPr>
            </w:pPr>
            <w:r>
              <w:rPr>
                <w:rFonts w:ascii="宋体" w:hAnsi="宋体" w:eastAsia="宋体" w:cs="宋体"/>
                <w:snapToGrid w:val="0"/>
                <w:color w:val="000000"/>
                <w:spacing w:val="-1"/>
                <w:kern w:val="0"/>
                <w:sz w:val="21"/>
                <w:szCs w:val="21"/>
                <w:lang w:val="en-US" w:eastAsia="en-US" w:bidi="ar-SA"/>
              </w:rPr>
              <w:t>法定代表人二代身份证复印件（正面）</w:t>
            </w:r>
          </w:p>
        </w:tc>
        <w:tc>
          <w:tcPr>
            <w:tcW w:w="4735" w:type="dxa"/>
            <w:noWrap w:val="0"/>
            <w:vAlign w:val="center"/>
          </w:tcPr>
          <w:p>
            <w:pPr>
              <w:keepNext w:val="0"/>
              <w:keepLines w:val="0"/>
              <w:pageBreakBefore w:val="0"/>
              <w:widowControl/>
              <w:kinsoku w:val="0"/>
              <w:wordWrap/>
              <w:overflowPunct/>
              <w:topLinePunct w:val="0"/>
              <w:autoSpaceDE w:val="0"/>
              <w:autoSpaceDN w:val="0"/>
              <w:bidi/>
              <w:adjustRightInd w:val="0"/>
              <w:snapToGrid w:val="0"/>
              <w:spacing w:line="240" w:lineRule="exact"/>
              <w:ind w:left="0"/>
              <w:jc w:val="center"/>
              <w:textAlignment w:val="baseline"/>
              <w:rPr>
                <w:rFonts w:ascii="宋体" w:hAnsi="宋体" w:eastAsia="宋体" w:cs="宋体"/>
                <w:snapToGrid w:val="0"/>
                <w:color w:val="000000"/>
                <w:spacing w:val="-1"/>
                <w:kern w:val="0"/>
                <w:sz w:val="21"/>
                <w:szCs w:val="21"/>
                <w:lang w:val="en-US" w:eastAsia="en-US" w:bidi="ar-SA"/>
              </w:rPr>
            </w:pPr>
          </w:p>
          <w:p>
            <w:pPr>
              <w:pStyle w:val="308"/>
              <w:keepNext w:val="0"/>
              <w:keepLines w:val="0"/>
              <w:pageBreakBefore w:val="0"/>
              <w:widowControl/>
              <w:kinsoku w:val="0"/>
              <w:wordWrap/>
              <w:overflowPunct/>
              <w:topLinePunct w:val="0"/>
              <w:autoSpaceDE w:val="0"/>
              <w:autoSpaceDN w:val="0"/>
              <w:bidi/>
              <w:adjustRightInd w:val="0"/>
              <w:snapToGrid w:val="0"/>
              <w:spacing w:line="240" w:lineRule="exact"/>
              <w:ind w:left="0"/>
              <w:jc w:val="center"/>
              <w:textAlignment w:val="baseline"/>
              <w:rPr>
                <w:rFonts w:ascii="宋体" w:hAnsi="宋体" w:eastAsia="宋体" w:cs="宋体"/>
                <w:snapToGrid w:val="0"/>
                <w:color w:val="000000"/>
                <w:spacing w:val="-1"/>
                <w:kern w:val="0"/>
                <w:sz w:val="21"/>
                <w:szCs w:val="21"/>
                <w:lang w:val="en-US" w:eastAsia="en-US" w:bidi="ar-SA"/>
              </w:rPr>
            </w:pPr>
            <w:r>
              <w:rPr>
                <w:rFonts w:ascii="宋体" w:hAnsi="宋体" w:eastAsia="宋体" w:cs="宋体"/>
                <w:snapToGrid w:val="0"/>
                <w:color w:val="000000"/>
                <w:spacing w:val="-1"/>
                <w:kern w:val="0"/>
                <w:sz w:val="21"/>
                <w:szCs w:val="21"/>
                <w:lang w:val="en-US" w:eastAsia="en-US" w:bidi="ar-SA"/>
              </w:rPr>
              <w:t>法定代表人二代身份证复印件（反面）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2" w:hRule="atLeast"/>
        </w:trPr>
        <w:tc>
          <w:tcPr>
            <w:tcW w:w="4431" w:type="dxa"/>
            <w:noWrap w:val="0"/>
            <w:vAlign w:val="center"/>
          </w:tcPr>
          <w:p>
            <w:pPr>
              <w:keepNext w:val="0"/>
              <w:keepLines w:val="0"/>
              <w:pageBreakBefore w:val="0"/>
              <w:widowControl/>
              <w:kinsoku w:val="0"/>
              <w:wordWrap/>
              <w:overflowPunct/>
              <w:topLinePunct w:val="0"/>
              <w:autoSpaceDE w:val="0"/>
              <w:autoSpaceDN w:val="0"/>
              <w:bidi/>
              <w:adjustRightInd w:val="0"/>
              <w:snapToGrid w:val="0"/>
              <w:spacing w:line="240" w:lineRule="exact"/>
              <w:ind w:left="0"/>
              <w:jc w:val="center"/>
              <w:textAlignment w:val="baseline"/>
              <w:rPr>
                <w:rFonts w:ascii="宋体" w:hAnsi="宋体" w:eastAsia="宋体" w:cs="宋体"/>
                <w:snapToGrid w:val="0"/>
                <w:color w:val="000000"/>
                <w:spacing w:val="-1"/>
                <w:kern w:val="0"/>
                <w:sz w:val="21"/>
                <w:szCs w:val="21"/>
                <w:lang w:val="en-US" w:eastAsia="en-US" w:bidi="ar-SA"/>
              </w:rPr>
            </w:pPr>
          </w:p>
          <w:p>
            <w:pPr>
              <w:pStyle w:val="308"/>
              <w:keepNext w:val="0"/>
              <w:keepLines w:val="0"/>
              <w:pageBreakBefore w:val="0"/>
              <w:widowControl/>
              <w:kinsoku w:val="0"/>
              <w:wordWrap/>
              <w:overflowPunct/>
              <w:topLinePunct w:val="0"/>
              <w:autoSpaceDE w:val="0"/>
              <w:autoSpaceDN w:val="0"/>
              <w:bidi/>
              <w:adjustRightInd w:val="0"/>
              <w:snapToGrid w:val="0"/>
              <w:spacing w:line="240" w:lineRule="exact"/>
              <w:ind w:left="0"/>
              <w:jc w:val="center"/>
              <w:textAlignment w:val="baseline"/>
              <w:rPr>
                <w:rFonts w:ascii="宋体" w:hAnsi="宋体" w:eastAsia="宋体" w:cs="宋体"/>
                <w:snapToGrid w:val="0"/>
                <w:color w:val="000000"/>
                <w:spacing w:val="-1"/>
                <w:kern w:val="0"/>
                <w:sz w:val="21"/>
                <w:szCs w:val="21"/>
                <w:lang w:val="en-US" w:eastAsia="en-US" w:bidi="ar-SA"/>
              </w:rPr>
            </w:pPr>
            <w:r>
              <w:rPr>
                <w:rFonts w:ascii="宋体" w:hAnsi="宋体" w:eastAsia="宋体" w:cs="宋体"/>
                <w:snapToGrid w:val="0"/>
                <w:color w:val="000000"/>
                <w:spacing w:val="-1"/>
                <w:kern w:val="0"/>
                <w:sz w:val="21"/>
                <w:szCs w:val="21"/>
                <w:lang w:val="en-US" w:eastAsia="en-US" w:bidi="ar-SA"/>
              </w:rPr>
              <w:t>法定代表人二代身份证复印件（正面）</w:t>
            </w:r>
          </w:p>
        </w:tc>
        <w:tc>
          <w:tcPr>
            <w:tcW w:w="4735" w:type="dxa"/>
            <w:noWrap w:val="0"/>
            <w:vAlign w:val="center"/>
          </w:tcPr>
          <w:p>
            <w:pPr>
              <w:keepNext w:val="0"/>
              <w:keepLines w:val="0"/>
              <w:pageBreakBefore w:val="0"/>
              <w:widowControl/>
              <w:kinsoku w:val="0"/>
              <w:wordWrap/>
              <w:overflowPunct/>
              <w:topLinePunct w:val="0"/>
              <w:autoSpaceDE w:val="0"/>
              <w:autoSpaceDN w:val="0"/>
              <w:bidi/>
              <w:adjustRightInd w:val="0"/>
              <w:snapToGrid w:val="0"/>
              <w:spacing w:line="240" w:lineRule="exact"/>
              <w:ind w:left="0"/>
              <w:jc w:val="center"/>
              <w:textAlignment w:val="baseline"/>
              <w:rPr>
                <w:rFonts w:ascii="宋体" w:hAnsi="宋体" w:eastAsia="宋体" w:cs="宋体"/>
                <w:snapToGrid w:val="0"/>
                <w:color w:val="000000"/>
                <w:spacing w:val="-1"/>
                <w:kern w:val="0"/>
                <w:sz w:val="21"/>
                <w:szCs w:val="21"/>
                <w:lang w:val="en-US" w:eastAsia="en-US" w:bidi="ar-SA"/>
              </w:rPr>
            </w:pPr>
          </w:p>
          <w:p>
            <w:pPr>
              <w:pStyle w:val="308"/>
              <w:keepNext w:val="0"/>
              <w:keepLines w:val="0"/>
              <w:pageBreakBefore w:val="0"/>
              <w:widowControl/>
              <w:kinsoku w:val="0"/>
              <w:wordWrap/>
              <w:overflowPunct/>
              <w:topLinePunct w:val="0"/>
              <w:autoSpaceDE w:val="0"/>
              <w:autoSpaceDN w:val="0"/>
              <w:bidi/>
              <w:adjustRightInd w:val="0"/>
              <w:snapToGrid w:val="0"/>
              <w:spacing w:line="240" w:lineRule="exact"/>
              <w:ind w:left="0"/>
              <w:jc w:val="center"/>
              <w:textAlignment w:val="baseline"/>
              <w:rPr>
                <w:rFonts w:ascii="宋体" w:hAnsi="宋体" w:eastAsia="宋体" w:cs="宋体"/>
                <w:snapToGrid w:val="0"/>
                <w:color w:val="000000"/>
                <w:spacing w:val="-1"/>
                <w:kern w:val="0"/>
                <w:sz w:val="21"/>
                <w:szCs w:val="21"/>
                <w:lang w:val="en-US" w:eastAsia="en-US" w:bidi="ar-SA"/>
              </w:rPr>
            </w:pPr>
            <w:r>
              <w:rPr>
                <w:rFonts w:ascii="宋体" w:hAnsi="宋体" w:eastAsia="宋体" w:cs="宋体"/>
                <w:snapToGrid w:val="0"/>
                <w:color w:val="000000"/>
                <w:spacing w:val="-1"/>
                <w:kern w:val="0"/>
                <w:sz w:val="21"/>
                <w:szCs w:val="21"/>
                <w:lang w:val="en-US" w:eastAsia="en-US" w:bidi="ar-SA"/>
              </w:rPr>
              <w:t>法定代表人二代身份证复印件（反面）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trPr>
        <w:tc>
          <w:tcPr>
            <w:tcW w:w="4431" w:type="dxa"/>
            <w:noWrap w:val="0"/>
            <w:vAlign w:val="center"/>
          </w:tcPr>
          <w:p>
            <w:pPr>
              <w:keepNext w:val="0"/>
              <w:keepLines w:val="0"/>
              <w:pageBreakBefore w:val="0"/>
              <w:widowControl/>
              <w:kinsoku w:val="0"/>
              <w:wordWrap/>
              <w:overflowPunct/>
              <w:topLinePunct w:val="0"/>
              <w:autoSpaceDE w:val="0"/>
              <w:autoSpaceDN w:val="0"/>
              <w:bidi/>
              <w:adjustRightInd w:val="0"/>
              <w:snapToGrid w:val="0"/>
              <w:spacing w:line="240" w:lineRule="exact"/>
              <w:ind w:left="0"/>
              <w:jc w:val="both"/>
              <w:textAlignment w:val="baseline"/>
              <w:rPr>
                <w:rFonts w:ascii="宋体" w:hAnsi="宋体" w:eastAsia="宋体" w:cs="宋体"/>
                <w:snapToGrid w:val="0"/>
                <w:color w:val="000000"/>
                <w:spacing w:val="-1"/>
                <w:kern w:val="0"/>
                <w:sz w:val="21"/>
                <w:szCs w:val="21"/>
                <w:lang w:val="en-US" w:eastAsia="en-US" w:bidi="ar-SA"/>
              </w:rPr>
            </w:pPr>
          </w:p>
          <w:p>
            <w:pPr>
              <w:pStyle w:val="308"/>
              <w:keepNext w:val="0"/>
              <w:keepLines w:val="0"/>
              <w:pageBreakBefore w:val="0"/>
              <w:widowControl/>
              <w:kinsoku w:val="0"/>
              <w:wordWrap/>
              <w:overflowPunct/>
              <w:topLinePunct w:val="0"/>
              <w:autoSpaceDE w:val="0"/>
              <w:autoSpaceDN w:val="0"/>
              <w:bidi/>
              <w:adjustRightInd w:val="0"/>
              <w:snapToGrid w:val="0"/>
              <w:spacing w:line="240" w:lineRule="exact"/>
              <w:ind w:left="0"/>
              <w:jc w:val="center"/>
              <w:textAlignment w:val="baseline"/>
              <w:rPr>
                <w:rFonts w:ascii="宋体" w:hAnsi="宋体" w:eastAsia="宋体" w:cs="宋体"/>
                <w:snapToGrid w:val="0"/>
                <w:color w:val="000000"/>
                <w:spacing w:val="-1"/>
                <w:kern w:val="0"/>
                <w:sz w:val="21"/>
                <w:szCs w:val="21"/>
                <w:lang w:val="en-US" w:eastAsia="en-US" w:bidi="ar-SA"/>
              </w:rPr>
            </w:pPr>
            <w:r>
              <w:rPr>
                <w:rFonts w:ascii="宋体" w:hAnsi="宋体" w:eastAsia="宋体" w:cs="宋体"/>
                <w:snapToGrid w:val="0"/>
                <w:color w:val="000000"/>
                <w:spacing w:val="-1"/>
                <w:kern w:val="0"/>
                <w:sz w:val="21"/>
                <w:szCs w:val="21"/>
                <w:lang w:val="en-US" w:eastAsia="en-US" w:bidi="ar-SA"/>
              </w:rPr>
              <w:t>委托代理人二代身份证复印件（正面）</w:t>
            </w:r>
          </w:p>
        </w:tc>
        <w:tc>
          <w:tcPr>
            <w:tcW w:w="4735" w:type="dxa"/>
            <w:noWrap w:val="0"/>
            <w:vAlign w:val="center"/>
          </w:tcPr>
          <w:p>
            <w:pPr>
              <w:pStyle w:val="308"/>
              <w:keepNext w:val="0"/>
              <w:keepLines w:val="0"/>
              <w:pageBreakBefore w:val="0"/>
              <w:widowControl/>
              <w:kinsoku w:val="0"/>
              <w:wordWrap/>
              <w:overflowPunct/>
              <w:topLinePunct w:val="0"/>
              <w:autoSpaceDE w:val="0"/>
              <w:autoSpaceDN w:val="0"/>
              <w:bidi/>
              <w:adjustRightInd w:val="0"/>
              <w:snapToGrid w:val="0"/>
              <w:spacing w:line="240" w:lineRule="exact"/>
              <w:ind w:left="0"/>
              <w:jc w:val="center"/>
              <w:textAlignment w:val="baseline"/>
              <w:rPr>
                <w:rFonts w:ascii="宋体" w:hAnsi="宋体" w:eastAsia="宋体" w:cs="宋体"/>
                <w:snapToGrid w:val="0"/>
                <w:color w:val="000000"/>
                <w:spacing w:val="-1"/>
                <w:kern w:val="0"/>
                <w:sz w:val="21"/>
                <w:szCs w:val="21"/>
                <w:lang w:val="en-US" w:eastAsia="en-US" w:bidi="ar-SA"/>
              </w:rPr>
            </w:pPr>
            <w:r>
              <w:rPr>
                <w:rFonts w:ascii="宋体" w:hAnsi="宋体" w:eastAsia="宋体" w:cs="宋体"/>
                <w:snapToGrid w:val="0"/>
                <w:color w:val="000000"/>
                <w:spacing w:val="-1"/>
                <w:kern w:val="0"/>
                <w:sz w:val="21"/>
                <w:szCs w:val="21"/>
                <w:lang w:val="en-US" w:eastAsia="en-US" w:bidi="ar-SA"/>
              </w:rPr>
              <w:t>委托代理人二代身份证复印件（反面）</w:t>
            </w:r>
          </w:p>
        </w:tc>
      </w:tr>
    </w:tbl>
    <w:p>
      <w:pPr>
        <w:widowControl/>
        <w:kinsoku w:val="0"/>
        <w:autoSpaceDE w:val="0"/>
        <w:autoSpaceDN w:val="0"/>
        <w:adjustRightInd w:val="0"/>
        <w:snapToGrid w:val="0"/>
        <w:spacing w:before="178" w:line="220" w:lineRule="auto"/>
        <w:jc w:val="left"/>
        <w:textAlignment w:val="baseline"/>
        <w:rPr>
          <w:rFonts w:ascii="宋体" w:hAnsi="宋体" w:eastAsia="宋体" w:cs="宋体"/>
          <w:snapToGrid w:val="0"/>
          <w:color w:val="000000"/>
          <w:spacing w:val="-5"/>
          <w:kern w:val="0"/>
          <w:sz w:val="21"/>
          <w:szCs w:val="21"/>
          <w:lang w:eastAsia="en-US"/>
        </w:rPr>
      </w:pPr>
    </w:p>
    <w:p>
      <w:pPr>
        <w:keepNext w:val="0"/>
        <w:keepLines w:val="0"/>
        <w:pageBreakBefore w:val="0"/>
        <w:widowControl/>
        <w:kinsoku w:val="0"/>
        <w:wordWrap/>
        <w:overflowPunct/>
        <w:topLinePunct w:val="0"/>
        <w:autoSpaceDE w:val="0"/>
        <w:autoSpaceDN w:val="0"/>
        <w:bidi w:val="0"/>
        <w:adjustRightInd w:val="0"/>
        <w:snapToGrid w:val="0"/>
        <w:spacing w:before="79" w:line="300" w:lineRule="exact"/>
        <w:ind w:left="3" w:firstLine="2574" w:firstLineChars="1300"/>
        <w:jc w:val="left"/>
        <w:textAlignment w:val="baseline"/>
        <w:rPr>
          <w:rFonts w:ascii="宋体" w:hAnsi="宋体" w:eastAsia="宋体" w:cs="宋体"/>
          <w:snapToGrid w:val="0"/>
          <w:color w:val="000000"/>
          <w:spacing w:val="-6"/>
          <w:kern w:val="0"/>
          <w:sz w:val="21"/>
          <w:szCs w:val="21"/>
          <w:lang w:eastAsia="en-US"/>
        </w:rPr>
      </w:pPr>
      <w:r>
        <w:rPr>
          <w:rFonts w:ascii="宋体" w:hAnsi="宋体" w:eastAsia="宋体" w:cs="宋体"/>
          <w:snapToGrid w:val="0"/>
          <w:color w:val="000000"/>
          <w:spacing w:val="-6"/>
          <w:kern w:val="0"/>
          <w:sz w:val="21"/>
          <w:szCs w:val="21"/>
          <w:lang w:eastAsia="en-US"/>
        </w:rPr>
        <w:t>投 标 人（联合体各方成员）：</w:t>
      </w:r>
      <w:r>
        <w:rPr>
          <w:rFonts w:ascii="宋体" w:hAnsi="宋体" w:eastAsia="宋体" w:cs="宋体"/>
          <w:snapToGrid w:val="0"/>
          <w:color w:val="000000"/>
          <w:spacing w:val="-6"/>
          <w:kern w:val="0"/>
          <w:sz w:val="21"/>
          <w:szCs w:val="21"/>
          <w:u w:val="single"/>
          <w:lang w:eastAsia="en-US"/>
        </w:rPr>
        <w:t xml:space="preserve">                  </w:t>
      </w:r>
      <w:r>
        <w:rPr>
          <w:rFonts w:ascii="宋体" w:hAnsi="宋体" w:eastAsia="宋体" w:cs="宋体"/>
          <w:snapToGrid w:val="0"/>
          <w:color w:val="000000"/>
          <w:spacing w:val="-6"/>
          <w:kern w:val="0"/>
          <w:sz w:val="21"/>
          <w:szCs w:val="21"/>
          <w:lang w:eastAsia="en-US"/>
        </w:rPr>
        <w:t>（盖单位公章）</w:t>
      </w:r>
    </w:p>
    <w:p>
      <w:pPr>
        <w:keepNext w:val="0"/>
        <w:keepLines w:val="0"/>
        <w:pageBreakBefore w:val="0"/>
        <w:widowControl/>
        <w:kinsoku w:val="0"/>
        <w:wordWrap/>
        <w:overflowPunct/>
        <w:topLinePunct w:val="0"/>
        <w:autoSpaceDE w:val="0"/>
        <w:autoSpaceDN w:val="0"/>
        <w:bidi w:val="0"/>
        <w:adjustRightInd w:val="0"/>
        <w:snapToGrid w:val="0"/>
        <w:spacing w:before="79" w:line="300" w:lineRule="exact"/>
        <w:ind w:left="3" w:firstLine="2574" w:firstLineChars="1300"/>
        <w:jc w:val="left"/>
        <w:textAlignment w:val="baseline"/>
        <w:rPr>
          <w:rFonts w:ascii="宋体" w:hAnsi="宋体" w:eastAsia="宋体" w:cs="宋体"/>
          <w:snapToGrid w:val="0"/>
          <w:color w:val="000000"/>
          <w:spacing w:val="-6"/>
          <w:kern w:val="0"/>
          <w:sz w:val="21"/>
          <w:szCs w:val="21"/>
          <w:lang w:eastAsia="en-US"/>
        </w:rPr>
      </w:pPr>
      <w:r>
        <w:rPr>
          <w:rFonts w:ascii="宋体" w:hAnsi="宋体" w:eastAsia="宋体" w:cs="宋体"/>
          <w:snapToGrid w:val="0"/>
          <w:color w:val="000000"/>
          <w:spacing w:val="-6"/>
          <w:kern w:val="0"/>
          <w:sz w:val="21"/>
          <w:szCs w:val="21"/>
          <w:lang w:eastAsia="en-US"/>
        </w:rPr>
        <w:t>法定代表人（联合体各方成员） ：</w:t>
      </w:r>
      <w:r>
        <w:rPr>
          <w:rFonts w:ascii="宋体" w:hAnsi="宋体" w:eastAsia="宋体" w:cs="宋体"/>
          <w:snapToGrid w:val="0"/>
          <w:color w:val="000000"/>
          <w:spacing w:val="-6"/>
          <w:kern w:val="0"/>
          <w:sz w:val="21"/>
          <w:szCs w:val="21"/>
          <w:u w:val="single"/>
          <w:lang w:eastAsia="en-US"/>
        </w:rPr>
        <w:t xml:space="preserve">                     </w:t>
      </w:r>
      <w:r>
        <w:rPr>
          <w:rFonts w:ascii="宋体" w:hAnsi="宋体" w:eastAsia="宋体" w:cs="宋体"/>
          <w:snapToGrid w:val="0"/>
          <w:color w:val="000000"/>
          <w:spacing w:val="-6"/>
          <w:kern w:val="0"/>
          <w:sz w:val="21"/>
          <w:szCs w:val="21"/>
          <w:lang w:eastAsia="en-US"/>
        </w:rPr>
        <w:t>（签字或盖章）</w:t>
      </w:r>
    </w:p>
    <w:p>
      <w:pPr>
        <w:keepNext w:val="0"/>
        <w:keepLines w:val="0"/>
        <w:pageBreakBefore w:val="0"/>
        <w:widowControl/>
        <w:kinsoku w:val="0"/>
        <w:wordWrap/>
        <w:overflowPunct/>
        <w:topLinePunct w:val="0"/>
        <w:autoSpaceDE w:val="0"/>
        <w:autoSpaceDN w:val="0"/>
        <w:bidi w:val="0"/>
        <w:adjustRightInd w:val="0"/>
        <w:snapToGrid w:val="0"/>
        <w:spacing w:before="79" w:line="300" w:lineRule="exact"/>
        <w:ind w:left="3" w:firstLine="2574" w:firstLineChars="1300"/>
        <w:jc w:val="left"/>
        <w:textAlignment w:val="baseline"/>
        <w:rPr>
          <w:rFonts w:ascii="宋体" w:hAnsi="宋体" w:eastAsia="宋体" w:cs="宋体"/>
          <w:snapToGrid w:val="0"/>
          <w:color w:val="000000"/>
          <w:spacing w:val="-6"/>
          <w:kern w:val="0"/>
          <w:sz w:val="21"/>
          <w:szCs w:val="21"/>
          <w:lang w:eastAsia="en-US"/>
        </w:rPr>
      </w:pPr>
      <w:r>
        <w:rPr>
          <w:rFonts w:ascii="宋体" w:hAnsi="宋体" w:eastAsia="宋体" w:cs="宋体"/>
          <w:snapToGrid w:val="0"/>
          <w:color w:val="000000"/>
          <w:spacing w:val="-6"/>
          <w:kern w:val="0"/>
          <w:sz w:val="21"/>
          <w:szCs w:val="21"/>
          <w:lang w:eastAsia="en-US"/>
        </w:rPr>
        <w:t>身份证号码(联合体牵头人法定代表人)：</w:t>
      </w:r>
      <w:r>
        <w:rPr>
          <w:rFonts w:hint="eastAsia" w:ascii="宋体" w:hAnsi="宋体" w:eastAsia="宋体" w:cs="宋体"/>
          <w:snapToGrid w:val="0"/>
          <w:color w:val="000000"/>
          <w:spacing w:val="-6"/>
          <w:kern w:val="0"/>
          <w:sz w:val="21"/>
          <w:szCs w:val="21"/>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79" w:line="300" w:lineRule="exact"/>
        <w:ind w:left="3" w:firstLine="2574" w:firstLineChars="1300"/>
        <w:jc w:val="left"/>
        <w:textAlignment w:val="baseline"/>
        <w:rPr>
          <w:rFonts w:hint="default" w:ascii="宋体" w:hAnsi="宋体" w:eastAsia="宋体" w:cs="宋体"/>
          <w:snapToGrid w:val="0"/>
          <w:color w:val="000000"/>
          <w:spacing w:val="-6"/>
          <w:kern w:val="0"/>
          <w:sz w:val="21"/>
          <w:szCs w:val="21"/>
          <w:lang w:val="en-US" w:eastAsia="zh-CN"/>
        </w:rPr>
      </w:pPr>
      <w:r>
        <w:rPr>
          <w:rFonts w:ascii="宋体" w:hAnsi="宋体" w:eastAsia="宋体" w:cs="宋体"/>
          <w:snapToGrid w:val="0"/>
          <w:color w:val="000000"/>
          <w:spacing w:val="-6"/>
          <w:kern w:val="0"/>
          <w:sz w:val="21"/>
          <w:szCs w:val="21"/>
          <w:lang w:eastAsia="en-US"/>
        </w:rPr>
        <w:t>身份证号码(联合体参与方法定代表人)：</w:t>
      </w:r>
      <w:r>
        <w:rPr>
          <w:rFonts w:ascii="宋体" w:hAnsi="宋体" w:eastAsia="宋体" w:cs="宋体"/>
          <w:snapToGrid w:val="0"/>
          <w:color w:val="000000"/>
          <w:spacing w:val="-6"/>
          <w:kern w:val="0"/>
          <w:sz w:val="21"/>
          <w:szCs w:val="21"/>
          <w:u w:val="single"/>
          <w:lang w:eastAsia="en-US"/>
        </w:rPr>
        <w:t xml:space="preserve">  </w:t>
      </w:r>
      <w:r>
        <w:rPr>
          <w:rFonts w:hint="eastAsia" w:ascii="宋体" w:hAnsi="宋体" w:eastAsia="宋体" w:cs="宋体"/>
          <w:snapToGrid w:val="0"/>
          <w:color w:val="000000"/>
          <w:spacing w:val="-6"/>
          <w:kern w:val="0"/>
          <w:sz w:val="21"/>
          <w:szCs w:val="21"/>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79" w:line="300" w:lineRule="exact"/>
        <w:ind w:left="3" w:firstLine="2574" w:firstLineChars="1300"/>
        <w:jc w:val="left"/>
        <w:textAlignment w:val="baseline"/>
        <w:rPr>
          <w:rFonts w:ascii="宋体" w:hAnsi="宋体" w:eastAsia="宋体" w:cs="宋体"/>
          <w:snapToGrid w:val="0"/>
          <w:color w:val="000000"/>
          <w:spacing w:val="-6"/>
          <w:kern w:val="0"/>
          <w:sz w:val="21"/>
          <w:szCs w:val="21"/>
          <w:lang w:eastAsia="en-US"/>
        </w:rPr>
      </w:pPr>
      <w:r>
        <w:rPr>
          <w:rFonts w:ascii="宋体" w:hAnsi="宋体" w:eastAsia="宋体" w:cs="宋体"/>
          <w:snapToGrid w:val="0"/>
          <w:color w:val="000000"/>
          <w:spacing w:val="-6"/>
          <w:kern w:val="0"/>
          <w:sz w:val="21"/>
          <w:szCs w:val="21"/>
          <w:lang w:eastAsia="en-US"/>
        </w:rPr>
        <w:t>委托代理人：</w:t>
      </w:r>
      <w:r>
        <w:rPr>
          <w:rFonts w:ascii="宋体" w:hAnsi="宋体" w:eastAsia="宋体" w:cs="宋体"/>
          <w:snapToGrid w:val="0"/>
          <w:color w:val="000000"/>
          <w:spacing w:val="-6"/>
          <w:kern w:val="0"/>
          <w:sz w:val="21"/>
          <w:szCs w:val="21"/>
          <w:u w:val="single"/>
          <w:lang w:eastAsia="en-US"/>
        </w:rPr>
        <w:t xml:space="preserve">                              </w:t>
      </w:r>
      <w:r>
        <w:rPr>
          <w:rFonts w:ascii="宋体" w:hAnsi="宋体" w:eastAsia="宋体" w:cs="宋体"/>
          <w:snapToGrid w:val="0"/>
          <w:color w:val="000000"/>
          <w:spacing w:val="-6"/>
          <w:kern w:val="0"/>
          <w:sz w:val="21"/>
          <w:szCs w:val="21"/>
          <w:lang w:eastAsia="en-US"/>
        </w:rPr>
        <w:t>（签字或盖章）</w:t>
      </w:r>
    </w:p>
    <w:p>
      <w:pPr>
        <w:keepNext w:val="0"/>
        <w:keepLines w:val="0"/>
        <w:pageBreakBefore w:val="0"/>
        <w:widowControl/>
        <w:kinsoku w:val="0"/>
        <w:wordWrap/>
        <w:overflowPunct/>
        <w:topLinePunct w:val="0"/>
        <w:autoSpaceDE w:val="0"/>
        <w:autoSpaceDN w:val="0"/>
        <w:bidi w:val="0"/>
        <w:adjustRightInd w:val="0"/>
        <w:snapToGrid w:val="0"/>
        <w:spacing w:before="79" w:line="300" w:lineRule="exact"/>
        <w:ind w:firstLine="2574" w:firstLineChars="1300"/>
        <w:jc w:val="left"/>
        <w:textAlignment w:val="baseline"/>
        <w:rPr>
          <w:rFonts w:hint="default" w:ascii="宋体" w:hAnsi="宋体" w:eastAsia="宋体" w:cs="宋体"/>
          <w:snapToGrid w:val="0"/>
          <w:color w:val="000000"/>
          <w:spacing w:val="-6"/>
          <w:kern w:val="0"/>
          <w:sz w:val="21"/>
          <w:szCs w:val="21"/>
          <w:lang w:val="en-US" w:eastAsia="zh-CN"/>
        </w:rPr>
      </w:pPr>
      <w:r>
        <w:rPr>
          <w:rFonts w:ascii="宋体" w:hAnsi="宋体" w:eastAsia="宋体" w:cs="宋体"/>
          <w:snapToGrid w:val="0"/>
          <w:color w:val="000000"/>
          <w:spacing w:val="-6"/>
          <w:kern w:val="0"/>
          <w:sz w:val="21"/>
          <w:szCs w:val="21"/>
          <w:lang w:eastAsia="en-US"/>
        </w:rPr>
        <w:t>身份证号码：</w:t>
      </w:r>
      <w:r>
        <w:rPr>
          <w:rFonts w:ascii="宋体" w:hAnsi="宋体" w:eastAsia="宋体" w:cs="宋体"/>
          <w:snapToGrid w:val="0"/>
          <w:color w:val="000000"/>
          <w:spacing w:val="-6"/>
          <w:kern w:val="0"/>
          <w:sz w:val="21"/>
          <w:szCs w:val="21"/>
          <w:u w:val="single"/>
          <w:lang w:eastAsia="en-US"/>
        </w:rPr>
        <w:t xml:space="preserve">  </w:t>
      </w:r>
      <w:r>
        <w:rPr>
          <w:rFonts w:hint="eastAsia" w:ascii="宋体" w:hAnsi="宋体" w:eastAsia="宋体" w:cs="宋体"/>
          <w:snapToGrid w:val="0"/>
          <w:color w:val="000000"/>
          <w:spacing w:val="-6"/>
          <w:kern w:val="0"/>
          <w:sz w:val="21"/>
          <w:szCs w:val="21"/>
          <w:u w:val="single"/>
          <w:lang w:val="en-US" w:eastAsia="zh-CN"/>
        </w:rPr>
        <w:t xml:space="preserve">                           </w:t>
      </w:r>
    </w:p>
    <w:p>
      <w:pPr>
        <w:keepNext w:val="0"/>
        <w:keepLines w:val="0"/>
        <w:pageBreakBefore w:val="0"/>
        <w:wordWrap/>
        <w:overflowPunct/>
        <w:topLinePunct w:val="0"/>
        <w:bidi w:val="0"/>
        <w:spacing w:line="300" w:lineRule="exact"/>
        <w:ind w:firstLine="5544" w:firstLineChars="2800"/>
        <w:rPr>
          <w:rFonts w:ascii="宋体" w:hAnsi="宋体" w:cs="宋体"/>
          <w:b/>
          <w:color w:val="auto"/>
          <w:sz w:val="21"/>
          <w:szCs w:val="21"/>
        </w:rPr>
      </w:pPr>
      <w:r>
        <w:rPr>
          <w:rFonts w:ascii="宋体" w:hAnsi="宋体" w:eastAsia="宋体" w:cs="宋体"/>
          <w:snapToGrid w:val="0"/>
          <w:color w:val="000000"/>
          <w:spacing w:val="-6"/>
          <w:kern w:val="0"/>
          <w:sz w:val="21"/>
          <w:szCs w:val="21"/>
          <w:u w:val="single"/>
          <w:lang w:eastAsia="en-US"/>
        </w:rPr>
        <w:t xml:space="preserve"> </w:t>
      </w:r>
      <w:r>
        <w:rPr>
          <w:rFonts w:hint="eastAsia" w:ascii="宋体" w:hAnsi="宋体" w:eastAsia="宋体" w:cs="宋体"/>
          <w:snapToGrid w:val="0"/>
          <w:color w:val="000000"/>
          <w:spacing w:val="-6"/>
          <w:kern w:val="0"/>
          <w:sz w:val="21"/>
          <w:szCs w:val="21"/>
          <w:u w:val="single"/>
          <w:lang w:val="en-US" w:eastAsia="zh-CN"/>
        </w:rPr>
        <w:t xml:space="preserve">      </w:t>
      </w:r>
      <w:r>
        <w:rPr>
          <w:rFonts w:ascii="宋体" w:hAnsi="宋体" w:eastAsia="宋体" w:cs="宋体"/>
          <w:snapToGrid w:val="0"/>
          <w:color w:val="000000"/>
          <w:spacing w:val="-6"/>
          <w:kern w:val="0"/>
          <w:sz w:val="21"/>
          <w:szCs w:val="21"/>
          <w:u w:val="single"/>
          <w:lang w:eastAsia="en-US"/>
        </w:rPr>
        <w:t xml:space="preserve"> </w:t>
      </w:r>
      <w:r>
        <w:rPr>
          <w:rFonts w:ascii="宋体" w:hAnsi="宋体" w:eastAsia="宋体" w:cs="宋体"/>
          <w:snapToGrid w:val="0"/>
          <w:color w:val="000000"/>
          <w:spacing w:val="-6"/>
          <w:kern w:val="0"/>
          <w:sz w:val="21"/>
          <w:szCs w:val="21"/>
          <w:lang w:eastAsia="en-US"/>
        </w:rPr>
        <w:t>年</w:t>
      </w:r>
      <w:r>
        <w:rPr>
          <w:rFonts w:ascii="宋体" w:hAnsi="宋体" w:eastAsia="宋体" w:cs="宋体"/>
          <w:snapToGrid w:val="0"/>
          <w:color w:val="000000"/>
          <w:spacing w:val="-6"/>
          <w:kern w:val="0"/>
          <w:sz w:val="21"/>
          <w:szCs w:val="21"/>
          <w:u w:val="single"/>
          <w:lang w:eastAsia="en-US"/>
        </w:rPr>
        <w:t xml:space="preserve">     </w:t>
      </w:r>
      <w:r>
        <w:rPr>
          <w:rFonts w:ascii="宋体" w:hAnsi="宋体" w:eastAsia="宋体" w:cs="宋体"/>
          <w:snapToGrid w:val="0"/>
          <w:color w:val="000000"/>
          <w:spacing w:val="-6"/>
          <w:kern w:val="0"/>
          <w:sz w:val="21"/>
          <w:szCs w:val="21"/>
          <w:lang w:eastAsia="en-US"/>
        </w:rPr>
        <w:t>月</w:t>
      </w:r>
      <w:r>
        <w:rPr>
          <w:rFonts w:ascii="宋体" w:hAnsi="宋体" w:eastAsia="宋体" w:cs="宋体"/>
          <w:snapToGrid w:val="0"/>
          <w:color w:val="000000"/>
          <w:spacing w:val="-6"/>
          <w:kern w:val="0"/>
          <w:sz w:val="21"/>
          <w:szCs w:val="21"/>
          <w:u w:val="single"/>
          <w:lang w:eastAsia="en-US"/>
        </w:rPr>
        <w:t xml:space="preserve">      </w:t>
      </w:r>
      <w:r>
        <w:rPr>
          <w:rFonts w:ascii="宋体" w:hAnsi="宋体" w:eastAsia="宋体" w:cs="宋体"/>
          <w:snapToGrid w:val="0"/>
          <w:color w:val="000000"/>
          <w:spacing w:val="-6"/>
          <w:kern w:val="0"/>
          <w:sz w:val="21"/>
          <w:szCs w:val="21"/>
          <w:lang w:eastAsia="en-US"/>
        </w:rPr>
        <w:t>日</w:t>
      </w:r>
    </w:p>
    <w:p>
      <w:pPr>
        <w:spacing w:line="360" w:lineRule="exact"/>
        <w:rPr>
          <w:rFonts w:ascii="宋体" w:hAnsi="宋体" w:cs="宋体"/>
          <w:b/>
          <w:color w:val="auto"/>
          <w:sz w:val="21"/>
          <w:szCs w:val="21"/>
        </w:rPr>
      </w:pPr>
    </w:p>
    <w:p>
      <w:pPr>
        <w:spacing w:line="360" w:lineRule="exact"/>
        <w:rPr>
          <w:rFonts w:ascii="宋体" w:hAnsi="宋体" w:cs="宋体"/>
          <w:b/>
          <w:color w:val="auto"/>
          <w:szCs w:val="21"/>
        </w:rPr>
      </w:pPr>
      <w:r>
        <w:rPr>
          <w:rFonts w:hint="eastAsia" w:ascii="宋体" w:hAnsi="宋体" w:cs="宋体"/>
          <w:b/>
          <w:color w:val="auto"/>
          <w:szCs w:val="21"/>
        </w:rPr>
        <w:t>（注：此法定代表人授权委托书由投标单位法定代表人和委托代理人</w:t>
      </w:r>
      <w:r>
        <w:rPr>
          <w:rFonts w:hint="eastAsia" w:ascii="宋体" w:hAnsi="宋体" w:cs="宋体"/>
          <w:b/>
          <w:color w:val="auto"/>
          <w:szCs w:val="21"/>
          <w:lang w:eastAsia="en-US"/>
        </w:rPr>
        <w:t>签字或盖章</w:t>
      </w:r>
      <w:r>
        <w:rPr>
          <w:rFonts w:hint="eastAsia" w:ascii="宋体" w:hAnsi="宋体" w:cs="宋体"/>
          <w:b/>
          <w:color w:val="auto"/>
          <w:szCs w:val="21"/>
        </w:rPr>
        <w:t>，并加盖单位公章，除响应文件中须提供外，还须另外准备一份，不装入响应文件，与项目的响应文件同时分别递交，否则，视为自动放弃磋商。如供应商单位委托代理人即为法定代表人，可不提供）</w:t>
      </w:r>
    </w:p>
    <w:p>
      <w:pPr>
        <w:spacing w:line="360" w:lineRule="exact"/>
        <w:rPr>
          <w:rFonts w:ascii="宋体" w:hAnsi="宋体" w:cs="宋体"/>
          <w:b/>
          <w:color w:val="auto"/>
          <w:szCs w:val="21"/>
        </w:rPr>
      </w:pPr>
    </w:p>
    <w:p>
      <w:pPr>
        <w:rPr>
          <w:rFonts w:ascii="宋体" w:hAnsi="宋体" w:cs="宋体"/>
          <w:bCs/>
          <w:color w:val="auto"/>
          <w:szCs w:val="21"/>
        </w:rPr>
      </w:pPr>
      <w:r>
        <w:rPr>
          <w:rFonts w:hint="eastAsia" w:ascii="宋体" w:hAnsi="宋体" w:cs="宋体"/>
          <w:bCs/>
          <w:color w:val="auto"/>
          <w:szCs w:val="21"/>
        </w:rPr>
        <w:t>附件3：</w:t>
      </w:r>
    </w:p>
    <w:p>
      <w:pPr>
        <w:adjustRightInd w:val="0"/>
        <w:snapToGrid w:val="0"/>
        <w:spacing w:line="360" w:lineRule="auto"/>
        <w:ind w:right="24"/>
        <w:jc w:val="center"/>
        <w:rPr>
          <w:rFonts w:ascii="宋体" w:hAnsi="宋体" w:cs="宋体"/>
          <w:b/>
          <w:color w:val="auto"/>
          <w:szCs w:val="21"/>
        </w:rPr>
      </w:pPr>
      <w:r>
        <w:rPr>
          <w:rFonts w:hint="eastAsia" w:ascii="宋体" w:hAnsi="宋体" w:cs="宋体"/>
          <w:b/>
          <w:color w:val="auto"/>
          <w:szCs w:val="21"/>
        </w:rPr>
        <w:t>资格证明材料承诺函</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我们，</w:t>
      </w:r>
      <w:r>
        <w:rPr>
          <w:rFonts w:hint="eastAsia" w:ascii="宋体" w:hAnsi="宋体" w:cs="宋体"/>
          <w:color w:val="auto"/>
          <w:szCs w:val="21"/>
          <w:u w:val="single"/>
        </w:rPr>
        <w:t xml:space="preserve">                 （</w:t>
      </w:r>
      <w:r>
        <w:rPr>
          <w:rFonts w:hint="eastAsia" w:ascii="宋体" w:hAnsi="宋体" w:cs="宋体"/>
          <w:color w:val="auto"/>
          <w:szCs w:val="21"/>
        </w:rPr>
        <w:t xml:space="preserve">供应商名称）已认真阅读《竞争性磋商邀请公告[ </w:t>
      </w:r>
      <w:r>
        <w:rPr>
          <w:rFonts w:hint="eastAsia" w:ascii="宋体" w:hAnsi="宋体" w:cs="宋体"/>
          <w:color w:val="auto"/>
          <w:szCs w:val="21"/>
          <w:u w:val="single"/>
        </w:rPr>
        <w:t xml:space="preserve">            </w:t>
      </w:r>
      <w:r>
        <w:rPr>
          <w:rFonts w:hint="eastAsia" w:ascii="宋体" w:hAnsi="宋体" w:cs="宋体"/>
          <w:color w:val="auto"/>
          <w:szCs w:val="21"/>
        </w:rPr>
        <w:t>（项目名称），委托代理编号：</w:t>
      </w:r>
      <w:r>
        <w:rPr>
          <w:rFonts w:hint="eastAsia" w:ascii="宋体" w:hAnsi="宋体" w:cs="宋体"/>
          <w:color w:val="auto"/>
          <w:szCs w:val="21"/>
          <w:u w:val="single"/>
        </w:rPr>
        <w:t xml:space="preserve">            </w:t>
      </w:r>
      <w:r>
        <w:rPr>
          <w:rFonts w:hint="eastAsia" w:ascii="宋体" w:hAnsi="宋体" w:cs="宋体"/>
          <w:color w:val="auto"/>
          <w:szCs w:val="21"/>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 xml:space="preserve">一、我方在此声明： </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（三）我方未为本项目前期准备提供技术或咨询服务。</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（二）我方在经营活动中没有存在下列重大违法记录：</w:t>
      </w:r>
    </w:p>
    <w:p>
      <w:pPr>
        <w:adjustRightInd w:val="0"/>
        <w:snapToGrid w:val="0"/>
        <w:spacing w:line="560" w:lineRule="exact"/>
        <w:ind w:firstLine="577" w:firstLineChars="275"/>
        <w:rPr>
          <w:rFonts w:ascii="宋体" w:hAnsi="宋体" w:cs="宋体"/>
          <w:color w:val="auto"/>
          <w:szCs w:val="21"/>
        </w:rPr>
      </w:pPr>
      <w:r>
        <w:rPr>
          <w:rFonts w:hint="eastAsia" w:ascii="宋体" w:hAnsi="宋体" w:cs="宋体"/>
          <w:color w:val="auto"/>
          <w:szCs w:val="21"/>
        </w:rPr>
        <w:t>1、受到刑事处罚；</w:t>
      </w:r>
    </w:p>
    <w:p>
      <w:pPr>
        <w:adjustRightInd w:val="0"/>
        <w:snapToGrid w:val="0"/>
        <w:spacing w:line="560" w:lineRule="exact"/>
        <w:ind w:firstLine="577" w:firstLineChars="275"/>
        <w:rPr>
          <w:rFonts w:ascii="宋体" w:hAnsi="宋体" w:cs="宋体"/>
          <w:color w:val="auto"/>
          <w:szCs w:val="21"/>
        </w:rPr>
      </w:pPr>
      <w:r>
        <w:rPr>
          <w:rFonts w:hint="eastAsia" w:ascii="宋体" w:hAnsi="宋体" w:cs="宋体"/>
          <w:color w:val="auto"/>
          <w:szCs w:val="21"/>
        </w:rPr>
        <w:t>2、受到三万元以上的罚款、责令停产停业、在一至三年内禁止参加采购活动、暂扣或者吊销许可证、暂扣或者吊销执照的行政处罚。</w:t>
      </w:r>
    </w:p>
    <w:p>
      <w:pPr>
        <w:adjustRightInd w:val="0"/>
        <w:snapToGrid w:val="0"/>
        <w:spacing w:line="560" w:lineRule="exact"/>
        <w:ind w:firstLine="367" w:firstLineChars="175"/>
        <w:rPr>
          <w:rFonts w:ascii="宋体" w:hAnsi="宋体" w:cs="宋体"/>
          <w:color w:val="auto"/>
          <w:szCs w:val="21"/>
        </w:rPr>
      </w:pPr>
    </w:p>
    <w:p>
      <w:pPr>
        <w:adjustRightInd w:val="0"/>
        <w:snapToGrid w:val="0"/>
        <w:spacing w:line="560" w:lineRule="exact"/>
        <w:ind w:firstLine="5145" w:firstLineChars="2450"/>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560" w:lineRule="exact"/>
        <w:ind w:firstLine="5145" w:firstLineChars="2450"/>
        <w:rPr>
          <w:rFonts w:ascii="宋体" w:hAnsi="宋体" w:cs="宋体"/>
          <w:color w:val="auto"/>
          <w:szCs w:val="21"/>
        </w:rPr>
      </w:pPr>
      <w:r>
        <w:rPr>
          <w:rFonts w:hint="eastAsia" w:ascii="宋体" w:hAnsi="宋体" w:cs="宋体"/>
          <w:color w:val="auto"/>
          <w:szCs w:val="21"/>
        </w:rPr>
        <w:t>法定代表人（签名</w:t>
      </w:r>
      <w:r>
        <w:rPr>
          <w:rFonts w:hint="eastAsia" w:ascii="宋体" w:hAnsi="宋体" w:cs="宋体"/>
          <w:color w:val="auto"/>
          <w:szCs w:val="21"/>
          <w:lang w:val="en-US" w:eastAsia="zh-CN"/>
        </w:rPr>
        <w:t>或盖章</w:t>
      </w:r>
      <w:r>
        <w:rPr>
          <w:rFonts w:hint="eastAsia" w:ascii="宋体" w:hAnsi="宋体" w:cs="宋体"/>
          <w:color w:val="auto"/>
          <w:szCs w:val="21"/>
        </w:rPr>
        <w:t xml:space="preserve">）：  </w:t>
      </w:r>
    </w:p>
    <w:p>
      <w:pPr>
        <w:adjustRightInd w:val="0"/>
        <w:snapToGrid w:val="0"/>
        <w:spacing w:line="560" w:lineRule="exact"/>
        <w:ind w:firstLine="5197" w:firstLineChars="2475"/>
        <w:rPr>
          <w:rFonts w:ascii="宋体" w:hAnsi="宋体" w:cs="宋体"/>
          <w:color w:val="auto"/>
          <w:szCs w:val="21"/>
        </w:rPr>
      </w:pPr>
      <w:r>
        <w:rPr>
          <w:rFonts w:hint="eastAsia" w:ascii="宋体" w:hAnsi="宋体" w:cs="宋体"/>
          <w:color w:val="auto"/>
          <w:szCs w:val="21"/>
        </w:rPr>
        <w:t>日    期：   年   月  日</w:t>
      </w: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pStyle w:val="46"/>
        <w:rPr>
          <w:color w:val="auto"/>
        </w:rPr>
      </w:pPr>
    </w:p>
    <w:p>
      <w:pPr>
        <w:spacing w:line="360" w:lineRule="exact"/>
        <w:jc w:val="center"/>
        <w:rPr>
          <w:rFonts w:ascii="宋体" w:hAnsi="宋体" w:cs="宋体"/>
          <w:b/>
          <w:color w:val="auto"/>
          <w:szCs w:val="21"/>
        </w:rPr>
      </w:pPr>
    </w:p>
    <w:p>
      <w:pPr>
        <w:pStyle w:val="46"/>
        <w:rPr>
          <w:color w:val="auto"/>
        </w:rPr>
      </w:pPr>
    </w:p>
    <w:p>
      <w:pPr>
        <w:adjustRightInd w:val="0"/>
        <w:snapToGrid w:val="0"/>
        <w:spacing w:line="360" w:lineRule="auto"/>
        <w:jc w:val="center"/>
        <w:rPr>
          <w:rFonts w:ascii="宋体" w:hAnsi="宋体" w:cs="宋体"/>
          <w:b/>
          <w:bCs/>
          <w:color w:val="auto"/>
          <w:sz w:val="32"/>
          <w:szCs w:val="32"/>
        </w:rPr>
      </w:pPr>
      <w:r>
        <w:rPr>
          <w:rFonts w:hint="eastAsia" w:ascii="宋体" w:hAnsi="宋体" w:cs="宋体"/>
          <w:b/>
          <w:color w:val="auto"/>
          <w:sz w:val="32"/>
          <w:szCs w:val="32"/>
        </w:rPr>
        <w:t>二、供应商</w:t>
      </w:r>
      <w:r>
        <w:rPr>
          <w:rFonts w:hint="eastAsia" w:ascii="宋体" w:hAnsi="宋体" w:cs="宋体"/>
          <w:b/>
          <w:bCs/>
          <w:color w:val="auto"/>
          <w:sz w:val="32"/>
          <w:szCs w:val="32"/>
        </w:rPr>
        <w:t>的资格证明资料</w:t>
      </w:r>
    </w:p>
    <w:p>
      <w:pPr>
        <w:spacing w:line="480" w:lineRule="exact"/>
        <w:rPr>
          <w:rFonts w:ascii="宋体" w:hAnsi="宋体" w:cs="宋体"/>
          <w:b/>
          <w:bCs/>
          <w:color w:val="auto"/>
          <w:szCs w:val="21"/>
        </w:rPr>
      </w:pPr>
      <w:r>
        <w:rPr>
          <w:rFonts w:hint="eastAsia" w:ascii="宋体" w:hAnsi="宋体" w:cs="宋体"/>
          <w:b/>
          <w:bCs/>
          <w:color w:val="auto"/>
          <w:szCs w:val="21"/>
        </w:rPr>
        <w:t xml:space="preserve">附件4              </w:t>
      </w:r>
    </w:p>
    <w:p>
      <w:pPr>
        <w:spacing w:line="480" w:lineRule="exact"/>
        <w:jc w:val="center"/>
        <w:rPr>
          <w:rFonts w:ascii="宋体" w:hAnsi="宋体" w:cs="宋体"/>
          <w:color w:val="auto"/>
          <w:szCs w:val="21"/>
        </w:rPr>
      </w:pPr>
      <w:r>
        <w:rPr>
          <w:rFonts w:hint="eastAsia" w:ascii="宋体" w:hAnsi="宋体" w:cs="宋体"/>
          <w:b/>
          <w:bCs/>
          <w:color w:val="auto"/>
          <w:szCs w:val="21"/>
        </w:rPr>
        <w:t>供应商基本情况表</w:t>
      </w:r>
    </w:p>
    <w:tbl>
      <w:tblPr>
        <w:tblStyle w:val="47"/>
        <w:tblW w:w="4998"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769"/>
        <w:gridCol w:w="576"/>
        <w:gridCol w:w="390"/>
        <w:gridCol w:w="1225"/>
        <w:gridCol w:w="911"/>
        <w:gridCol w:w="632"/>
        <w:gridCol w:w="316"/>
        <w:gridCol w:w="1161"/>
        <w:gridCol w:w="1424"/>
        <w:gridCol w:w="204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918" w:type="pct"/>
            <w:gridSpan w:val="3"/>
            <w:tcBorders>
              <w:bottom w:val="single" w:color="auto" w:sz="6" w:space="0"/>
              <w:right w:val="single" w:color="auto" w:sz="6" w:space="0"/>
            </w:tcBorders>
            <w:vAlign w:val="center"/>
          </w:tcPr>
          <w:p>
            <w:pPr>
              <w:topLinePunct/>
              <w:spacing w:line="320" w:lineRule="exact"/>
              <w:jc w:val="center"/>
              <w:rPr>
                <w:rFonts w:ascii="宋体" w:hAnsi="宋体" w:cs="宋体"/>
                <w:color w:val="auto"/>
                <w:szCs w:val="21"/>
              </w:rPr>
            </w:pPr>
            <w:r>
              <w:rPr>
                <w:rFonts w:hint="eastAsia" w:ascii="宋体" w:hAnsi="宋体" w:cs="宋体"/>
                <w:color w:val="auto"/>
                <w:szCs w:val="21"/>
              </w:rPr>
              <w:t>供应商名称</w:t>
            </w:r>
          </w:p>
          <w:p>
            <w:pPr>
              <w:topLinePunct/>
              <w:spacing w:line="320" w:lineRule="exact"/>
              <w:jc w:val="center"/>
              <w:rPr>
                <w:rFonts w:ascii="宋体" w:hAnsi="宋体" w:cs="宋体"/>
                <w:color w:val="auto"/>
                <w:szCs w:val="21"/>
              </w:rPr>
            </w:pPr>
            <w:r>
              <w:rPr>
                <w:rFonts w:hint="eastAsia" w:ascii="宋体" w:hAnsi="宋体" w:cs="宋体"/>
                <w:color w:val="auto"/>
                <w:szCs w:val="21"/>
              </w:rPr>
              <w:t xml:space="preserve"> （加盖公章）</w:t>
            </w:r>
          </w:p>
        </w:tc>
        <w:tc>
          <w:tcPr>
            <w:tcW w:w="2245" w:type="pct"/>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法定代表人</w:t>
            </w:r>
          </w:p>
        </w:tc>
        <w:tc>
          <w:tcPr>
            <w:tcW w:w="1083" w:type="pct"/>
            <w:tcBorders>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委托代理人</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邮政编码</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联系人及电话</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电子邮箱</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上年营业收入</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员工总人数</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营业执照</w:t>
            </w: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注册号码</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color w:val="auto"/>
                <w:szCs w:val="21"/>
              </w:rPr>
            </w:pPr>
            <w:r>
              <w:rPr>
                <w:rFonts w:hint="eastAsia" w:ascii="宋体" w:hAnsi="宋体" w:cs="宋体"/>
                <w:color w:val="auto"/>
                <w:szCs w:val="21"/>
              </w:rPr>
              <w:t>注册地址</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发证机关</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color w:val="auto"/>
                <w:szCs w:val="21"/>
              </w:rPr>
            </w:pPr>
            <w:r>
              <w:rPr>
                <w:rFonts w:hint="eastAsia" w:ascii="宋体" w:hAnsi="宋体" w:cs="宋体"/>
                <w:color w:val="auto"/>
                <w:szCs w:val="21"/>
              </w:rPr>
              <w:t>发证日期</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营业范围（主营）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营业范围（兼营）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基本账户开户行及账号</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税务登记机关</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资质名称</w:t>
            </w: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等级</w:t>
            </w: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发证机关</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712" w:type="pct"/>
            <w:gridSpan w:val="2"/>
            <w:tcBorders>
              <w:top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备注</w:t>
            </w:r>
          </w:p>
        </w:tc>
        <w:tc>
          <w:tcPr>
            <w:tcW w:w="4287" w:type="pct"/>
            <w:gridSpan w:val="8"/>
            <w:tcBorders>
              <w:top w:val="single" w:color="auto" w:sz="6" w:space="0"/>
              <w:left w:val="single" w:color="auto" w:sz="6" w:space="0"/>
            </w:tcBorders>
            <w:vAlign w:val="center"/>
          </w:tcPr>
          <w:p>
            <w:pPr>
              <w:topLinePunct/>
              <w:spacing w:line="440" w:lineRule="exact"/>
              <w:rPr>
                <w:rFonts w:ascii="宋体" w:hAnsi="宋体" w:cs="宋体"/>
                <w:color w:val="auto"/>
                <w:szCs w:val="21"/>
              </w:rPr>
            </w:pPr>
            <w:r>
              <w:rPr>
                <w:rFonts w:hint="eastAsia" w:ascii="宋体" w:hAnsi="宋体" w:cs="宋体"/>
                <w:color w:val="auto"/>
                <w:szCs w:val="21"/>
              </w:rPr>
              <w:t>附《营业执照》（副本）复印件</w:t>
            </w:r>
          </w:p>
        </w:tc>
      </w:tr>
    </w:tbl>
    <w:p>
      <w:pPr>
        <w:spacing w:line="480" w:lineRule="exact"/>
        <w:rPr>
          <w:rFonts w:ascii="宋体" w:hAnsi="宋体" w:cs="宋体"/>
          <w:color w:val="auto"/>
          <w:szCs w:val="21"/>
        </w:rPr>
      </w:pPr>
    </w:p>
    <w:p>
      <w:pPr>
        <w:spacing w:line="480" w:lineRule="exact"/>
        <w:rPr>
          <w:rFonts w:ascii="宋体" w:hAnsi="宋体" w:cs="宋体"/>
          <w:b/>
          <w:bCs/>
          <w:color w:val="auto"/>
          <w:szCs w:val="21"/>
        </w:rPr>
      </w:pPr>
    </w:p>
    <w:p>
      <w:pPr>
        <w:spacing w:line="480" w:lineRule="exact"/>
        <w:rPr>
          <w:rFonts w:ascii="宋体" w:hAnsi="宋体" w:cs="宋体"/>
          <w:b/>
          <w:bCs/>
          <w:color w:val="auto"/>
          <w:szCs w:val="21"/>
          <w:highlight w:val="none"/>
        </w:rPr>
      </w:pPr>
      <w:r>
        <w:rPr>
          <w:rFonts w:hint="eastAsia" w:ascii="宋体" w:hAnsi="宋体" w:cs="宋体"/>
          <w:b/>
          <w:bCs/>
          <w:color w:val="auto"/>
          <w:szCs w:val="21"/>
        </w:rPr>
        <w:t xml:space="preserve">附件5    </w:t>
      </w:r>
      <w:r>
        <w:rPr>
          <w:rFonts w:hint="eastAsia" w:ascii="宋体" w:hAnsi="宋体" w:cs="宋体"/>
          <w:b/>
          <w:bCs/>
          <w:color w:val="auto"/>
          <w:szCs w:val="21"/>
          <w:highlight w:val="none"/>
        </w:rPr>
        <w:t xml:space="preserve">  磋商文件规定的基本资格条件证明资料</w:t>
      </w:r>
    </w:p>
    <w:p>
      <w:pPr>
        <w:spacing w:line="480" w:lineRule="exact"/>
        <w:rPr>
          <w:rFonts w:ascii="宋体" w:hAnsi="宋体" w:cs="宋体"/>
          <w:color w:val="auto"/>
          <w:szCs w:val="21"/>
          <w:highlight w:val="none"/>
        </w:rPr>
      </w:pPr>
      <w:r>
        <w:rPr>
          <w:rFonts w:hint="eastAsia" w:ascii="宋体" w:hAnsi="宋体" w:cs="宋体"/>
          <w:color w:val="auto"/>
          <w:szCs w:val="21"/>
          <w:highlight w:val="none"/>
        </w:rPr>
        <w:t>备注：</w:t>
      </w:r>
    </w:p>
    <w:p>
      <w:pPr>
        <w:spacing w:line="360" w:lineRule="auto"/>
        <w:ind w:firstLine="420" w:firstLineChars="200"/>
        <w:outlineLvl w:val="0"/>
        <w:rPr>
          <w:rFonts w:ascii="宋体" w:hAnsi="宋体" w:cs="宋体"/>
          <w:color w:val="auto"/>
          <w:szCs w:val="21"/>
        </w:rPr>
      </w:pPr>
      <w:r>
        <w:rPr>
          <w:rFonts w:hint="eastAsia" w:ascii="宋体" w:hAnsi="宋体" w:cs="宋体"/>
          <w:bCs/>
          <w:color w:val="auto"/>
          <w:szCs w:val="21"/>
        </w:rPr>
        <w:t>供应商基本资格条件：</w:t>
      </w:r>
      <w:r>
        <w:rPr>
          <w:rFonts w:hint="eastAsia" w:ascii="宋体" w:hAnsi="宋体" w:cs="宋体"/>
          <w:color w:val="auto"/>
          <w:szCs w:val="21"/>
        </w:rPr>
        <w:t>符合《中华人民共和国政府采购法》第二十二条规定的供应商条件，并提供以下资格证明文件：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)法人提交企业法人营业执照副本(或者法人登记证书)以及组织机构代码证副本复印件；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w:t>
      </w:r>
      <w:r>
        <w:rPr>
          <w:rFonts w:hint="eastAsia" w:ascii="宋体" w:hAnsi="宋体" w:cs="宋体"/>
          <w:color w:val="auto"/>
          <w:szCs w:val="21"/>
        </w:rPr>
        <w:t>法人提交法定代表人身份证明原件或者法定代表人授权委托书原件及提供被授权代表人在投标单位近三个月内任意一个月的社保证明并附法定代表人身份证明原件，自然人提交身份证复印件</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)按《关于政府采购促进中小企业发展若干措施的通知》长财采购[2022]10号文的规定，</w:t>
      </w:r>
      <w:r>
        <w:rPr>
          <w:rFonts w:hint="eastAsia" w:ascii="宋体" w:hAnsi="宋体" w:cs="宋体"/>
          <w:bCs/>
          <w:color w:val="auto"/>
          <w:szCs w:val="21"/>
          <w:lang w:val="en-US" w:eastAsia="zh-CN"/>
        </w:rPr>
        <w:t>供应商</w:t>
      </w:r>
      <w:r>
        <w:rPr>
          <w:rFonts w:hint="eastAsia" w:ascii="宋体" w:hAnsi="宋体" w:eastAsia="宋体" w:cs="宋体"/>
          <w:bCs/>
          <w:color w:val="auto"/>
          <w:szCs w:val="21"/>
        </w:rPr>
        <w:t>按</w:t>
      </w:r>
      <w:r>
        <w:rPr>
          <w:rFonts w:hint="eastAsia" w:ascii="宋体" w:hAnsi="宋体" w:cs="宋体"/>
          <w:bCs/>
          <w:color w:val="auto"/>
          <w:szCs w:val="21"/>
          <w:lang w:val="en-US" w:eastAsia="zh-CN"/>
        </w:rPr>
        <w:t>磋商</w:t>
      </w:r>
      <w:r>
        <w:rPr>
          <w:rFonts w:hint="eastAsia" w:ascii="宋体" w:hAnsi="宋体" w:eastAsia="宋体" w:cs="宋体"/>
          <w:bCs/>
          <w:color w:val="auto"/>
          <w:szCs w:val="21"/>
        </w:rPr>
        <w:t>文件内格式提供《湖南省政府采购供应商资格承诺函》参与投标，无需再提供财务报告、依法缴纳税收和社会保险费的证明材料、参加政府采购活动前3年内在经营活动中没有重大违法记录的书面声明。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）其他说明：</w:t>
      </w:r>
    </w:p>
    <w:p>
      <w:pPr>
        <w:spacing w:line="360" w:lineRule="auto"/>
        <w:ind w:firstLine="420" w:firstLineChars="200"/>
        <w:outlineLvl w:val="0"/>
        <w:rPr>
          <w:rFonts w:hint="eastAsia" w:ascii="宋体" w:hAnsi="宋体" w:eastAsia="宋体" w:cs="宋体"/>
          <w:bCs/>
          <w:color w:val="auto"/>
          <w:szCs w:val="21"/>
        </w:rPr>
      </w:pPr>
      <w:r>
        <w:rPr>
          <w:rFonts w:hint="default" w:ascii="宋体" w:hAnsi="宋体" w:eastAsia="宋体" w:cs="宋体"/>
          <w:bCs/>
          <w:color w:val="auto"/>
          <w:szCs w:val="21"/>
        </w:rPr>
        <w:t>①</w:t>
      </w:r>
      <w:r>
        <w:rPr>
          <w:rFonts w:hint="eastAsia" w:ascii="宋体" w:hAnsi="宋体" w:eastAsia="宋体" w:cs="宋体"/>
          <w:bCs/>
          <w:color w:val="auto"/>
          <w:szCs w:val="21"/>
        </w:rPr>
        <w:t>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②资格证明文件复印件需加盖供应商公章。</w:t>
      </w:r>
    </w:p>
    <w:p>
      <w:pPr>
        <w:spacing w:line="360" w:lineRule="auto"/>
        <w:ind w:firstLine="420" w:firstLineChars="200"/>
        <w:outlineLvl w:val="0"/>
        <w:rPr>
          <w:rFonts w:hint="eastAsia" w:ascii="宋体" w:hAnsi="宋体" w:eastAsia="宋体" w:cs="宋体"/>
          <w:bCs/>
          <w:color w:val="auto"/>
          <w:szCs w:val="21"/>
          <w:lang w:val="en-US" w:eastAsia="zh-CN"/>
        </w:rPr>
      </w:pPr>
      <w:r>
        <w:rPr>
          <w:rFonts w:hint="eastAsia" w:ascii="宋体" w:hAnsi="宋体" w:eastAsia="宋体" w:cs="宋体"/>
          <w:bCs/>
          <w:color w:val="auto"/>
          <w:szCs w:val="21"/>
        </w:rPr>
        <w:t>备注：以上所提的近三个月是指：</w:t>
      </w:r>
      <w:r>
        <w:rPr>
          <w:rFonts w:hint="eastAsia" w:ascii="宋体" w:hAnsi="宋体" w:eastAsia="宋体" w:cs="宋体"/>
          <w:bCs/>
          <w:color w:val="auto"/>
          <w:szCs w:val="21"/>
          <w:lang w:eastAsia="zh-CN"/>
        </w:rPr>
        <w:t>202</w:t>
      </w:r>
      <w:r>
        <w:rPr>
          <w:rFonts w:hint="eastAsia" w:ascii="宋体" w:hAnsi="宋体" w:cs="宋体"/>
          <w:bCs/>
          <w:color w:val="auto"/>
          <w:szCs w:val="21"/>
          <w:lang w:val="en-US" w:eastAsia="zh-CN"/>
        </w:rPr>
        <w:t>4</w:t>
      </w:r>
      <w:r>
        <w:rPr>
          <w:rFonts w:hint="eastAsia" w:ascii="宋体" w:hAnsi="宋体" w:eastAsia="宋体" w:cs="宋体"/>
          <w:bCs/>
          <w:color w:val="auto"/>
          <w:szCs w:val="21"/>
          <w:lang w:eastAsia="zh-CN"/>
        </w:rPr>
        <w:t>年</w:t>
      </w:r>
      <w:r>
        <w:rPr>
          <w:rFonts w:hint="eastAsia" w:ascii="宋体" w:hAnsi="宋体" w:cs="宋体"/>
          <w:bCs/>
          <w:color w:val="auto"/>
          <w:szCs w:val="21"/>
          <w:lang w:val="en-US" w:eastAsia="zh-CN"/>
        </w:rPr>
        <w:t>1</w:t>
      </w:r>
      <w:r>
        <w:rPr>
          <w:rFonts w:hint="eastAsia" w:ascii="宋体" w:hAnsi="宋体" w:eastAsia="宋体" w:cs="宋体"/>
          <w:bCs/>
          <w:color w:val="auto"/>
          <w:szCs w:val="21"/>
          <w:lang w:eastAsia="zh-CN"/>
        </w:rPr>
        <w:t>月至202</w:t>
      </w:r>
      <w:r>
        <w:rPr>
          <w:rFonts w:hint="eastAsia" w:ascii="宋体" w:hAnsi="宋体" w:cs="宋体"/>
          <w:bCs/>
          <w:color w:val="auto"/>
          <w:szCs w:val="21"/>
          <w:lang w:val="en-US" w:eastAsia="zh-CN"/>
        </w:rPr>
        <w:t>4</w:t>
      </w:r>
      <w:r>
        <w:rPr>
          <w:rFonts w:hint="eastAsia" w:ascii="宋体" w:hAnsi="宋体" w:eastAsia="宋体" w:cs="宋体"/>
          <w:bCs/>
          <w:color w:val="auto"/>
          <w:szCs w:val="21"/>
          <w:lang w:eastAsia="zh-CN"/>
        </w:rPr>
        <w:t>年</w:t>
      </w:r>
      <w:r>
        <w:rPr>
          <w:rFonts w:hint="eastAsia" w:ascii="宋体" w:hAnsi="宋体" w:cs="宋体"/>
          <w:bCs/>
          <w:color w:val="auto"/>
          <w:szCs w:val="21"/>
          <w:lang w:val="en-US" w:eastAsia="zh-CN"/>
        </w:rPr>
        <w:t>3</w:t>
      </w:r>
      <w:r>
        <w:rPr>
          <w:rFonts w:hint="eastAsia" w:ascii="宋体" w:hAnsi="宋体" w:eastAsia="宋体" w:cs="宋体"/>
          <w:bCs/>
          <w:color w:val="auto"/>
          <w:szCs w:val="21"/>
          <w:lang w:eastAsia="zh-CN"/>
        </w:rPr>
        <w:t>月</w:t>
      </w:r>
      <w:r>
        <w:rPr>
          <w:rFonts w:hint="eastAsia" w:ascii="宋体" w:hAnsi="宋体" w:eastAsia="宋体" w:cs="宋体"/>
          <w:bCs/>
          <w:color w:val="auto"/>
          <w:szCs w:val="21"/>
        </w:rPr>
        <w:t>。</w:t>
      </w:r>
    </w:p>
    <w:p>
      <w:pPr>
        <w:rPr>
          <w:rStyle w:val="50"/>
          <w:rFonts w:ascii="FZXBSK--GBK1-0" w:hAnsi="FZXBSK--GBK1-0"/>
          <w:b/>
          <w:color w:val="auto"/>
          <w:sz w:val="32"/>
          <w:szCs w:val="32"/>
        </w:rPr>
      </w:pPr>
      <w:r>
        <w:rPr>
          <w:rStyle w:val="50"/>
          <w:rFonts w:ascii="FZXBSK--GBK1-0" w:hAnsi="FZXBSK--GBK1-0"/>
          <w:b/>
          <w:color w:val="auto"/>
          <w:sz w:val="32"/>
          <w:szCs w:val="32"/>
        </w:rPr>
        <w:br w:type="page"/>
      </w:r>
    </w:p>
    <w:p>
      <w:pPr>
        <w:pStyle w:val="305"/>
        <w:jc w:val="center"/>
        <w:rPr>
          <w:rStyle w:val="50"/>
          <w:rFonts w:ascii="FZXBSK--GBK1-0" w:hAnsi="FZXBSK--GBK1-0"/>
          <w:b/>
          <w:color w:val="auto"/>
          <w:sz w:val="32"/>
          <w:szCs w:val="32"/>
        </w:rPr>
      </w:pPr>
      <w:r>
        <w:rPr>
          <w:rStyle w:val="50"/>
          <w:rFonts w:ascii="FZXBSK--GBK1-0" w:hAnsi="FZXBSK--GBK1-0"/>
          <w:b/>
          <w:color w:val="auto"/>
          <w:sz w:val="32"/>
          <w:szCs w:val="32"/>
        </w:rPr>
        <w:t>湖南省政府采购供应商资格承诺函</w:t>
      </w:r>
    </w:p>
    <w:p>
      <w:pPr>
        <w:pStyle w:val="305"/>
        <w:jc w:val="center"/>
        <w:rPr>
          <w:rStyle w:val="50"/>
          <w:rFonts w:ascii="FZXBSK--GBK1-0" w:hAnsi="FZXBSK--GBK1-0"/>
          <w:b/>
          <w:color w:val="auto"/>
          <w:sz w:val="32"/>
          <w:szCs w:val="32"/>
        </w:rPr>
      </w:pPr>
    </w:p>
    <w:p>
      <w:pPr>
        <w:pStyle w:val="305"/>
        <w:ind w:firstLine="560" w:firstLineChars="200"/>
        <w:jc w:val="left"/>
        <w:rPr>
          <w:rStyle w:val="50"/>
          <w:rFonts w:ascii="仿宋_GB2312" w:hAnsi="Times New Roman" w:eastAsia="仿宋_GB2312"/>
          <w:color w:val="auto"/>
          <w:sz w:val="28"/>
          <w:szCs w:val="28"/>
        </w:rPr>
      </w:pPr>
      <w:r>
        <w:rPr>
          <w:rStyle w:val="50"/>
          <w:rFonts w:ascii="仿宋_GB2312" w:hAnsi="Times New Roman" w:eastAsia="仿宋_GB2312"/>
          <w:color w:val="auto"/>
          <w:sz w:val="28"/>
          <w:szCs w:val="28"/>
        </w:rPr>
        <w:t>本</w:t>
      </w:r>
      <w:r>
        <w:rPr>
          <w:rStyle w:val="50"/>
          <w:rFonts w:hint="eastAsia" w:ascii="仿宋_GB2312" w:hAnsi="Times New Roman" w:eastAsia="仿宋_GB2312"/>
          <w:color w:val="auto"/>
          <w:sz w:val="28"/>
          <w:szCs w:val="28"/>
        </w:rPr>
        <w:t>公司（本单位）独立承担民事责任、具有良好的商业信誉和健全的财务会计制度、依法缴纳税收和社会保障资金,在前三年的经营活动中无重大违法记录,未列入严重失信行为名单,符合政府采购供应商的基本资格要求。</w:t>
      </w:r>
    </w:p>
    <w:p>
      <w:pPr>
        <w:pStyle w:val="305"/>
        <w:ind w:firstLine="560" w:firstLineChars="200"/>
        <w:jc w:val="left"/>
        <w:rPr>
          <w:rStyle w:val="50"/>
          <w:rFonts w:ascii="仿宋_GB2312" w:hAnsi="Times New Roman" w:eastAsia="仿宋_GB2312"/>
          <w:color w:val="auto"/>
          <w:sz w:val="28"/>
          <w:szCs w:val="28"/>
        </w:rPr>
      </w:pPr>
      <w:r>
        <w:rPr>
          <w:rStyle w:val="50"/>
          <w:rFonts w:hint="eastAsia" w:ascii="仿宋_GB2312" w:hAnsi="Times New Roman" w:eastAsia="仿宋_GB2312"/>
          <w:color w:val="auto"/>
          <w:sz w:val="28"/>
          <w:szCs w:val="28"/>
        </w:rPr>
        <w:t>按照《政府采购促进中小企业发展管理办法》(财库〔2020〕46号),本公司企业规模为: 大型□  中型□  小型□  微型□。（非公司性质单位无需勾选）</w:t>
      </w:r>
    </w:p>
    <w:p>
      <w:pPr>
        <w:pStyle w:val="305"/>
        <w:ind w:firstLine="560" w:firstLineChars="200"/>
        <w:jc w:val="right"/>
        <w:rPr>
          <w:rStyle w:val="50"/>
          <w:rFonts w:ascii="仿宋_GB2312" w:hAnsi="Times New Roman" w:eastAsia="仿宋_GB2312"/>
          <w:color w:val="auto"/>
          <w:sz w:val="28"/>
          <w:szCs w:val="28"/>
        </w:rPr>
      </w:pPr>
      <w:r>
        <w:rPr>
          <w:rStyle w:val="50"/>
          <w:rFonts w:ascii="仿宋_GB2312" w:hAnsi="Times New Roman" w:eastAsia="仿宋_GB2312"/>
          <w:color w:val="auto"/>
          <w:sz w:val="28"/>
          <w:szCs w:val="28"/>
        </w:rPr>
        <w:t>公司（单位）名称</w:t>
      </w:r>
      <w:r>
        <w:rPr>
          <w:rStyle w:val="50"/>
          <w:rFonts w:hint="eastAsia" w:ascii="仿宋_GB2312" w:hAnsi="Times New Roman" w:eastAsia="仿宋_GB2312"/>
          <w:color w:val="auto"/>
          <w:sz w:val="28"/>
          <w:szCs w:val="28"/>
        </w:rPr>
        <w:t>：</w:t>
      </w:r>
      <w:r>
        <w:rPr>
          <w:rStyle w:val="50"/>
          <w:rFonts w:ascii="仿宋_GB2312" w:hAnsi="Times New Roman" w:eastAsia="仿宋_GB2312"/>
          <w:color w:val="auto"/>
          <w:sz w:val="28"/>
          <w:szCs w:val="28"/>
        </w:rPr>
        <w:t>（盖章）</w:t>
      </w:r>
    </w:p>
    <w:p>
      <w:pPr>
        <w:pStyle w:val="305"/>
        <w:adjustRightInd w:val="0"/>
        <w:snapToGrid w:val="0"/>
        <w:spacing w:line="360" w:lineRule="auto"/>
        <w:jc w:val="right"/>
        <w:rPr>
          <w:rStyle w:val="50"/>
          <w:rFonts w:ascii="黑体" w:hAnsi="宋体" w:eastAsia="黑体"/>
          <w:b/>
          <w:bCs/>
          <w:color w:val="auto"/>
          <w:sz w:val="28"/>
          <w:szCs w:val="28"/>
        </w:rPr>
      </w:pPr>
      <w:r>
        <w:rPr>
          <w:rStyle w:val="50"/>
          <w:rFonts w:ascii="仿宋_GB2312" w:hAnsi="Times New Roman" w:eastAsia="仿宋_GB2312"/>
          <w:color w:val="auto"/>
          <w:sz w:val="28"/>
          <w:szCs w:val="28"/>
        </w:rPr>
        <w:t xml:space="preserve">年 </w:t>
      </w:r>
      <w:r>
        <w:rPr>
          <w:rStyle w:val="50"/>
          <w:rFonts w:hint="eastAsia" w:ascii="仿宋_GB2312" w:hAnsi="Times New Roman" w:eastAsia="仿宋_GB2312"/>
          <w:color w:val="auto"/>
          <w:sz w:val="28"/>
          <w:szCs w:val="28"/>
        </w:rPr>
        <w:t xml:space="preserve">  </w:t>
      </w:r>
      <w:r>
        <w:rPr>
          <w:rStyle w:val="50"/>
          <w:rFonts w:ascii="仿宋_GB2312" w:hAnsi="Times New Roman" w:eastAsia="仿宋_GB2312"/>
          <w:color w:val="auto"/>
          <w:sz w:val="28"/>
          <w:szCs w:val="28"/>
        </w:rPr>
        <w:t xml:space="preserve">月 </w:t>
      </w:r>
      <w:r>
        <w:rPr>
          <w:rStyle w:val="50"/>
          <w:rFonts w:hint="eastAsia" w:ascii="仿宋_GB2312" w:hAnsi="Times New Roman" w:eastAsia="仿宋_GB2312"/>
          <w:color w:val="auto"/>
          <w:sz w:val="28"/>
          <w:szCs w:val="28"/>
        </w:rPr>
        <w:t xml:space="preserve">  </w:t>
      </w:r>
      <w:r>
        <w:rPr>
          <w:rStyle w:val="50"/>
          <w:rFonts w:ascii="仿宋_GB2312" w:hAnsi="Times New Roman" w:eastAsia="仿宋_GB2312"/>
          <w:color w:val="auto"/>
          <w:sz w:val="28"/>
          <w:szCs w:val="28"/>
        </w:rPr>
        <w:t>日</w:t>
      </w:r>
    </w:p>
    <w:p>
      <w:pPr>
        <w:spacing w:line="480" w:lineRule="exact"/>
        <w:rPr>
          <w:rFonts w:ascii="宋体" w:hAnsi="宋体" w:cs="宋体"/>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jc w:val="center"/>
        <w:rPr>
          <w:rFonts w:ascii="宋体" w:hAnsi="宋体" w:cs="宋体"/>
          <w:b/>
          <w:color w:val="auto"/>
          <w:szCs w:val="21"/>
        </w:rPr>
      </w:pPr>
    </w:p>
    <w:p>
      <w:pPr>
        <w:rPr>
          <w:rFonts w:ascii="宋体" w:hAnsi="宋体" w:cs="宋体"/>
          <w:color w:val="auto"/>
          <w:szCs w:val="21"/>
        </w:rPr>
      </w:pPr>
    </w:p>
    <w:p>
      <w:pPr>
        <w:spacing w:line="480" w:lineRule="exact"/>
        <w:rPr>
          <w:rFonts w:ascii="宋体" w:hAnsi="宋体" w:cs="宋体"/>
          <w:color w:val="auto"/>
          <w:szCs w:val="21"/>
        </w:rPr>
      </w:pPr>
    </w:p>
    <w:p>
      <w:pPr>
        <w:pStyle w:val="2"/>
      </w:pPr>
    </w:p>
    <w:p>
      <w:pPr>
        <w:adjustRightInd w:val="0"/>
        <w:snapToGrid w:val="0"/>
        <w:spacing w:line="360" w:lineRule="auto"/>
        <w:rPr>
          <w:rFonts w:ascii="宋体" w:hAnsi="宋体" w:cs="宋体"/>
          <w:bCs/>
          <w:color w:val="auto"/>
          <w:szCs w:val="21"/>
        </w:rPr>
      </w:pPr>
    </w:p>
    <w:p>
      <w:pPr>
        <w:rPr>
          <w:rFonts w:hint="eastAsia" w:ascii="宋体" w:hAnsi="宋体" w:cs="宋体"/>
          <w:b/>
          <w:color w:val="auto"/>
          <w:szCs w:val="21"/>
          <w:lang w:val="en-US" w:eastAsia="zh-CN"/>
        </w:rPr>
      </w:pPr>
      <w:r>
        <w:rPr>
          <w:rFonts w:hint="eastAsia" w:ascii="宋体" w:hAnsi="宋体" w:cs="宋体"/>
          <w:b/>
          <w:color w:val="auto"/>
          <w:szCs w:val="21"/>
        </w:rPr>
        <w:t>附件</w:t>
      </w:r>
      <w:r>
        <w:rPr>
          <w:rFonts w:hint="eastAsia" w:ascii="宋体" w:hAnsi="宋体" w:cs="宋体"/>
          <w:b/>
          <w:color w:val="auto"/>
          <w:szCs w:val="21"/>
          <w:lang w:val="en-US" w:eastAsia="zh-CN"/>
        </w:rPr>
        <w:t>6</w:t>
      </w:r>
      <w:r>
        <w:rPr>
          <w:rFonts w:hint="eastAsia" w:ascii="宋体" w:hAnsi="宋体" w:cs="宋体"/>
          <w:b/>
          <w:color w:val="auto"/>
          <w:szCs w:val="21"/>
        </w:rPr>
        <w:t xml:space="preserve">  </w:t>
      </w:r>
      <w:r>
        <w:rPr>
          <w:rFonts w:hint="eastAsia" w:ascii="宋体" w:hAnsi="宋体" w:cs="宋体"/>
          <w:b/>
          <w:color w:val="auto"/>
          <w:szCs w:val="21"/>
          <w:lang w:val="en-US" w:eastAsia="zh-CN"/>
        </w:rPr>
        <w:t>供应商特定资格证明资料</w:t>
      </w:r>
    </w:p>
    <w:p>
      <w:pPr>
        <w:pStyle w:val="35"/>
        <w:rPr>
          <w:rFonts w:hint="eastAsia" w:ascii="宋体" w:hAnsi="宋体" w:cs="宋体"/>
          <w:b/>
          <w:color w:val="auto"/>
          <w:szCs w:val="21"/>
          <w:lang w:val="en-US" w:eastAsia="zh-CN"/>
        </w:rPr>
      </w:pPr>
    </w:p>
    <w:p>
      <w:pPr>
        <w:pStyle w:val="35"/>
        <w:rPr>
          <w:rFonts w:hint="default" w:ascii="宋体" w:hAnsi="宋体" w:cs="宋体"/>
          <w:b/>
          <w:color w:val="auto"/>
          <w:szCs w:val="21"/>
          <w:lang w:val="en-US" w:eastAsia="zh-CN"/>
        </w:rPr>
      </w:pPr>
    </w:p>
    <w:p>
      <w:pPr>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pStyle w:val="35"/>
        <w:rPr>
          <w:rFonts w:hint="eastAsia"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t>附件</w:t>
      </w:r>
      <w:r>
        <w:rPr>
          <w:rFonts w:hint="eastAsia" w:ascii="宋体" w:hAnsi="宋体" w:cs="宋体"/>
          <w:b/>
          <w:color w:val="auto"/>
          <w:szCs w:val="21"/>
          <w:lang w:val="en-US" w:eastAsia="zh-CN"/>
        </w:rPr>
        <w:t>7</w:t>
      </w:r>
      <w:r>
        <w:rPr>
          <w:rFonts w:hint="eastAsia" w:ascii="宋体" w:hAnsi="宋体" w:cs="宋体"/>
          <w:b/>
          <w:color w:val="auto"/>
          <w:szCs w:val="21"/>
        </w:rPr>
        <w:t xml:space="preserve">           </w:t>
      </w:r>
    </w:p>
    <w:p>
      <w:pPr>
        <w:adjustRightInd w:val="0"/>
        <w:snapToGrid w:val="0"/>
        <w:spacing w:line="360" w:lineRule="auto"/>
        <w:jc w:val="center"/>
        <w:rPr>
          <w:rFonts w:ascii="宋体" w:hAnsi="宋体" w:cs="宋体"/>
          <w:b/>
          <w:color w:val="auto"/>
          <w:szCs w:val="21"/>
        </w:rPr>
      </w:pPr>
      <w:r>
        <w:rPr>
          <w:rFonts w:hint="eastAsia" w:ascii="宋体" w:hAnsi="宋体" w:cs="宋体"/>
          <w:b/>
          <w:color w:val="auto"/>
          <w:szCs w:val="21"/>
        </w:rPr>
        <w:t>其他证明资料或说明</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提供磋商文件或评分标准需要提供的相关证明文件复印件</w:t>
      </w: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pStyle w:val="65"/>
        <w:rPr>
          <w:rFonts w:ascii="宋体" w:hAnsi="宋体" w:eastAsia="宋体" w:cs="宋体"/>
          <w:color w:val="auto"/>
          <w:sz w:val="21"/>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pStyle w:val="65"/>
        <w:rPr>
          <w:rFonts w:ascii="宋体" w:hAnsi="宋体" w:eastAsia="宋体" w:cs="宋体"/>
          <w:b/>
          <w:color w:val="auto"/>
          <w:sz w:val="21"/>
          <w:szCs w:val="21"/>
        </w:rPr>
      </w:pPr>
    </w:p>
    <w:p>
      <w:pPr>
        <w:pStyle w:val="65"/>
        <w:rPr>
          <w:rFonts w:ascii="宋体" w:hAnsi="宋体" w:eastAsia="宋体" w:cs="宋体"/>
          <w:b/>
          <w:color w:val="auto"/>
          <w:sz w:val="21"/>
          <w:szCs w:val="21"/>
        </w:rPr>
      </w:pPr>
    </w:p>
    <w:p>
      <w:pPr>
        <w:rPr>
          <w:rFonts w:ascii="宋体" w:hAnsi="宋体" w:cs="宋体"/>
          <w:b/>
          <w:color w:val="auto"/>
          <w:szCs w:val="21"/>
        </w:rPr>
      </w:pPr>
      <w:r>
        <w:rPr>
          <w:rFonts w:hint="eastAsia" w:ascii="宋体" w:hAnsi="宋体" w:cs="宋体"/>
          <w:b/>
          <w:color w:val="auto"/>
          <w:szCs w:val="21"/>
        </w:rPr>
        <w:br w:type="page"/>
      </w:r>
    </w:p>
    <w:p>
      <w:pPr>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t>三、</w:t>
      </w:r>
      <w:r>
        <w:rPr>
          <w:rFonts w:hint="eastAsia" w:ascii="宋体" w:hAnsi="宋体" w:cs="宋体"/>
          <w:b/>
          <w:color w:val="auto"/>
          <w:sz w:val="32"/>
          <w:szCs w:val="32"/>
          <w:lang w:val="en-US" w:eastAsia="zh-CN"/>
        </w:rPr>
        <w:t>技术</w:t>
      </w:r>
      <w:r>
        <w:rPr>
          <w:rFonts w:hint="eastAsia" w:ascii="宋体" w:hAnsi="宋体" w:cs="宋体"/>
          <w:b/>
          <w:color w:val="auto"/>
          <w:sz w:val="32"/>
          <w:szCs w:val="32"/>
        </w:rPr>
        <w:t>方案</w:t>
      </w:r>
    </w:p>
    <w:p>
      <w:pPr>
        <w:rPr>
          <w:rFonts w:hint="eastAsia" w:ascii="宋体" w:hAnsi="宋体" w:cs="宋体"/>
          <w:b/>
          <w:color w:val="auto"/>
          <w:szCs w:val="21"/>
        </w:rPr>
      </w:pPr>
      <w:r>
        <w:rPr>
          <w:rFonts w:hint="eastAsia" w:ascii="宋体" w:hAnsi="宋体" w:cs="宋体"/>
          <w:b/>
          <w:color w:val="auto"/>
          <w:szCs w:val="21"/>
        </w:rPr>
        <w:t>附件</w:t>
      </w:r>
      <w:r>
        <w:rPr>
          <w:rFonts w:hint="eastAsia" w:ascii="宋体" w:hAnsi="宋体" w:cs="宋体"/>
          <w:b/>
          <w:color w:val="auto"/>
          <w:szCs w:val="21"/>
          <w:lang w:val="en-US" w:eastAsia="zh-CN"/>
        </w:rPr>
        <w:t>8</w:t>
      </w:r>
      <w:r>
        <w:rPr>
          <w:rFonts w:hint="eastAsia" w:ascii="宋体" w:hAnsi="宋体" w:cs="宋体"/>
          <w:b/>
          <w:color w:val="auto"/>
          <w:szCs w:val="21"/>
        </w:rPr>
        <w:t xml:space="preserve"> </w:t>
      </w:r>
      <w:r>
        <w:rPr>
          <w:rFonts w:hint="eastAsia" w:ascii="宋体" w:hAnsi="宋体" w:cs="宋体"/>
          <w:b/>
          <w:color w:val="auto"/>
          <w:szCs w:val="21"/>
          <w:lang w:val="en-US" w:eastAsia="zh-CN"/>
        </w:rPr>
        <w:t>技术</w:t>
      </w:r>
      <w:r>
        <w:rPr>
          <w:rFonts w:hint="eastAsia" w:ascii="宋体" w:hAnsi="宋体" w:cs="宋体"/>
          <w:b/>
          <w:color w:val="auto"/>
          <w:szCs w:val="21"/>
        </w:rPr>
        <w:t>方案说明</w:t>
      </w:r>
    </w:p>
    <w:p>
      <w:pPr>
        <w:pStyle w:val="46"/>
        <w:spacing w:after="0" w:line="360" w:lineRule="auto"/>
        <w:rPr>
          <w:rFonts w:ascii="宋体" w:hAnsi="宋体" w:cs="宋体"/>
          <w:color w:val="auto"/>
          <w:szCs w:val="21"/>
        </w:rPr>
      </w:pP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供应商应根据第四章规定和本项目评标标准要求编写项目服务方案。</w:t>
      </w:r>
      <w:r>
        <w:rPr>
          <w:rFonts w:hint="eastAsia" w:ascii="宋体" w:hAnsi="宋体" w:cs="宋体"/>
          <w:bCs/>
          <w:color w:val="auto"/>
          <w:szCs w:val="21"/>
          <w:lang w:val="en-US" w:eastAsia="zh-CN"/>
        </w:rPr>
        <w:t>技术</w:t>
      </w:r>
      <w:r>
        <w:rPr>
          <w:rFonts w:hint="eastAsia" w:ascii="宋体" w:hAnsi="宋体" w:cs="宋体"/>
          <w:bCs/>
          <w:color w:val="auto"/>
          <w:szCs w:val="21"/>
        </w:rPr>
        <w:t>方案应包括：（1）整体服务方案；(2)</w:t>
      </w:r>
      <w:r>
        <w:rPr>
          <w:rFonts w:hint="eastAsia" w:ascii="宋体" w:hAnsi="宋体" w:eastAsia="宋体" w:cs="宋体"/>
          <w:snapToGrid/>
          <w:color w:val="auto"/>
          <w:kern w:val="0"/>
          <w:sz w:val="21"/>
          <w:szCs w:val="24"/>
          <w:lang w:val="en-US" w:eastAsia="zh-CN" w:bidi="ar-SA"/>
        </w:rPr>
        <w:t>销售策略</w:t>
      </w:r>
      <w:r>
        <w:rPr>
          <w:rFonts w:hint="eastAsia" w:ascii="宋体" w:hAnsi="宋体" w:cs="宋体"/>
          <w:bCs/>
          <w:color w:val="auto"/>
          <w:szCs w:val="21"/>
        </w:rPr>
        <w:t>；(</w:t>
      </w:r>
      <w:r>
        <w:rPr>
          <w:rFonts w:hint="eastAsia" w:ascii="宋体" w:hAnsi="宋体" w:cs="宋体"/>
          <w:bCs/>
          <w:color w:val="auto"/>
          <w:szCs w:val="21"/>
          <w:lang w:val="en-US" w:eastAsia="zh-CN"/>
        </w:rPr>
        <w:t>3</w:t>
      </w:r>
      <w:r>
        <w:rPr>
          <w:rFonts w:hint="eastAsia" w:ascii="宋体" w:hAnsi="宋体" w:cs="宋体"/>
          <w:bCs/>
          <w:color w:val="auto"/>
          <w:szCs w:val="21"/>
        </w:rPr>
        <w:t>)</w:t>
      </w:r>
      <w:r>
        <w:rPr>
          <w:rFonts w:hint="eastAsia" w:ascii="宋体" w:hAnsi="宋体" w:eastAsia="宋体" w:cs="宋体"/>
          <w:snapToGrid/>
          <w:color w:val="auto"/>
          <w:kern w:val="0"/>
          <w:sz w:val="21"/>
          <w:szCs w:val="24"/>
          <w:lang w:val="en-US" w:eastAsia="zh-CN" w:bidi="ar-SA"/>
        </w:rPr>
        <w:t>售后服务及存续期管理服务方案</w:t>
      </w:r>
      <w:r>
        <w:rPr>
          <w:rFonts w:hint="eastAsia" w:ascii="宋体" w:hAnsi="宋体" w:cs="宋体"/>
          <w:bCs/>
          <w:color w:val="auto"/>
          <w:szCs w:val="21"/>
        </w:rPr>
        <w:t>。</w:t>
      </w:r>
    </w:p>
    <w:p>
      <w:pPr>
        <w:pStyle w:val="65"/>
        <w:spacing w:line="360" w:lineRule="auto"/>
        <w:rPr>
          <w:rFonts w:ascii="宋体" w:hAnsi="宋体" w:eastAsia="宋体" w:cs="宋体"/>
          <w:bCs/>
          <w:color w:val="auto"/>
          <w:sz w:val="21"/>
          <w:szCs w:val="21"/>
        </w:rPr>
      </w:pPr>
    </w:p>
    <w:p>
      <w:pPr>
        <w:pStyle w:val="65"/>
        <w:spacing w:line="360" w:lineRule="auto"/>
        <w:rPr>
          <w:rFonts w:ascii="宋体" w:hAnsi="宋体" w:eastAsia="宋体" w:cs="宋体"/>
          <w:bCs/>
          <w:color w:val="auto"/>
          <w:sz w:val="21"/>
          <w:szCs w:val="21"/>
        </w:rPr>
      </w:pPr>
    </w:p>
    <w:p>
      <w:pPr>
        <w:pStyle w:val="65"/>
        <w:spacing w:line="360" w:lineRule="auto"/>
        <w:rPr>
          <w:rFonts w:ascii="宋体" w:hAnsi="宋体" w:eastAsia="宋体" w:cs="宋体"/>
          <w:bCs/>
          <w:color w:val="auto"/>
          <w:sz w:val="21"/>
          <w:szCs w:val="21"/>
        </w:rPr>
      </w:pPr>
    </w:p>
    <w:p>
      <w:pPr>
        <w:pStyle w:val="65"/>
        <w:spacing w:line="360" w:lineRule="auto"/>
        <w:rPr>
          <w:rFonts w:ascii="宋体" w:hAnsi="宋体" w:eastAsia="宋体" w:cs="宋体"/>
          <w:bCs/>
          <w:color w:val="auto"/>
          <w:sz w:val="21"/>
          <w:szCs w:val="21"/>
        </w:rPr>
      </w:pPr>
    </w:p>
    <w:p>
      <w:pPr>
        <w:pStyle w:val="65"/>
        <w:spacing w:line="360" w:lineRule="auto"/>
        <w:rPr>
          <w:rFonts w:ascii="宋体" w:hAnsi="宋体" w:eastAsia="宋体" w:cs="宋体"/>
          <w:bCs/>
          <w:color w:val="auto"/>
          <w:sz w:val="21"/>
          <w:szCs w:val="21"/>
        </w:rPr>
      </w:pP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rPr>
          <w:rFonts w:ascii="宋体" w:hAnsi="宋体" w:cs="宋体"/>
          <w:color w:val="auto"/>
          <w:szCs w:val="21"/>
        </w:rPr>
      </w:pPr>
      <w:r>
        <w:rPr>
          <w:rFonts w:hint="eastAsia" w:ascii="宋体" w:hAnsi="宋体" w:cs="宋体"/>
          <w:color w:val="auto"/>
          <w:szCs w:val="21"/>
        </w:rPr>
        <w:br w:type="page"/>
      </w:r>
    </w:p>
    <w:p>
      <w:pPr>
        <w:adjustRightInd w:val="0"/>
        <w:snapToGrid w:val="0"/>
        <w:jc w:val="center"/>
        <w:rPr>
          <w:rFonts w:hint="default" w:ascii="宋体" w:hAnsi="宋体" w:cs="宋体"/>
          <w:color w:val="auto"/>
          <w:szCs w:val="21"/>
          <w:lang w:val="en-US"/>
        </w:rPr>
      </w:pPr>
      <w:r>
        <w:rPr>
          <w:rFonts w:hint="eastAsia" w:ascii="宋体" w:hAnsi="宋体" w:cs="宋体"/>
          <w:b/>
          <w:color w:val="auto"/>
          <w:sz w:val="32"/>
          <w:szCs w:val="32"/>
          <w:lang w:val="en-US" w:eastAsia="zh-CN"/>
        </w:rPr>
        <w:t>四</w:t>
      </w:r>
      <w:r>
        <w:rPr>
          <w:rFonts w:hint="eastAsia" w:ascii="宋体" w:hAnsi="宋体" w:cs="宋体"/>
          <w:b/>
          <w:color w:val="auto"/>
          <w:sz w:val="32"/>
          <w:szCs w:val="32"/>
        </w:rPr>
        <w:t>、</w:t>
      </w:r>
      <w:r>
        <w:rPr>
          <w:rFonts w:hint="eastAsia" w:ascii="宋体" w:hAnsi="宋体" w:cs="宋体"/>
          <w:b/>
          <w:color w:val="auto"/>
          <w:sz w:val="32"/>
          <w:szCs w:val="32"/>
          <w:lang w:val="en-US" w:eastAsia="zh-CN"/>
        </w:rPr>
        <w:t>拟投入的服务团队</w:t>
      </w:r>
    </w:p>
    <w:p>
      <w:pPr>
        <w:adjustRightInd w:val="0"/>
        <w:snapToGrid w:val="0"/>
        <w:rPr>
          <w:rFonts w:hint="eastAsia" w:ascii="宋体" w:hAnsi="宋体" w:cs="宋体"/>
          <w:b/>
          <w:bCs/>
          <w:color w:val="auto"/>
          <w:szCs w:val="21"/>
        </w:rPr>
      </w:pPr>
    </w:p>
    <w:p>
      <w:pPr>
        <w:adjustRightInd w:val="0"/>
        <w:snapToGrid w:val="0"/>
        <w:rPr>
          <w:rFonts w:ascii="宋体" w:hAnsi="宋体" w:cs="宋体"/>
          <w:b/>
          <w:bCs/>
          <w:color w:val="auto"/>
          <w:szCs w:val="21"/>
        </w:rPr>
      </w:pPr>
      <w:r>
        <w:rPr>
          <w:rFonts w:hint="eastAsia" w:ascii="宋体" w:hAnsi="宋体" w:cs="宋体"/>
          <w:b/>
          <w:bCs/>
          <w:color w:val="auto"/>
          <w:szCs w:val="21"/>
        </w:rPr>
        <w:t>附件</w:t>
      </w:r>
      <w:r>
        <w:rPr>
          <w:rFonts w:hint="eastAsia" w:ascii="宋体" w:hAnsi="宋体" w:cs="宋体"/>
          <w:b/>
          <w:bCs/>
          <w:color w:val="auto"/>
          <w:szCs w:val="21"/>
          <w:lang w:val="en-US" w:eastAsia="zh-CN"/>
        </w:rPr>
        <w:t>9</w:t>
      </w:r>
      <w:r>
        <w:rPr>
          <w:rFonts w:hint="eastAsia" w:ascii="宋体" w:hAnsi="宋体" w:cs="宋体"/>
          <w:b/>
          <w:bCs/>
          <w:color w:val="auto"/>
          <w:szCs w:val="21"/>
        </w:rPr>
        <w:t>-</w:t>
      </w:r>
      <w:r>
        <w:rPr>
          <w:rFonts w:hint="eastAsia" w:ascii="宋体" w:hAnsi="宋体" w:cs="宋体"/>
          <w:b/>
          <w:bCs/>
          <w:color w:val="auto"/>
          <w:szCs w:val="21"/>
          <w:lang w:val="en-US" w:eastAsia="zh-CN"/>
        </w:rPr>
        <w:t>1</w:t>
      </w:r>
      <w:r>
        <w:rPr>
          <w:rFonts w:hint="eastAsia" w:ascii="宋体" w:hAnsi="宋体" w:cs="宋体"/>
          <w:b/>
          <w:bCs/>
          <w:color w:val="auto"/>
          <w:szCs w:val="21"/>
        </w:rPr>
        <w:t>：</w:t>
      </w:r>
    </w:p>
    <w:tbl>
      <w:tblPr>
        <w:tblStyle w:val="47"/>
        <w:tblW w:w="9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490"/>
        <w:gridCol w:w="905"/>
        <w:gridCol w:w="1085"/>
        <w:gridCol w:w="1085"/>
        <w:gridCol w:w="1246"/>
        <w:gridCol w:w="924"/>
        <w:gridCol w:w="108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pStyle w:val="312"/>
              <w:spacing w:line="460" w:lineRule="exact"/>
              <w:jc w:val="center"/>
              <w:rPr>
                <w:rFonts w:ascii="宋体" w:hAnsi="宋体" w:cs="宋体"/>
                <w:color w:val="000000"/>
                <w:szCs w:val="21"/>
              </w:rPr>
            </w:pPr>
            <w:r>
              <w:rPr>
                <w:rFonts w:hint="eastAsia" w:ascii="宋体" w:hAnsi="宋体" w:cs="宋体"/>
                <w:color w:val="000000"/>
                <w:szCs w:val="21"/>
              </w:rPr>
              <w:t>序号</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pStyle w:val="312"/>
              <w:spacing w:line="460" w:lineRule="exact"/>
              <w:jc w:val="center"/>
              <w:rPr>
                <w:rFonts w:ascii="宋体" w:hAnsi="宋体" w:cs="宋体"/>
                <w:color w:val="000000"/>
                <w:szCs w:val="21"/>
              </w:rPr>
            </w:pPr>
            <w:r>
              <w:rPr>
                <w:rFonts w:hint="eastAsia" w:ascii="宋体" w:hAnsi="宋体" w:cs="宋体"/>
                <w:color w:val="000000"/>
                <w:szCs w:val="21"/>
              </w:rPr>
              <w:t>本项目任职</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pStyle w:val="312"/>
              <w:spacing w:line="460" w:lineRule="exact"/>
              <w:jc w:val="center"/>
              <w:rPr>
                <w:rFonts w:ascii="宋体" w:hAnsi="宋体" w:cs="宋体"/>
                <w:color w:val="000000"/>
                <w:szCs w:val="21"/>
              </w:rPr>
            </w:pPr>
            <w:r>
              <w:rPr>
                <w:rFonts w:hint="eastAsia" w:ascii="宋体" w:hAnsi="宋体" w:cs="宋体"/>
                <w:color w:val="000000"/>
                <w:szCs w:val="21"/>
              </w:rPr>
              <w:t>姓名</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pStyle w:val="312"/>
              <w:spacing w:line="460" w:lineRule="exact"/>
              <w:jc w:val="center"/>
              <w:rPr>
                <w:rFonts w:ascii="宋体" w:hAnsi="宋体" w:cs="宋体"/>
                <w:color w:val="000000"/>
                <w:szCs w:val="21"/>
              </w:rPr>
            </w:pPr>
            <w:r>
              <w:rPr>
                <w:rFonts w:hint="eastAsia" w:ascii="宋体" w:hAnsi="宋体" w:cs="宋体"/>
                <w:color w:val="000000"/>
                <w:szCs w:val="21"/>
              </w:rPr>
              <w:t>职称</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pStyle w:val="312"/>
              <w:spacing w:line="460" w:lineRule="exact"/>
              <w:jc w:val="center"/>
              <w:rPr>
                <w:rFonts w:ascii="宋体" w:hAnsi="宋体" w:cs="宋体"/>
                <w:color w:val="000000"/>
                <w:szCs w:val="21"/>
              </w:rPr>
            </w:pPr>
            <w:r>
              <w:rPr>
                <w:rFonts w:hint="eastAsia" w:ascii="宋体" w:hAnsi="宋体" w:cs="宋体"/>
                <w:color w:val="000000"/>
                <w:szCs w:val="21"/>
              </w:rPr>
              <w:t>专业</w:t>
            </w:r>
          </w:p>
        </w:tc>
        <w:tc>
          <w:tcPr>
            <w:tcW w:w="3096" w:type="dxa"/>
            <w:gridSpan w:val="3"/>
            <w:tcBorders>
              <w:top w:val="single" w:color="auto" w:sz="4" w:space="0"/>
              <w:left w:val="single" w:color="auto" w:sz="4" w:space="0"/>
              <w:bottom w:val="single" w:color="auto" w:sz="4" w:space="0"/>
              <w:right w:val="single" w:color="auto" w:sz="4" w:space="0"/>
            </w:tcBorders>
            <w:vAlign w:val="center"/>
          </w:tcPr>
          <w:p>
            <w:pPr>
              <w:pStyle w:val="312"/>
              <w:spacing w:line="460" w:lineRule="exact"/>
              <w:jc w:val="center"/>
              <w:rPr>
                <w:rFonts w:ascii="宋体" w:hAnsi="宋体" w:cs="宋体"/>
                <w:color w:val="000000"/>
                <w:szCs w:val="21"/>
              </w:rPr>
            </w:pPr>
            <w:r>
              <w:rPr>
                <w:rFonts w:hint="eastAsia" w:ascii="宋体" w:hAnsi="宋体" w:cs="宋体"/>
                <w:color w:val="000000"/>
                <w:szCs w:val="21"/>
              </w:rPr>
              <w:t>执业或职业资格证明</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pStyle w:val="312"/>
              <w:spacing w:line="46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pStyle w:val="312"/>
              <w:widowControl/>
              <w:jc w:val="left"/>
              <w:rPr>
                <w:rFonts w:ascii="宋体" w:hAnsi="宋体" w:cs="宋体"/>
                <w:color w:val="000000"/>
                <w:szCs w:val="21"/>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pStyle w:val="312"/>
              <w:widowControl/>
              <w:jc w:val="left"/>
              <w:rPr>
                <w:rFonts w:ascii="宋体" w:hAnsi="宋体" w:cs="宋体"/>
                <w:color w:val="000000"/>
                <w:szCs w:val="21"/>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pStyle w:val="312"/>
              <w:widowControl/>
              <w:jc w:val="left"/>
              <w:rPr>
                <w:rFonts w:ascii="宋体" w:hAnsi="宋体" w:cs="宋体"/>
                <w:color w:val="000000"/>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pStyle w:val="312"/>
              <w:widowControl/>
              <w:jc w:val="left"/>
              <w:rPr>
                <w:rFonts w:ascii="宋体" w:hAnsi="宋体" w:cs="宋体"/>
                <w:color w:val="000000"/>
                <w:szCs w:val="21"/>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pStyle w:val="312"/>
              <w:widowControl/>
              <w:jc w:val="left"/>
              <w:rPr>
                <w:rFonts w:ascii="宋体" w:hAnsi="宋体" w:cs="宋体"/>
                <w:color w:val="000000"/>
                <w:szCs w:val="21"/>
              </w:rPr>
            </w:pPr>
          </w:p>
        </w:tc>
        <w:tc>
          <w:tcPr>
            <w:tcW w:w="1185" w:type="dxa"/>
            <w:tcBorders>
              <w:top w:val="single" w:color="auto" w:sz="4" w:space="0"/>
              <w:left w:val="single" w:color="auto" w:sz="4" w:space="0"/>
              <w:bottom w:val="single" w:color="auto" w:sz="4" w:space="0"/>
              <w:right w:val="single" w:color="auto" w:sz="4" w:space="0"/>
            </w:tcBorders>
          </w:tcPr>
          <w:p>
            <w:pPr>
              <w:pStyle w:val="312"/>
              <w:spacing w:line="460" w:lineRule="exact"/>
              <w:jc w:val="center"/>
              <w:rPr>
                <w:rFonts w:ascii="宋体" w:hAnsi="宋体" w:cs="宋体"/>
                <w:color w:val="000000"/>
                <w:szCs w:val="21"/>
              </w:rPr>
            </w:pPr>
            <w:r>
              <w:rPr>
                <w:rFonts w:hint="eastAsia" w:ascii="宋体" w:hAnsi="宋体" w:cs="宋体"/>
                <w:color w:val="000000"/>
                <w:szCs w:val="21"/>
              </w:rPr>
              <w:t>证书名称</w:t>
            </w:r>
          </w:p>
        </w:tc>
        <w:tc>
          <w:tcPr>
            <w:tcW w:w="879" w:type="dxa"/>
            <w:tcBorders>
              <w:top w:val="single" w:color="auto" w:sz="4" w:space="0"/>
              <w:left w:val="single" w:color="auto" w:sz="4" w:space="0"/>
              <w:bottom w:val="single" w:color="auto" w:sz="4" w:space="0"/>
              <w:right w:val="single" w:color="auto" w:sz="4" w:space="0"/>
            </w:tcBorders>
          </w:tcPr>
          <w:p>
            <w:pPr>
              <w:pStyle w:val="312"/>
              <w:spacing w:line="460" w:lineRule="exact"/>
              <w:jc w:val="center"/>
              <w:rPr>
                <w:rFonts w:ascii="宋体" w:hAnsi="宋体" w:cs="宋体"/>
                <w:color w:val="000000"/>
                <w:szCs w:val="21"/>
              </w:rPr>
            </w:pPr>
            <w:r>
              <w:rPr>
                <w:rFonts w:hint="eastAsia" w:ascii="宋体" w:hAnsi="宋体" w:cs="宋体"/>
                <w:color w:val="000000"/>
                <w:szCs w:val="21"/>
              </w:rPr>
              <w:t>级别</w:t>
            </w: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jc w:val="center"/>
              <w:rPr>
                <w:rFonts w:ascii="宋体" w:hAnsi="宋体" w:cs="宋体"/>
                <w:color w:val="000000"/>
                <w:szCs w:val="21"/>
              </w:rPr>
            </w:pPr>
            <w:r>
              <w:rPr>
                <w:rFonts w:hint="eastAsia" w:ascii="宋体" w:hAnsi="宋体" w:cs="宋体"/>
                <w:color w:val="000000"/>
                <w:szCs w:val="21"/>
              </w:rPr>
              <w:t>证号</w:t>
            </w: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pStyle w:val="312"/>
              <w:widowControl/>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61"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185"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79"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61"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185"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79"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61"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185"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79"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61"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185"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79"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61"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185"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79"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418"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61"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185"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879"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c>
          <w:tcPr>
            <w:tcW w:w="1032" w:type="dxa"/>
            <w:tcBorders>
              <w:top w:val="single" w:color="auto" w:sz="4" w:space="0"/>
              <w:left w:val="single" w:color="auto" w:sz="4" w:space="0"/>
              <w:bottom w:val="single" w:color="auto" w:sz="4" w:space="0"/>
              <w:right w:val="single" w:color="auto" w:sz="4" w:space="0"/>
            </w:tcBorders>
          </w:tcPr>
          <w:p>
            <w:pPr>
              <w:pStyle w:val="312"/>
              <w:spacing w:line="460" w:lineRule="exact"/>
              <w:rPr>
                <w:rFonts w:ascii="宋体" w:hAnsi="宋体" w:cs="宋体"/>
                <w:color w:val="000000"/>
                <w:szCs w:val="21"/>
              </w:rPr>
            </w:pPr>
          </w:p>
        </w:tc>
      </w:tr>
    </w:tbl>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spacing w:line="360" w:lineRule="atLeast"/>
        <w:jc w:val="center"/>
        <w:rPr>
          <w:rFonts w:hint="eastAsia" w:ascii="宋体" w:hAnsi="宋体" w:cs="宋体"/>
          <w:b/>
          <w:bCs/>
          <w:color w:val="auto"/>
          <w:sz w:val="28"/>
          <w:szCs w:val="28"/>
          <w:lang w:val="en-US" w:eastAsia="zh-CN"/>
        </w:rPr>
      </w:pPr>
    </w:p>
    <w:p>
      <w:pPr>
        <w:adjustRightInd w:val="0"/>
        <w:snapToGrid w:val="0"/>
        <w:rPr>
          <w:rFonts w:hint="eastAsia" w:ascii="宋体" w:hAnsi="宋体" w:cs="宋体"/>
          <w:b/>
          <w:bCs/>
          <w:color w:val="auto"/>
          <w:sz w:val="28"/>
          <w:szCs w:val="28"/>
          <w:lang w:val="en-US" w:eastAsia="zh-CN"/>
        </w:rPr>
      </w:pPr>
      <w:r>
        <w:rPr>
          <w:rFonts w:hint="eastAsia" w:ascii="宋体" w:hAnsi="宋体" w:cs="宋体"/>
          <w:b/>
          <w:bCs/>
          <w:color w:val="auto"/>
          <w:szCs w:val="21"/>
        </w:rPr>
        <w:t>附件</w:t>
      </w:r>
      <w:r>
        <w:rPr>
          <w:rFonts w:hint="eastAsia" w:ascii="宋体" w:hAnsi="宋体" w:cs="宋体"/>
          <w:b/>
          <w:bCs/>
          <w:color w:val="auto"/>
          <w:szCs w:val="21"/>
          <w:lang w:val="en-US" w:eastAsia="zh-CN"/>
        </w:rPr>
        <w:t>9</w:t>
      </w:r>
      <w:r>
        <w:rPr>
          <w:rFonts w:hint="eastAsia" w:ascii="宋体" w:hAnsi="宋体" w:cs="宋体"/>
          <w:b/>
          <w:bCs/>
          <w:color w:val="auto"/>
          <w:szCs w:val="21"/>
        </w:rPr>
        <w:t>-</w:t>
      </w:r>
      <w:r>
        <w:rPr>
          <w:rFonts w:hint="eastAsia" w:ascii="宋体" w:hAnsi="宋体" w:cs="宋体"/>
          <w:b/>
          <w:bCs/>
          <w:color w:val="auto"/>
          <w:szCs w:val="21"/>
          <w:lang w:val="en-US" w:eastAsia="zh-CN"/>
        </w:rPr>
        <w:t>2</w:t>
      </w:r>
      <w:r>
        <w:rPr>
          <w:rFonts w:hint="eastAsia" w:ascii="宋体" w:hAnsi="宋体" w:cs="宋体"/>
          <w:b/>
          <w:bCs/>
          <w:color w:val="auto"/>
          <w:szCs w:val="21"/>
        </w:rPr>
        <w:t>：</w:t>
      </w:r>
    </w:p>
    <w:p>
      <w:pPr>
        <w:spacing w:line="600" w:lineRule="auto"/>
        <w:jc w:val="center"/>
        <w:rPr>
          <w:rFonts w:hint="eastAsia" w:ascii="宋体" w:hAnsi="宋体" w:eastAsia="宋体" w:cs="宋体"/>
          <w:b/>
          <w:sz w:val="30"/>
          <w:szCs w:val="30"/>
        </w:rPr>
      </w:pPr>
      <w:r>
        <w:rPr>
          <w:rFonts w:hint="eastAsia" w:ascii="宋体" w:hAnsi="宋体" w:eastAsia="宋体" w:cs="宋体"/>
          <w:b/>
          <w:sz w:val="30"/>
          <w:szCs w:val="30"/>
        </w:rPr>
        <w:t>拟任团队人员简历表</w:t>
      </w:r>
    </w:p>
    <w:tbl>
      <w:tblPr>
        <w:tblStyle w:val="47"/>
        <w:tblW w:w="94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5"/>
        <w:gridCol w:w="1500"/>
        <w:gridCol w:w="1500"/>
        <w:gridCol w:w="1500"/>
        <w:gridCol w:w="1500"/>
        <w:gridCol w:w="16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815" w:type="dxa"/>
            <w:noWrap w:val="0"/>
            <w:vAlign w:val="center"/>
          </w:tcPr>
          <w:p>
            <w:pPr>
              <w:jc w:val="center"/>
              <w:rPr>
                <w:rFonts w:hint="eastAsia" w:ascii="宋体" w:hAnsi="宋体" w:cs="宋体"/>
                <w:szCs w:val="21"/>
              </w:rPr>
            </w:pPr>
            <w:r>
              <w:rPr>
                <w:rFonts w:hint="eastAsia" w:ascii="宋体" w:hAnsi="宋体" w:cs="宋体"/>
                <w:szCs w:val="21"/>
              </w:rPr>
              <w:t>姓  名</w:t>
            </w:r>
          </w:p>
        </w:tc>
        <w:tc>
          <w:tcPr>
            <w:tcW w:w="1500" w:type="dxa"/>
            <w:noWrap w:val="0"/>
            <w:vAlign w:val="center"/>
          </w:tcPr>
          <w:p>
            <w:pPr>
              <w:jc w:val="center"/>
              <w:rPr>
                <w:rFonts w:hint="eastAsia" w:ascii="宋体" w:hAnsi="宋体" w:cs="宋体"/>
                <w:szCs w:val="21"/>
              </w:rPr>
            </w:pPr>
          </w:p>
        </w:tc>
        <w:tc>
          <w:tcPr>
            <w:tcW w:w="1500" w:type="dxa"/>
            <w:noWrap w:val="0"/>
            <w:vAlign w:val="center"/>
          </w:tcPr>
          <w:p>
            <w:pPr>
              <w:jc w:val="center"/>
              <w:rPr>
                <w:rFonts w:hint="eastAsia" w:ascii="宋体" w:hAnsi="宋体" w:cs="宋体"/>
                <w:szCs w:val="21"/>
              </w:rPr>
            </w:pPr>
            <w:r>
              <w:rPr>
                <w:rFonts w:hint="eastAsia" w:ascii="宋体" w:hAnsi="宋体" w:cs="宋体"/>
                <w:szCs w:val="21"/>
              </w:rPr>
              <w:t>性  别</w:t>
            </w:r>
          </w:p>
        </w:tc>
        <w:tc>
          <w:tcPr>
            <w:tcW w:w="1500" w:type="dxa"/>
            <w:noWrap w:val="0"/>
            <w:vAlign w:val="center"/>
          </w:tcPr>
          <w:p>
            <w:pPr>
              <w:jc w:val="center"/>
              <w:rPr>
                <w:rFonts w:hint="eastAsia" w:ascii="宋体" w:hAnsi="宋体" w:cs="宋体"/>
                <w:szCs w:val="21"/>
              </w:rPr>
            </w:pPr>
          </w:p>
        </w:tc>
        <w:tc>
          <w:tcPr>
            <w:tcW w:w="1500" w:type="dxa"/>
            <w:noWrap w:val="0"/>
            <w:vAlign w:val="center"/>
          </w:tcPr>
          <w:p>
            <w:pPr>
              <w:jc w:val="center"/>
              <w:rPr>
                <w:rFonts w:hint="eastAsia" w:ascii="宋体" w:hAnsi="宋体" w:cs="宋体"/>
                <w:szCs w:val="21"/>
              </w:rPr>
            </w:pPr>
            <w:r>
              <w:rPr>
                <w:rFonts w:hint="eastAsia" w:ascii="宋体" w:hAnsi="宋体" w:cs="宋体"/>
                <w:szCs w:val="21"/>
              </w:rPr>
              <w:t>年  龄</w:t>
            </w:r>
          </w:p>
        </w:tc>
        <w:tc>
          <w:tcPr>
            <w:tcW w:w="1646"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815" w:type="dxa"/>
            <w:noWrap w:val="0"/>
            <w:vAlign w:val="center"/>
          </w:tcPr>
          <w:p>
            <w:pPr>
              <w:jc w:val="center"/>
              <w:rPr>
                <w:rFonts w:hint="eastAsia" w:ascii="宋体" w:hAnsi="宋体" w:cs="宋体"/>
                <w:szCs w:val="21"/>
              </w:rPr>
            </w:pPr>
            <w:r>
              <w:rPr>
                <w:rFonts w:hint="eastAsia" w:ascii="宋体" w:hAnsi="宋体" w:cs="宋体"/>
                <w:szCs w:val="21"/>
              </w:rPr>
              <w:t>学  历</w:t>
            </w:r>
          </w:p>
        </w:tc>
        <w:tc>
          <w:tcPr>
            <w:tcW w:w="1500" w:type="dxa"/>
            <w:noWrap w:val="0"/>
            <w:vAlign w:val="center"/>
          </w:tcPr>
          <w:p>
            <w:pPr>
              <w:jc w:val="center"/>
              <w:rPr>
                <w:rFonts w:hint="eastAsia" w:ascii="宋体" w:hAnsi="宋体" w:cs="宋体"/>
                <w:szCs w:val="21"/>
              </w:rPr>
            </w:pPr>
          </w:p>
        </w:tc>
        <w:tc>
          <w:tcPr>
            <w:tcW w:w="1500" w:type="dxa"/>
            <w:noWrap w:val="0"/>
            <w:vAlign w:val="center"/>
          </w:tcPr>
          <w:p>
            <w:pPr>
              <w:jc w:val="center"/>
              <w:rPr>
                <w:rFonts w:hint="eastAsia" w:ascii="宋体" w:hAnsi="宋体" w:cs="宋体"/>
                <w:szCs w:val="21"/>
              </w:rPr>
            </w:pPr>
            <w:r>
              <w:rPr>
                <w:rFonts w:hint="eastAsia" w:ascii="宋体" w:hAnsi="宋体" w:cs="宋体"/>
                <w:szCs w:val="21"/>
              </w:rPr>
              <w:t xml:space="preserve">专  业 </w:t>
            </w:r>
          </w:p>
        </w:tc>
        <w:tc>
          <w:tcPr>
            <w:tcW w:w="1500" w:type="dxa"/>
            <w:noWrap w:val="0"/>
            <w:vAlign w:val="center"/>
          </w:tcPr>
          <w:p>
            <w:pPr>
              <w:jc w:val="center"/>
              <w:rPr>
                <w:rFonts w:hint="eastAsia" w:ascii="宋体" w:hAnsi="宋体" w:cs="宋体"/>
                <w:szCs w:val="21"/>
              </w:rPr>
            </w:pPr>
          </w:p>
        </w:tc>
        <w:tc>
          <w:tcPr>
            <w:tcW w:w="1500" w:type="dxa"/>
            <w:noWrap w:val="0"/>
            <w:vAlign w:val="center"/>
          </w:tcPr>
          <w:p>
            <w:pPr>
              <w:jc w:val="center"/>
              <w:rPr>
                <w:rFonts w:hint="eastAsia" w:ascii="宋体" w:hAnsi="宋体" w:cs="宋体"/>
                <w:szCs w:val="21"/>
              </w:rPr>
            </w:pPr>
            <w:r>
              <w:rPr>
                <w:rFonts w:hint="eastAsia" w:ascii="宋体" w:hAnsi="宋体" w:cs="宋体"/>
                <w:szCs w:val="21"/>
              </w:rPr>
              <w:t>现任职务</w:t>
            </w:r>
          </w:p>
        </w:tc>
        <w:tc>
          <w:tcPr>
            <w:tcW w:w="1646"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1815" w:type="dxa"/>
            <w:noWrap w:val="0"/>
            <w:vAlign w:val="center"/>
          </w:tcPr>
          <w:p>
            <w:pPr>
              <w:jc w:val="center"/>
              <w:rPr>
                <w:rFonts w:hint="eastAsia" w:ascii="宋体" w:hAnsi="宋体" w:cs="宋体"/>
                <w:szCs w:val="21"/>
              </w:rPr>
            </w:pPr>
            <w:r>
              <w:rPr>
                <w:rFonts w:hint="eastAsia" w:ascii="宋体" w:hAnsi="宋体" w:cs="宋体"/>
                <w:szCs w:val="21"/>
              </w:rPr>
              <w:t>技术职称</w:t>
            </w:r>
            <w:r>
              <w:rPr>
                <w:rFonts w:hint="eastAsia" w:ascii="宋体" w:hAnsi="宋体" w:cs="宋体"/>
                <w:szCs w:val="21"/>
                <w:lang w:val="en-US" w:eastAsia="zh-Hans"/>
              </w:rPr>
              <w:t>或注册证书</w:t>
            </w:r>
          </w:p>
        </w:tc>
        <w:tc>
          <w:tcPr>
            <w:tcW w:w="1500" w:type="dxa"/>
            <w:noWrap w:val="0"/>
            <w:vAlign w:val="center"/>
          </w:tcPr>
          <w:p>
            <w:pPr>
              <w:jc w:val="center"/>
              <w:rPr>
                <w:rFonts w:hint="eastAsia" w:ascii="宋体" w:hAnsi="宋体" w:cs="宋体"/>
                <w:szCs w:val="21"/>
              </w:rPr>
            </w:pPr>
          </w:p>
        </w:tc>
        <w:tc>
          <w:tcPr>
            <w:tcW w:w="1500" w:type="dxa"/>
            <w:noWrap w:val="0"/>
            <w:vAlign w:val="center"/>
          </w:tcPr>
          <w:p>
            <w:pPr>
              <w:jc w:val="center"/>
              <w:rPr>
                <w:rFonts w:hint="eastAsia" w:ascii="宋体" w:hAnsi="宋体" w:cs="宋体"/>
                <w:szCs w:val="21"/>
              </w:rPr>
            </w:pPr>
            <w:r>
              <w:rPr>
                <w:rFonts w:hint="eastAsia" w:ascii="宋体" w:hAnsi="宋体" w:cs="宋体"/>
                <w:szCs w:val="21"/>
              </w:rPr>
              <w:t>拟任职务</w:t>
            </w:r>
          </w:p>
        </w:tc>
        <w:tc>
          <w:tcPr>
            <w:tcW w:w="1500" w:type="dxa"/>
            <w:noWrap w:val="0"/>
            <w:vAlign w:val="center"/>
          </w:tcPr>
          <w:p>
            <w:pPr>
              <w:jc w:val="center"/>
              <w:rPr>
                <w:rFonts w:hint="eastAsia" w:ascii="宋体" w:hAnsi="宋体" w:cs="宋体"/>
                <w:szCs w:val="21"/>
              </w:rPr>
            </w:pPr>
          </w:p>
        </w:tc>
        <w:tc>
          <w:tcPr>
            <w:tcW w:w="1500" w:type="dxa"/>
            <w:noWrap w:val="0"/>
            <w:vAlign w:val="center"/>
          </w:tcPr>
          <w:p>
            <w:pPr>
              <w:jc w:val="center"/>
              <w:rPr>
                <w:rFonts w:hint="eastAsia" w:ascii="宋体" w:hAnsi="宋体" w:cs="宋体"/>
                <w:szCs w:val="21"/>
              </w:rPr>
            </w:pPr>
            <w:r>
              <w:rPr>
                <w:rFonts w:hint="eastAsia" w:ascii="宋体" w:hAnsi="宋体" w:cs="宋体"/>
                <w:szCs w:val="21"/>
              </w:rPr>
              <w:t>职称证号</w:t>
            </w:r>
            <w:r>
              <w:rPr>
                <w:rFonts w:hint="eastAsia" w:ascii="宋体" w:hAnsi="宋体" w:cs="宋体"/>
                <w:szCs w:val="21"/>
                <w:lang w:val="en-US" w:eastAsia="zh-Hans"/>
              </w:rPr>
              <w:t>或注册证号</w:t>
            </w:r>
          </w:p>
        </w:tc>
        <w:tc>
          <w:tcPr>
            <w:tcW w:w="1646" w:type="dxa"/>
            <w:noWrap w:val="0"/>
            <w:vAlign w:val="center"/>
          </w:tcPr>
          <w:p>
            <w:pPr>
              <w:jc w:val="center"/>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5" w:hRule="atLeast"/>
          <w:jc w:val="center"/>
        </w:trPr>
        <w:tc>
          <w:tcPr>
            <w:tcW w:w="1815" w:type="dxa"/>
            <w:noWrap w:val="0"/>
            <w:vAlign w:val="center"/>
          </w:tcPr>
          <w:p>
            <w:pPr>
              <w:jc w:val="center"/>
              <w:rPr>
                <w:rFonts w:hint="eastAsia" w:ascii="宋体" w:hAnsi="宋体" w:cs="宋体"/>
                <w:szCs w:val="21"/>
              </w:rPr>
            </w:pPr>
            <w:r>
              <w:rPr>
                <w:rFonts w:hint="eastAsia" w:ascii="宋体" w:hAnsi="宋体" w:cs="宋体"/>
                <w:szCs w:val="21"/>
              </w:rPr>
              <w:t>主要业绩</w:t>
            </w:r>
          </w:p>
          <w:p>
            <w:pPr>
              <w:jc w:val="center"/>
              <w:rPr>
                <w:rFonts w:hint="eastAsia" w:ascii="宋体" w:hAnsi="宋体" w:cs="宋体"/>
                <w:szCs w:val="21"/>
              </w:rPr>
            </w:pPr>
            <w:r>
              <w:rPr>
                <w:rFonts w:hint="eastAsia" w:ascii="宋体" w:hAnsi="宋体" w:cs="宋体"/>
                <w:szCs w:val="21"/>
              </w:rPr>
              <w:t>及经历</w:t>
            </w:r>
          </w:p>
        </w:tc>
        <w:tc>
          <w:tcPr>
            <w:tcW w:w="7646" w:type="dxa"/>
            <w:gridSpan w:val="5"/>
            <w:noWrap w:val="0"/>
            <w:vAlign w:val="center"/>
          </w:tcPr>
          <w:p>
            <w:pPr>
              <w:jc w:val="center"/>
              <w:rPr>
                <w:rFonts w:hint="eastAsia" w:ascii="宋体" w:hAnsi="宋体" w:cs="宋体"/>
                <w:szCs w:val="21"/>
              </w:rPr>
            </w:pPr>
          </w:p>
        </w:tc>
      </w:tr>
    </w:tbl>
    <w:p>
      <w:pPr>
        <w:spacing w:line="360" w:lineRule="auto"/>
        <w:jc w:val="center"/>
        <w:rPr>
          <w:rFonts w:hint="eastAsia" w:ascii="宋体" w:hAnsi="宋体" w:cs="宋体"/>
          <w:b/>
          <w:bCs/>
          <w:szCs w:val="21"/>
        </w:rPr>
      </w:pPr>
    </w:p>
    <w:p>
      <w:pPr>
        <w:pStyle w:val="2"/>
        <w:rPr>
          <w:rFonts w:hint="eastAsia" w:ascii="宋体" w:hAnsi="宋体" w:cs="宋体"/>
          <w:szCs w:val="21"/>
        </w:rPr>
        <w:sectPr>
          <w:pgSz w:w="11906" w:h="16838"/>
          <w:pgMar w:top="1440" w:right="1078" w:bottom="1440" w:left="1588" w:header="851" w:footer="992" w:gutter="0"/>
          <w:pgNumType w:fmt="decimal"/>
          <w:cols w:space="720" w:num="1"/>
          <w:docGrid w:type="lines" w:linePitch="312" w:charSpace="0"/>
        </w:sectPr>
      </w:pPr>
      <w:r>
        <w:rPr>
          <w:rFonts w:hint="eastAsia" w:ascii="宋体" w:hAnsi="宋体" w:cs="宋体"/>
          <w:szCs w:val="21"/>
        </w:rPr>
        <w:t>附：</w:t>
      </w:r>
      <w:r>
        <w:rPr>
          <w:rFonts w:hint="eastAsia" w:ascii="宋体" w:hAnsi="宋体" w:cs="宋体"/>
          <w:szCs w:val="21"/>
          <w:lang w:val="en-US" w:eastAsia="zh-CN"/>
        </w:rPr>
        <w:t>按第四章评审要求提供相关资料；</w:t>
      </w:r>
      <w:r>
        <w:rPr>
          <w:rFonts w:hint="eastAsia" w:ascii="宋体" w:hAnsi="宋体" w:cs="宋体"/>
          <w:szCs w:val="21"/>
          <w:lang w:val="en-US" w:eastAsia="zh-Hans"/>
        </w:rPr>
        <w:t>每个人员填写一张表</w:t>
      </w:r>
      <w:r>
        <w:rPr>
          <w:rFonts w:hint="eastAsia" w:ascii="宋体" w:hAnsi="宋体" w:cs="宋体"/>
          <w:szCs w:val="21"/>
        </w:rPr>
        <w:t>。</w:t>
      </w:r>
    </w:p>
    <w:p>
      <w:pPr>
        <w:pStyle w:val="35"/>
        <w:rPr>
          <w:rFonts w:hint="default"/>
          <w:lang w:val="en-US"/>
        </w:rPr>
      </w:pPr>
    </w:p>
    <w:p>
      <w:pPr>
        <w:jc w:val="center"/>
        <w:rPr>
          <w:rFonts w:hint="default" w:ascii="宋体" w:hAnsi="宋体" w:eastAsia="宋体" w:cs="宋体"/>
          <w:b/>
          <w:color w:val="auto"/>
          <w:sz w:val="32"/>
          <w:szCs w:val="32"/>
          <w:lang w:val="en-US" w:eastAsia="zh-CN"/>
        </w:rPr>
      </w:pPr>
      <w:r>
        <w:rPr>
          <w:rFonts w:hint="eastAsia" w:ascii="宋体" w:hAnsi="宋体" w:cs="宋体"/>
          <w:b/>
          <w:color w:val="auto"/>
          <w:sz w:val="32"/>
          <w:szCs w:val="32"/>
          <w:lang w:val="en-US" w:eastAsia="zh-CN"/>
        </w:rPr>
        <w:t>五</w:t>
      </w:r>
      <w:r>
        <w:rPr>
          <w:rFonts w:hint="eastAsia" w:ascii="宋体" w:hAnsi="宋体" w:cs="宋体"/>
          <w:b/>
          <w:color w:val="auto"/>
          <w:sz w:val="32"/>
          <w:szCs w:val="32"/>
        </w:rPr>
        <w:t>、</w:t>
      </w:r>
      <w:r>
        <w:rPr>
          <w:rFonts w:hint="eastAsia" w:ascii="宋体" w:hAnsi="宋体" w:cs="宋体"/>
          <w:b/>
          <w:color w:val="auto"/>
          <w:sz w:val="32"/>
          <w:szCs w:val="32"/>
          <w:lang w:val="en-US" w:eastAsia="zh-CN"/>
        </w:rPr>
        <w:t>商务评审资料</w:t>
      </w: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hint="eastAsia" w:ascii="宋体" w:hAnsi="宋体" w:cs="宋体"/>
          <w:b/>
          <w:color w:val="auto"/>
          <w:sz w:val="32"/>
          <w:szCs w:val="32"/>
          <w:lang w:val="en-US" w:eastAsia="zh-CN"/>
        </w:rPr>
      </w:pPr>
    </w:p>
    <w:p>
      <w:pPr>
        <w:jc w:val="center"/>
        <w:rPr>
          <w:rFonts w:ascii="宋体" w:hAnsi="宋体" w:cs="宋体"/>
          <w:color w:val="auto"/>
          <w:szCs w:val="21"/>
          <w:u w:val="single"/>
        </w:rPr>
      </w:pPr>
      <w:r>
        <w:rPr>
          <w:rFonts w:hint="eastAsia" w:ascii="宋体" w:hAnsi="宋体" w:cs="宋体"/>
          <w:b/>
          <w:color w:val="auto"/>
          <w:sz w:val="32"/>
          <w:szCs w:val="32"/>
          <w:lang w:val="en-US" w:eastAsia="zh-CN"/>
        </w:rPr>
        <w:t>六、</w:t>
      </w:r>
      <w:r>
        <w:rPr>
          <w:rFonts w:hint="eastAsia" w:ascii="宋体" w:hAnsi="宋体" w:cs="宋体"/>
          <w:b/>
          <w:color w:val="auto"/>
          <w:sz w:val="32"/>
          <w:szCs w:val="32"/>
        </w:rPr>
        <w:t>技术/商务响应与偏离表</w:t>
      </w:r>
    </w:p>
    <w:tbl>
      <w:tblPr>
        <w:tblStyle w:val="47"/>
        <w:tblW w:w="545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72"/>
        <w:gridCol w:w="1787"/>
        <w:gridCol w:w="2065"/>
        <w:gridCol w:w="2761"/>
        <w:gridCol w:w="1287"/>
        <w:gridCol w:w="15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6" w:hRule="atLeast"/>
          <w:jc w:val="center"/>
        </w:trPr>
        <w:tc>
          <w:tcPr>
            <w:tcW w:w="333" w:type="pct"/>
            <w:vAlign w:val="center"/>
          </w:tcPr>
          <w:p>
            <w:pPr>
              <w:adjustRightInd w:val="0"/>
              <w:snapToGrid w:val="0"/>
              <w:ind w:left="-88" w:leftChars="-42"/>
              <w:jc w:val="center"/>
              <w:rPr>
                <w:rFonts w:ascii="宋体" w:hAnsi="宋体" w:cs="宋体"/>
                <w:bCs/>
                <w:color w:val="auto"/>
                <w:szCs w:val="21"/>
              </w:rPr>
            </w:pPr>
            <w:r>
              <w:rPr>
                <w:rFonts w:hint="eastAsia" w:ascii="宋体" w:hAnsi="宋体" w:cs="宋体"/>
                <w:bCs/>
                <w:color w:val="auto"/>
                <w:szCs w:val="21"/>
              </w:rPr>
              <w:t>序号</w:t>
            </w:r>
          </w:p>
        </w:tc>
        <w:tc>
          <w:tcPr>
            <w:tcW w:w="886"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磋商文件条目号</w:t>
            </w:r>
          </w:p>
        </w:tc>
        <w:tc>
          <w:tcPr>
            <w:tcW w:w="1024"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采购规格/商务条款</w:t>
            </w:r>
          </w:p>
        </w:tc>
        <w:tc>
          <w:tcPr>
            <w:tcW w:w="1369"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响应文件的规格/商务条款</w:t>
            </w:r>
          </w:p>
        </w:tc>
        <w:tc>
          <w:tcPr>
            <w:tcW w:w="638"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响应与偏离</w:t>
            </w:r>
          </w:p>
        </w:tc>
        <w:tc>
          <w:tcPr>
            <w:tcW w:w="747"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1" w:hRule="atLeast"/>
          <w:jc w:val="center"/>
        </w:trPr>
        <w:tc>
          <w:tcPr>
            <w:tcW w:w="333" w:type="pct"/>
          </w:tcPr>
          <w:p>
            <w:pPr>
              <w:adjustRightInd w:val="0"/>
              <w:snapToGrid w:val="0"/>
              <w:ind w:left="-88" w:leftChars="-42"/>
              <w:jc w:val="center"/>
              <w:rPr>
                <w:rFonts w:ascii="宋体" w:hAnsi="宋体" w:cs="宋体"/>
                <w:color w:val="auto"/>
                <w:szCs w:val="21"/>
              </w:rPr>
            </w:pPr>
          </w:p>
        </w:tc>
        <w:tc>
          <w:tcPr>
            <w:tcW w:w="886" w:type="pct"/>
            <w:vAlign w:val="center"/>
          </w:tcPr>
          <w:p>
            <w:pPr>
              <w:adjustRightInd w:val="0"/>
              <w:snapToGrid w:val="0"/>
              <w:ind w:left="-88" w:leftChars="-42"/>
              <w:jc w:val="center"/>
              <w:rPr>
                <w:rFonts w:ascii="宋体" w:hAnsi="宋体" w:cs="宋体"/>
                <w:color w:val="auto"/>
                <w:szCs w:val="21"/>
              </w:rPr>
            </w:pPr>
          </w:p>
        </w:tc>
        <w:tc>
          <w:tcPr>
            <w:tcW w:w="1024" w:type="pct"/>
            <w:vAlign w:val="center"/>
          </w:tcPr>
          <w:p>
            <w:pPr>
              <w:adjustRightInd w:val="0"/>
              <w:snapToGrid w:val="0"/>
              <w:ind w:left="-88" w:leftChars="-42"/>
              <w:jc w:val="center"/>
              <w:rPr>
                <w:rFonts w:ascii="宋体" w:hAnsi="宋体" w:cs="宋体"/>
                <w:color w:val="auto"/>
                <w:szCs w:val="21"/>
              </w:rPr>
            </w:pPr>
          </w:p>
        </w:tc>
        <w:tc>
          <w:tcPr>
            <w:tcW w:w="1369" w:type="pct"/>
            <w:vAlign w:val="center"/>
          </w:tcPr>
          <w:p>
            <w:pPr>
              <w:adjustRightInd w:val="0"/>
              <w:snapToGrid w:val="0"/>
              <w:ind w:left="-88" w:leftChars="-42"/>
              <w:jc w:val="center"/>
              <w:rPr>
                <w:rFonts w:ascii="宋体" w:hAnsi="宋体" w:cs="宋体"/>
                <w:color w:val="auto"/>
                <w:szCs w:val="21"/>
              </w:rPr>
            </w:pPr>
          </w:p>
        </w:tc>
        <w:tc>
          <w:tcPr>
            <w:tcW w:w="638" w:type="pct"/>
            <w:vAlign w:val="center"/>
          </w:tcPr>
          <w:p>
            <w:pPr>
              <w:adjustRightInd w:val="0"/>
              <w:snapToGrid w:val="0"/>
              <w:ind w:left="-88" w:leftChars="-42"/>
              <w:jc w:val="center"/>
              <w:rPr>
                <w:rFonts w:ascii="宋体" w:hAnsi="宋体" w:cs="宋体"/>
                <w:color w:val="auto"/>
                <w:szCs w:val="21"/>
              </w:rPr>
            </w:pPr>
          </w:p>
        </w:tc>
        <w:tc>
          <w:tcPr>
            <w:tcW w:w="747"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1" w:hRule="atLeast"/>
          <w:jc w:val="center"/>
        </w:trPr>
        <w:tc>
          <w:tcPr>
            <w:tcW w:w="333" w:type="pct"/>
          </w:tcPr>
          <w:p>
            <w:pPr>
              <w:adjustRightInd w:val="0"/>
              <w:snapToGrid w:val="0"/>
              <w:ind w:left="-88" w:leftChars="-42"/>
              <w:jc w:val="center"/>
              <w:rPr>
                <w:rFonts w:ascii="宋体" w:hAnsi="宋体" w:cs="宋体"/>
                <w:color w:val="auto"/>
                <w:szCs w:val="21"/>
              </w:rPr>
            </w:pPr>
          </w:p>
        </w:tc>
        <w:tc>
          <w:tcPr>
            <w:tcW w:w="886" w:type="pct"/>
            <w:vAlign w:val="center"/>
          </w:tcPr>
          <w:p>
            <w:pPr>
              <w:adjustRightInd w:val="0"/>
              <w:snapToGrid w:val="0"/>
              <w:ind w:left="-88" w:leftChars="-42"/>
              <w:jc w:val="center"/>
              <w:rPr>
                <w:rFonts w:ascii="宋体" w:hAnsi="宋体" w:cs="宋体"/>
                <w:color w:val="auto"/>
                <w:szCs w:val="21"/>
              </w:rPr>
            </w:pPr>
          </w:p>
        </w:tc>
        <w:tc>
          <w:tcPr>
            <w:tcW w:w="1024" w:type="pct"/>
            <w:vAlign w:val="center"/>
          </w:tcPr>
          <w:p>
            <w:pPr>
              <w:adjustRightInd w:val="0"/>
              <w:snapToGrid w:val="0"/>
              <w:ind w:left="-88" w:leftChars="-42"/>
              <w:jc w:val="center"/>
              <w:rPr>
                <w:rFonts w:ascii="宋体" w:hAnsi="宋体" w:cs="宋体"/>
                <w:color w:val="auto"/>
                <w:szCs w:val="21"/>
              </w:rPr>
            </w:pPr>
          </w:p>
        </w:tc>
        <w:tc>
          <w:tcPr>
            <w:tcW w:w="1369" w:type="pct"/>
            <w:vAlign w:val="center"/>
          </w:tcPr>
          <w:p>
            <w:pPr>
              <w:adjustRightInd w:val="0"/>
              <w:snapToGrid w:val="0"/>
              <w:ind w:left="-88" w:leftChars="-42"/>
              <w:jc w:val="center"/>
              <w:rPr>
                <w:rFonts w:ascii="宋体" w:hAnsi="宋体" w:cs="宋体"/>
                <w:color w:val="auto"/>
                <w:szCs w:val="21"/>
              </w:rPr>
            </w:pPr>
          </w:p>
        </w:tc>
        <w:tc>
          <w:tcPr>
            <w:tcW w:w="638" w:type="pct"/>
            <w:vAlign w:val="center"/>
          </w:tcPr>
          <w:p>
            <w:pPr>
              <w:adjustRightInd w:val="0"/>
              <w:snapToGrid w:val="0"/>
              <w:ind w:left="-88" w:leftChars="-42"/>
              <w:jc w:val="center"/>
              <w:rPr>
                <w:rFonts w:ascii="宋体" w:hAnsi="宋体" w:cs="宋体"/>
                <w:color w:val="auto"/>
                <w:szCs w:val="21"/>
              </w:rPr>
            </w:pPr>
          </w:p>
        </w:tc>
        <w:tc>
          <w:tcPr>
            <w:tcW w:w="747"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1" w:hRule="atLeast"/>
          <w:jc w:val="center"/>
        </w:trPr>
        <w:tc>
          <w:tcPr>
            <w:tcW w:w="333" w:type="pct"/>
          </w:tcPr>
          <w:p>
            <w:pPr>
              <w:adjustRightInd w:val="0"/>
              <w:snapToGrid w:val="0"/>
              <w:ind w:left="-88" w:leftChars="-42"/>
              <w:jc w:val="center"/>
              <w:rPr>
                <w:rFonts w:ascii="宋体" w:hAnsi="宋体" w:cs="宋体"/>
                <w:color w:val="auto"/>
                <w:szCs w:val="21"/>
              </w:rPr>
            </w:pPr>
          </w:p>
        </w:tc>
        <w:tc>
          <w:tcPr>
            <w:tcW w:w="886" w:type="pct"/>
            <w:vAlign w:val="center"/>
          </w:tcPr>
          <w:p>
            <w:pPr>
              <w:adjustRightInd w:val="0"/>
              <w:snapToGrid w:val="0"/>
              <w:ind w:left="-88" w:leftChars="-42"/>
              <w:jc w:val="center"/>
              <w:rPr>
                <w:rFonts w:ascii="宋体" w:hAnsi="宋体" w:cs="宋体"/>
                <w:color w:val="auto"/>
                <w:szCs w:val="21"/>
              </w:rPr>
            </w:pPr>
          </w:p>
        </w:tc>
        <w:tc>
          <w:tcPr>
            <w:tcW w:w="1024" w:type="pct"/>
            <w:vAlign w:val="center"/>
          </w:tcPr>
          <w:p>
            <w:pPr>
              <w:adjustRightInd w:val="0"/>
              <w:snapToGrid w:val="0"/>
              <w:ind w:left="-88" w:leftChars="-42"/>
              <w:jc w:val="center"/>
              <w:rPr>
                <w:rFonts w:ascii="宋体" w:hAnsi="宋体" w:cs="宋体"/>
                <w:color w:val="auto"/>
                <w:szCs w:val="21"/>
              </w:rPr>
            </w:pPr>
          </w:p>
        </w:tc>
        <w:tc>
          <w:tcPr>
            <w:tcW w:w="1369" w:type="pct"/>
            <w:vAlign w:val="center"/>
          </w:tcPr>
          <w:p>
            <w:pPr>
              <w:adjustRightInd w:val="0"/>
              <w:snapToGrid w:val="0"/>
              <w:ind w:left="-88" w:leftChars="-42"/>
              <w:jc w:val="center"/>
              <w:rPr>
                <w:rFonts w:ascii="宋体" w:hAnsi="宋体" w:cs="宋体"/>
                <w:color w:val="auto"/>
                <w:szCs w:val="21"/>
              </w:rPr>
            </w:pPr>
          </w:p>
        </w:tc>
        <w:tc>
          <w:tcPr>
            <w:tcW w:w="638" w:type="pct"/>
            <w:vAlign w:val="center"/>
          </w:tcPr>
          <w:p>
            <w:pPr>
              <w:adjustRightInd w:val="0"/>
              <w:snapToGrid w:val="0"/>
              <w:ind w:left="-88" w:leftChars="-42"/>
              <w:jc w:val="center"/>
              <w:rPr>
                <w:rFonts w:ascii="宋体" w:hAnsi="宋体" w:cs="宋体"/>
                <w:color w:val="auto"/>
                <w:szCs w:val="21"/>
              </w:rPr>
            </w:pPr>
          </w:p>
        </w:tc>
        <w:tc>
          <w:tcPr>
            <w:tcW w:w="747"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1" w:hRule="atLeast"/>
          <w:jc w:val="center"/>
        </w:trPr>
        <w:tc>
          <w:tcPr>
            <w:tcW w:w="333" w:type="pct"/>
          </w:tcPr>
          <w:p>
            <w:pPr>
              <w:adjustRightInd w:val="0"/>
              <w:snapToGrid w:val="0"/>
              <w:ind w:left="-88" w:leftChars="-42"/>
              <w:jc w:val="center"/>
              <w:rPr>
                <w:rFonts w:ascii="宋体" w:hAnsi="宋体" w:cs="宋体"/>
                <w:color w:val="auto"/>
                <w:szCs w:val="21"/>
              </w:rPr>
            </w:pPr>
          </w:p>
        </w:tc>
        <w:tc>
          <w:tcPr>
            <w:tcW w:w="886" w:type="pct"/>
            <w:vAlign w:val="center"/>
          </w:tcPr>
          <w:p>
            <w:pPr>
              <w:adjustRightInd w:val="0"/>
              <w:snapToGrid w:val="0"/>
              <w:ind w:left="-88" w:leftChars="-42"/>
              <w:jc w:val="center"/>
              <w:rPr>
                <w:rFonts w:ascii="宋体" w:hAnsi="宋体" w:cs="宋体"/>
                <w:color w:val="auto"/>
                <w:szCs w:val="21"/>
              </w:rPr>
            </w:pPr>
          </w:p>
        </w:tc>
        <w:tc>
          <w:tcPr>
            <w:tcW w:w="1024" w:type="pct"/>
            <w:vAlign w:val="center"/>
          </w:tcPr>
          <w:p>
            <w:pPr>
              <w:adjustRightInd w:val="0"/>
              <w:snapToGrid w:val="0"/>
              <w:ind w:left="-88" w:leftChars="-42"/>
              <w:jc w:val="center"/>
              <w:rPr>
                <w:rFonts w:ascii="宋体" w:hAnsi="宋体" w:cs="宋体"/>
                <w:color w:val="auto"/>
                <w:szCs w:val="21"/>
              </w:rPr>
            </w:pPr>
          </w:p>
        </w:tc>
        <w:tc>
          <w:tcPr>
            <w:tcW w:w="1369" w:type="pct"/>
            <w:vAlign w:val="center"/>
          </w:tcPr>
          <w:p>
            <w:pPr>
              <w:adjustRightInd w:val="0"/>
              <w:snapToGrid w:val="0"/>
              <w:ind w:left="-88" w:leftChars="-42"/>
              <w:jc w:val="center"/>
              <w:rPr>
                <w:rFonts w:ascii="宋体" w:hAnsi="宋体" w:cs="宋体"/>
                <w:color w:val="auto"/>
                <w:szCs w:val="21"/>
              </w:rPr>
            </w:pPr>
          </w:p>
        </w:tc>
        <w:tc>
          <w:tcPr>
            <w:tcW w:w="638" w:type="pct"/>
            <w:vAlign w:val="center"/>
          </w:tcPr>
          <w:p>
            <w:pPr>
              <w:adjustRightInd w:val="0"/>
              <w:snapToGrid w:val="0"/>
              <w:ind w:left="-88" w:leftChars="-42"/>
              <w:jc w:val="center"/>
              <w:rPr>
                <w:rFonts w:ascii="宋体" w:hAnsi="宋体" w:cs="宋体"/>
                <w:color w:val="auto"/>
                <w:szCs w:val="21"/>
              </w:rPr>
            </w:pPr>
          </w:p>
        </w:tc>
        <w:tc>
          <w:tcPr>
            <w:tcW w:w="747"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1" w:hRule="atLeast"/>
          <w:jc w:val="center"/>
        </w:trPr>
        <w:tc>
          <w:tcPr>
            <w:tcW w:w="333" w:type="pct"/>
          </w:tcPr>
          <w:p>
            <w:pPr>
              <w:adjustRightInd w:val="0"/>
              <w:snapToGrid w:val="0"/>
              <w:ind w:left="-88" w:leftChars="-42"/>
              <w:jc w:val="center"/>
              <w:rPr>
                <w:rFonts w:ascii="宋体" w:hAnsi="宋体" w:cs="宋体"/>
                <w:color w:val="auto"/>
                <w:szCs w:val="21"/>
              </w:rPr>
            </w:pPr>
          </w:p>
        </w:tc>
        <w:tc>
          <w:tcPr>
            <w:tcW w:w="886" w:type="pct"/>
            <w:vAlign w:val="center"/>
          </w:tcPr>
          <w:p>
            <w:pPr>
              <w:adjustRightInd w:val="0"/>
              <w:snapToGrid w:val="0"/>
              <w:ind w:left="-88" w:leftChars="-42"/>
              <w:jc w:val="center"/>
              <w:rPr>
                <w:rFonts w:ascii="宋体" w:hAnsi="宋体" w:cs="宋体"/>
                <w:color w:val="auto"/>
                <w:szCs w:val="21"/>
              </w:rPr>
            </w:pPr>
          </w:p>
        </w:tc>
        <w:tc>
          <w:tcPr>
            <w:tcW w:w="1024" w:type="pct"/>
            <w:vAlign w:val="center"/>
          </w:tcPr>
          <w:p>
            <w:pPr>
              <w:adjustRightInd w:val="0"/>
              <w:snapToGrid w:val="0"/>
              <w:ind w:left="-88" w:leftChars="-42"/>
              <w:jc w:val="center"/>
              <w:rPr>
                <w:rFonts w:ascii="宋体" w:hAnsi="宋体" w:cs="宋体"/>
                <w:color w:val="auto"/>
                <w:szCs w:val="21"/>
              </w:rPr>
            </w:pPr>
          </w:p>
        </w:tc>
        <w:tc>
          <w:tcPr>
            <w:tcW w:w="1369" w:type="pct"/>
            <w:vAlign w:val="center"/>
          </w:tcPr>
          <w:p>
            <w:pPr>
              <w:adjustRightInd w:val="0"/>
              <w:snapToGrid w:val="0"/>
              <w:ind w:left="-88" w:leftChars="-42"/>
              <w:jc w:val="center"/>
              <w:rPr>
                <w:rFonts w:ascii="宋体" w:hAnsi="宋体" w:cs="宋体"/>
                <w:color w:val="auto"/>
                <w:szCs w:val="21"/>
              </w:rPr>
            </w:pPr>
          </w:p>
        </w:tc>
        <w:tc>
          <w:tcPr>
            <w:tcW w:w="638" w:type="pct"/>
            <w:vAlign w:val="center"/>
          </w:tcPr>
          <w:p>
            <w:pPr>
              <w:adjustRightInd w:val="0"/>
              <w:snapToGrid w:val="0"/>
              <w:ind w:left="-88" w:leftChars="-42"/>
              <w:jc w:val="center"/>
              <w:rPr>
                <w:rFonts w:ascii="宋体" w:hAnsi="宋体" w:cs="宋体"/>
                <w:color w:val="auto"/>
                <w:szCs w:val="21"/>
              </w:rPr>
            </w:pPr>
          </w:p>
        </w:tc>
        <w:tc>
          <w:tcPr>
            <w:tcW w:w="747"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1" w:hRule="atLeast"/>
          <w:jc w:val="center"/>
        </w:trPr>
        <w:tc>
          <w:tcPr>
            <w:tcW w:w="333" w:type="pct"/>
          </w:tcPr>
          <w:p>
            <w:pPr>
              <w:adjustRightInd w:val="0"/>
              <w:snapToGrid w:val="0"/>
              <w:ind w:left="-88" w:leftChars="-42"/>
              <w:jc w:val="center"/>
              <w:rPr>
                <w:rFonts w:ascii="宋体" w:hAnsi="宋体" w:cs="宋体"/>
                <w:color w:val="auto"/>
                <w:szCs w:val="21"/>
              </w:rPr>
            </w:pPr>
          </w:p>
        </w:tc>
        <w:tc>
          <w:tcPr>
            <w:tcW w:w="886" w:type="pct"/>
            <w:vAlign w:val="center"/>
          </w:tcPr>
          <w:p>
            <w:pPr>
              <w:adjustRightInd w:val="0"/>
              <w:snapToGrid w:val="0"/>
              <w:ind w:left="-88" w:leftChars="-42"/>
              <w:jc w:val="center"/>
              <w:rPr>
                <w:rFonts w:ascii="宋体" w:hAnsi="宋体" w:cs="宋体"/>
                <w:color w:val="auto"/>
                <w:szCs w:val="21"/>
              </w:rPr>
            </w:pPr>
          </w:p>
        </w:tc>
        <w:tc>
          <w:tcPr>
            <w:tcW w:w="1024" w:type="pct"/>
            <w:vAlign w:val="center"/>
          </w:tcPr>
          <w:p>
            <w:pPr>
              <w:adjustRightInd w:val="0"/>
              <w:snapToGrid w:val="0"/>
              <w:ind w:left="-88" w:leftChars="-42"/>
              <w:jc w:val="center"/>
              <w:rPr>
                <w:rFonts w:ascii="宋体" w:hAnsi="宋体" w:cs="宋体"/>
                <w:color w:val="auto"/>
                <w:szCs w:val="21"/>
              </w:rPr>
            </w:pPr>
          </w:p>
        </w:tc>
        <w:tc>
          <w:tcPr>
            <w:tcW w:w="1369" w:type="pct"/>
            <w:vAlign w:val="center"/>
          </w:tcPr>
          <w:p>
            <w:pPr>
              <w:adjustRightInd w:val="0"/>
              <w:snapToGrid w:val="0"/>
              <w:ind w:left="-88" w:leftChars="-42"/>
              <w:jc w:val="center"/>
              <w:rPr>
                <w:rFonts w:ascii="宋体" w:hAnsi="宋体" w:cs="宋体"/>
                <w:color w:val="auto"/>
                <w:szCs w:val="21"/>
              </w:rPr>
            </w:pPr>
          </w:p>
        </w:tc>
        <w:tc>
          <w:tcPr>
            <w:tcW w:w="1386" w:type="pct"/>
            <w:gridSpan w:val="2"/>
            <w:vMerge w:val="restart"/>
            <w:vAlign w:val="center"/>
          </w:tcPr>
          <w:p>
            <w:pPr>
              <w:keepNext w:val="0"/>
              <w:keepLines w:val="0"/>
              <w:pageBreakBefore w:val="0"/>
              <w:widowControl w:val="0"/>
              <w:kinsoku/>
              <w:wordWrap/>
              <w:overflowPunct/>
              <w:topLinePunct w:val="0"/>
              <w:autoSpaceDE/>
              <w:autoSpaceDN/>
              <w:bidi w:val="0"/>
              <w:adjustRightInd w:val="0"/>
              <w:snapToGrid w:val="0"/>
              <w:ind w:left="0" w:leftChars="0"/>
              <w:jc w:val="center"/>
              <w:textAlignment w:val="auto"/>
              <w:rPr>
                <w:rFonts w:ascii="宋体" w:hAnsi="宋体" w:cs="宋体"/>
                <w:color w:val="auto"/>
                <w:szCs w:val="21"/>
              </w:rPr>
            </w:pPr>
            <w:r>
              <w:rPr>
                <w:rFonts w:hint="eastAsia" w:ascii="宋体" w:hAnsi="宋体"/>
                <w:b/>
                <w:color w:val="auto"/>
                <w:sz w:val="18"/>
                <w:szCs w:val="18"/>
              </w:rPr>
              <w:t>供应商保证：除本技术/商务响应与偏离表列出的偏离外，我单位对</w:t>
            </w:r>
            <w:r>
              <w:rPr>
                <w:rFonts w:hint="eastAsia" w:ascii="宋体" w:hAnsi="宋体"/>
                <w:b/>
                <w:color w:val="auto"/>
                <w:sz w:val="18"/>
                <w:szCs w:val="18"/>
                <w:lang w:val="en-US" w:eastAsia="zh-CN"/>
              </w:rPr>
              <w:t>磋商</w:t>
            </w:r>
            <w:r>
              <w:rPr>
                <w:rFonts w:hint="eastAsia" w:ascii="宋体" w:hAnsi="宋体"/>
                <w:b/>
                <w:color w:val="auto"/>
                <w:sz w:val="18"/>
                <w:szCs w:val="18"/>
              </w:rPr>
              <w:t>文件的其他技术、商务条款完全响应，无偏离。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9" w:hRule="atLeast"/>
          <w:jc w:val="center"/>
        </w:trPr>
        <w:tc>
          <w:tcPr>
            <w:tcW w:w="333" w:type="pct"/>
          </w:tcPr>
          <w:p>
            <w:pPr>
              <w:adjustRightInd w:val="0"/>
              <w:snapToGrid w:val="0"/>
              <w:ind w:left="-88" w:leftChars="-42"/>
              <w:jc w:val="center"/>
              <w:rPr>
                <w:rFonts w:ascii="宋体" w:hAnsi="宋体" w:cs="宋体"/>
                <w:color w:val="auto"/>
                <w:szCs w:val="21"/>
              </w:rPr>
            </w:pPr>
          </w:p>
        </w:tc>
        <w:tc>
          <w:tcPr>
            <w:tcW w:w="886" w:type="pct"/>
            <w:vAlign w:val="center"/>
          </w:tcPr>
          <w:p>
            <w:pPr>
              <w:adjustRightInd w:val="0"/>
              <w:snapToGrid w:val="0"/>
              <w:ind w:left="-88" w:leftChars="-42"/>
              <w:jc w:val="center"/>
              <w:rPr>
                <w:rFonts w:ascii="宋体" w:hAnsi="宋体" w:cs="宋体"/>
                <w:color w:val="auto"/>
                <w:szCs w:val="21"/>
              </w:rPr>
            </w:pPr>
          </w:p>
        </w:tc>
        <w:tc>
          <w:tcPr>
            <w:tcW w:w="1024" w:type="pct"/>
            <w:vAlign w:val="center"/>
          </w:tcPr>
          <w:p>
            <w:pPr>
              <w:adjustRightInd w:val="0"/>
              <w:snapToGrid w:val="0"/>
              <w:ind w:left="-88" w:leftChars="-42"/>
              <w:jc w:val="center"/>
              <w:rPr>
                <w:rFonts w:ascii="宋体" w:hAnsi="宋体" w:cs="宋体"/>
                <w:color w:val="auto"/>
                <w:szCs w:val="21"/>
              </w:rPr>
            </w:pPr>
          </w:p>
        </w:tc>
        <w:tc>
          <w:tcPr>
            <w:tcW w:w="1369" w:type="pct"/>
            <w:vAlign w:val="center"/>
          </w:tcPr>
          <w:p>
            <w:pPr>
              <w:adjustRightInd w:val="0"/>
              <w:snapToGrid w:val="0"/>
              <w:ind w:left="-88" w:leftChars="-42"/>
              <w:jc w:val="center"/>
              <w:rPr>
                <w:rFonts w:ascii="宋体" w:hAnsi="宋体" w:cs="宋体"/>
                <w:color w:val="auto"/>
                <w:szCs w:val="21"/>
              </w:rPr>
            </w:pPr>
          </w:p>
        </w:tc>
        <w:tc>
          <w:tcPr>
            <w:tcW w:w="1386" w:type="pct"/>
            <w:gridSpan w:val="2"/>
            <w:vMerge w:val="continue"/>
            <w:vAlign w:val="center"/>
          </w:tcPr>
          <w:p>
            <w:pPr>
              <w:adjustRightInd w:val="0"/>
              <w:snapToGrid w:val="0"/>
              <w:ind w:left="-88" w:leftChars="-42"/>
              <w:jc w:val="center"/>
              <w:rPr>
                <w:rFonts w:ascii="宋体" w:hAnsi="宋体" w:cs="宋体"/>
                <w:color w:val="auto"/>
                <w:szCs w:val="21"/>
              </w:rPr>
            </w:pPr>
          </w:p>
        </w:tc>
      </w:tr>
    </w:tbl>
    <w:p>
      <w:pPr>
        <w:adjustRightInd w:val="0"/>
        <w:snapToGrid w:val="0"/>
        <w:spacing w:line="360" w:lineRule="auto"/>
        <w:ind w:left="-88" w:leftChars="-42"/>
        <w:rPr>
          <w:rFonts w:ascii="宋体" w:hAnsi="宋体" w:cs="宋体"/>
          <w:color w:val="auto"/>
          <w:szCs w:val="21"/>
        </w:rPr>
      </w:pPr>
      <w:r>
        <w:rPr>
          <w:rFonts w:hint="eastAsia" w:ascii="宋体" w:hAnsi="宋体" w:cs="宋体"/>
          <w:color w:val="auto"/>
          <w:szCs w:val="21"/>
        </w:rPr>
        <w:t>说明：1、“响应与偏离”应注明“响应”或“偏离”。</w:t>
      </w:r>
    </w:p>
    <w:p>
      <w:pPr>
        <w:adjustRightInd w:val="0"/>
        <w:snapToGrid w:val="0"/>
        <w:spacing w:line="360" w:lineRule="auto"/>
        <w:rPr>
          <w:rFonts w:ascii="宋体" w:hAnsi="宋体" w:cs="宋体"/>
          <w:color w:val="auto"/>
          <w:szCs w:val="21"/>
        </w:rPr>
      </w:pPr>
      <w:r>
        <w:rPr>
          <w:rFonts w:hint="eastAsia" w:ascii="宋体" w:hAnsi="宋体" w:cs="宋体"/>
          <w:b/>
          <w:color w:val="auto"/>
          <w:szCs w:val="21"/>
        </w:rPr>
        <w:t xml:space="preserve">     </w:t>
      </w:r>
      <w:r>
        <w:rPr>
          <w:rFonts w:hint="eastAsia" w:ascii="宋体" w:hAnsi="宋体" w:cs="宋体"/>
          <w:color w:val="auto"/>
          <w:szCs w:val="21"/>
        </w:rPr>
        <w:t>2、属磋商文件规定可能变动的内容在“说明”栏中注明。</w:t>
      </w:r>
    </w:p>
    <w:p>
      <w:pPr>
        <w:adjustRightInd w:val="0"/>
        <w:snapToGrid w:val="0"/>
        <w:spacing w:line="360" w:lineRule="auto"/>
        <w:outlineLvl w:val="0"/>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adjustRightInd w:val="0"/>
        <w:snapToGrid w:val="0"/>
        <w:spacing w:line="360" w:lineRule="auto"/>
        <w:outlineLvl w:val="0"/>
        <w:rPr>
          <w:rFonts w:ascii="宋体" w:hAnsi="宋体" w:cs="宋体"/>
          <w:bCs/>
          <w:color w:val="auto"/>
          <w:szCs w:val="21"/>
        </w:rPr>
      </w:pPr>
      <w:r>
        <w:rPr>
          <w:rFonts w:hint="eastAsia" w:ascii="宋体" w:hAnsi="宋体" w:cs="宋体"/>
          <w:color w:val="auto"/>
          <w:szCs w:val="21"/>
        </w:rPr>
        <w:t>供应商名称（盖单位章）：</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 xml:space="preserve">日          期： </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 xml:space="preserve"> 月 </w:t>
      </w:r>
      <w:r>
        <w:rPr>
          <w:rFonts w:hint="eastAsia" w:ascii="宋体" w:hAnsi="宋体" w:cs="宋体"/>
          <w:color w:val="auto"/>
          <w:szCs w:val="21"/>
          <w:u w:val="single"/>
        </w:rPr>
        <w:t xml:space="preserve">   </w:t>
      </w:r>
      <w:r>
        <w:rPr>
          <w:rFonts w:hint="eastAsia" w:ascii="宋体" w:hAnsi="宋体" w:cs="宋体"/>
          <w:color w:val="auto"/>
          <w:szCs w:val="21"/>
        </w:rPr>
        <w:t xml:space="preserve"> 日</w:t>
      </w:r>
    </w:p>
    <w:p>
      <w:pPr>
        <w:adjustRightInd w:val="0"/>
        <w:snapToGrid w:val="0"/>
        <w:spacing w:line="360" w:lineRule="auto"/>
        <w:rPr>
          <w:rFonts w:ascii="宋体" w:hAnsi="宋体" w:cs="宋体"/>
          <w:color w:val="auto"/>
          <w:szCs w:val="21"/>
        </w:rPr>
      </w:pPr>
    </w:p>
    <w:p>
      <w:pPr>
        <w:tabs>
          <w:tab w:val="left" w:pos="3600"/>
        </w:tabs>
        <w:adjustRightInd w:val="0"/>
        <w:snapToGrid w:val="0"/>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pStyle w:val="65"/>
        <w:rPr>
          <w:rFonts w:ascii="宋体" w:hAnsi="宋体" w:eastAsia="宋体" w:cs="宋体"/>
          <w:color w:val="auto"/>
          <w:sz w:val="21"/>
          <w:szCs w:val="21"/>
        </w:rPr>
      </w:pPr>
    </w:p>
    <w:p>
      <w:pPr>
        <w:jc w:val="cente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jc w:val="center"/>
        <w:rPr>
          <w:rFonts w:ascii="宋体" w:hAnsi="宋体" w:cs="宋体"/>
          <w:b/>
          <w:color w:val="auto"/>
          <w:sz w:val="32"/>
          <w:szCs w:val="32"/>
        </w:rPr>
      </w:pPr>
      <w:r>
        <w:rPr>
          <w:rFonts w:hint="eastAsia" w:ascii="宋体" w:hAnsi="宋体" w:cs="宋体"/>
          <w:b/>
          <w:color w:val="auto"/>
          <w:sz w:val="32"/>
          <w:szCs w:val="32"/>
          <w:lang w:val="en-US" w:eastAsia="zh-CN"/>
        </w:rPr>
        <w:t>七</w:t>
      </w:r>
      <w:r>
        <w:rPr>
          <w:rFonts w:hint="eastAsia" w:ascii="宋体" w:hAnsi="宋体" w:cs="宋体"/>
          <w:b/>
          <w:color w:val="auto"/>
          <w:sz w:val="32"/>
          <w:szCs w:val="32"/>
        </w:rPr>
        <w:t>、报价一览表</w:t>
      </w:r>
    </w:p>
    <w:p>
      <w:pPr>
        <w:tabs>
          <w:tab w:val="left" w:pos="1680"/>
        </w:tabs>
        <w:adjustRightInd w:val="0"/>
        <w:snapToGrid w:val="0"/>
        <w:rPr>
          <w:rFonts w:ascii="宋体" w:hAnsi="宋体" w:cs="宋体"/>
          <w:b/>
          <w:bCs/>
          <w:color w:val="auto"/>
          <w:szCs w:val="21"/>
        </w:rPr>
      </w:pPr>
      <w:r>
        <w:rPr>
          <w:rFonts w:hint="eastAsia" w:ascii="宋体" w:hAnsi="宋体" w:cs="宋体"/>
          <w:b/>
          <w:bCs/>
          <w:color w:val="auto"/>
          <w:szCs w:val="21"/>
        </w:rPr>
        <w:t>附件</w:t>
      </w:r>
      <w:r>
        <w:rPr>
          <w:rFonts w:hint="eastAsia" w:ascii="宋体" w:hAnsi="宋体" w:cs="宋体"/>
          <w:b/>
          <w:bCs/>
          <w:color w:val="auto"/>
          <w:szCs w:val="21"/>
          <w:lang w:val="en-US" w:eastAsia="zh-CN"/>
        </w:rPr>
        <w:t>10</w:t>
      </w:r>
      <w:r>
        <w:rPr>
          <w:rFonts w:hint="eastAsia" w:ascii="宋体" w:hAnsi="宋体" w:cs="宋体"/>
          <w:b/>
          <w:bCs/>
          <w:color w:val="auto"/>
          <w:szCs w:val="21"/>
        </w:rPr>
        <w:tab/>
      </w:r>
    </w:p>
    <w:p>
      <w:pPr>
        <w:adjustRightInd w:val="0"/>
        <w:snapToGrid w:val="0"/>
        <w:jc w:val="center"/>
        <w:rPr>
          <w:rFonts w:ascii="宋体" w:hAnsi="宋体" w:cs="宋体"/>
          <w:b/>
          <w:bCs/>
          <w:color w:val="auto"/>
          <w:szCs w:val="21"/>
        </w:rPr>
      </w:pPr>
    </w:p>
    <w:p>
      <w:pPr>
        <w:adjustRightInd w:val="0"/>
        <w:snapToGrid w:val="0"/>
        <w:jc w:val="center"/>
        <w:rPr>
          <w:rFonts w:ascii="宋体" w:hAnsi="宋体" w:cs="宋体"/>
          <w:b/>
          <w:bCs/>
          <w:color w:val="auto"/>
          <w:sz w:val="28"/>
          <w:szCs w:val="28"/>
        </w:rPr>
      </w:pPr>
      <w:r>
        <w:rPr>
          <w:rFonts w:hint="eastAsia" w:ascii="宋体" w:hAnsi="宋体" w:cs="宋体"/>
          <w:b/>
          <w:bCs/>
          <w:color w:val="auto"/>
          <w:sz w:val="28"/>
          <w:szCs w:val="28"/>
        </w:rPr>
        <w:t>报价一览表（服务类适用）</w:t>
      </w:r>
    </w:p>
    <w:tbl>
      <w:tblPr>
        <w:tblStyle w:val="47"/>
        <w:tblW w:w="497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6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1378" w:type="pct"/>
            <w:tcBorders>
              <w:tl2br w:val="nil"/>
              <w:tr2bl w:val="nil"/>
            </w:tcBorders>
            <w:vAlign w:val="center"/>
          </w:tcPr>
          <w:p>
            <w:pPr>
              <w:ind w:right="23" w:rightChars="11"/>
              <w:jc w:val="center"/>
              <w:rPr>
                <w:rFonts w:ascii="宋体" w:hAnsi="宋体"/>
                <w:color w:val="auto"/>
                <w:szCs w:val="21"/>
              </w:rPr>
            </w:pPr>
            <w:r>
              <w:rPr>
                <w:rFonts w:ascii="宋体" w:hAnsi="宋体"/>
                <w:color w:val="auto"/>
                <w:szCs w:val="21"/>
              </w:rPr>
              <w:t>项目</w:t>
            </w:r>
            <w:r>
              <w:rPr>
                <w:rFonts w:hint="eastAsia" w:ascii="宋体" w:hAnsi="宋体"/>
                <w:color w:val="auto"/>
                <w:szCs w:val="21"/>
              </w:rPr>
              <w:t>名称</w:t>
            </w:r>
          </w:p>
        </w:tc>
        <w:tc>
          <w:tcPr>
            <w:tcW w:w="3621" w:type="pct"/>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34" w:hRule="atLeast"/>
          <w:jc w:val="center"/>
        </w:trPr>
        <w:tc>
          <w:tcPr>
            <w:tcW w:w="1378" w:type="pct"/>
            <w:tcBorders>
              <w:tl2br w:val="nil"/>
              <w:tr2bl w:val="nil"/>
            </w:tcBorders>
            <w:vAlign w:val="center"/>
          </w:tcPr>
          <w:p>
            <w:pPr>
              <w:ind w:right="23" w:rightChars="11"/>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总价</w:t>
            </w:r>
          </w:p>
        </w:tc>
        <w:tc>
          <w:tcPr>
            <w:tcW w:w="3621" w:type="pct"/>
            <w:tcBorders>
              <w:tl2br w:val="nil"/>
              <w:tr2bl w:val="nil"/>
            </w:tcBorders>
            <w:vAlign w:val="center"/>
          </w:tcPr>
          <w:p>
            <w:pPr>
              <w:jc w:val="both"/>
              <w:rPr>
                <w:rFonts w:ascii="Times New Roman" w:hAnsi="Times New Roman" w:eastAsia="宋体" w:cs="Times New Roman"/>
                <w:szCs w:val="24"/>
                <w:highlight w:val="none"/>
              </w:rPr>
            </w:pPr>
            <w:r>
              <w:rPr>
                <w:rFonts w:hint="eastAsia" w:ascii="Times New Roman" w:hAnsi="Times New Roman" w:eastAsia="宋体" w:cs="Times New Roman"/>
                <w:szCs w:val="24"/>
                <w:highlight w:val="none"/>
              </w:rPr>
              <w:t>大写：</w:t>
            </w:r>
            <w:r>
              <w:rPr>
                <w:rFonts w:ascii="Times New Roman" w:hAnsi="Times New Roman" w:eastAsia="宋体" w:cs="Times New Roman"/>
                <w:szCs w:val="24"/>
                <w:highlight w:val="none"/>
                <w:u w:val="single"/>
              </w:rPr>
              <w:t xml:space="preserve">                    </w:t>
            </w:r>
            <w:r>
              <w:rPr>
                <w:rFonts w:hint="eastAsia" w:ascii="Times New Roman" w:hAnsi="Times New Roman" w:eastAsia="宋体" w:cs="Times New Roman"/>
                <w:szCs w:val="24"/>
                <w:highlight w:val="none"/>
              </w:rPr>
              <w:t>元人民币整</w:t>
            </w:r>
          </w:p>
          <w:p>
            <w:pPr>
              <w:spacing w:line="420" w:lineRule="exact"/>
              <w:jc w:val="both"/>
              <w:rPr>
                <w:rFonts w:hint="default" w:ascii="宋体" w:hAnsi="宋体" w:eastAsia="宋体" w:cs="宋体"/>
                <w:color w:val="auto"/>
                <w:szCs w:val="21"/>
                <w:lang w:val="en-US" w:eastAsia="zh-CN"/>
              </w:rPr>
            </w:pPr>
            <w:r>
              <w:rPr>
                <w:rFonts w:hint="eastAsia" w:ascii="Times New Roman" w:hAnsi="Times New Roman" w:eastAsia="宋体" w:cs="Times New Roman"/>
                <w:szCs w:val="24"/>
                <w:highlight w:val="none"/>
              </w:rPr>
              <w:t>小写：</w:t>
            </w:r>
            <w:r>
              <w:rPr>
                <w:rFonts w:ascii="Times New Roman" w:hAnsi="Times New Roman" w:eastAsia="宋体" w:cs="Times New Roman"/>
                <w:szCs w:val="24"/>
                <w:highlight w:val="none"/>
                <w:u w:val="single"/>
              </w:rPr>
              <w:t xml:space="preserve">                    </w:t>
            </w:r>
            <w:r>
              <w:rPr>
                <w:rFonts w:hint="eastAsia" w:ascii="Times New Roman" w:hAnsi="Times New Roman" w:eastAsia="宋体" w:cs="Times New Roman"/>
                <w:szCs w:val="24"/>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89" w:hRule="atLeast"/>
          <w:jc w:val="center"/>
        </w:trPr>
        <w:tc>
          <w:tcPr>
            <w:tcW w:w="1378" w:type="pct"/>
            <w:tcBorders>
              <w:tl2br w:val="nil"/>
              <w:tr2bl w:val="nil"/>
            </w:tcBorders>
            <w:vAlign w:val="center"/>
          </w:tcPr>
          <w:p>
            <w:pPr>
              <w:ind w:right="23" w:rightChars="11"/>
              <w:jc w:val="center"/>
              <w:rPr>
                <w:rFonts w:hint="default" w:ascii="宋体" w:hAnsi="宋体"/>
                <w:color w:val="auto"/>
                <w:szCs w:val="21"/>
                <w:lang w:val="en-US" w:eastAsia="zh-CN"/>
              </w:rPr>
            </w:pPr>
            <w:r>
              <w:rPr>
                <w:rFonts w:hint="eastAsia" w:ascii="宋体" w:hAnsi="宋体"/>
                <w:color w:val="auto"/>
                <w:szCs w:val="21"/>
                <w:lang w:val="en-US" w:eastAsia="zh-CN"/>
              </w:rPr>
              <w:t>项目负责人</w:t>
            </w:r>
          </w:p>
        </w:tc>
        <w:tc>
          <w:tcPr>
            <w:tcW w:w="3621" w:type="pct"/>
            <w:tcBorders>
              <w:tl2br w:val="nil"/>
              <w:tr2bl w:val="nil"/>
            </w:tcBorders>
            <w:vAlign w:val="center"/>
          </w:tcPr>
          <w:p>
            <w:pPr>
              <w:ind w:right="23" w:rightChars="11"/>
              <w:jc w:val="both"/>
              <w:rPr>
                <w:rFonts w:hint="eastAsia" w:ascii="宋体" w:hAnsi="宋体"/>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378" w:type="pct"/>
            <w:tcBorders>
              <w:tl2br w:val="nil"/>
              <w:tr2bl w:val="nil"/>
            </w:tcBorders>
            <w:vAlign w:val="center"/>
          </w:tcPr>
          <w:p>
            <w:pPr>
              <w:ind w:right="23" w:rightChars="11"/>
              <w:jc w:val="center"/>
              <w:rPr>
                <w:rFonts w:hint="eastAsia" w:ascii="宋体" w:hAnsi="宋体" w:eastAsia="宋体"/>
                <w:color w:val="auto"/>
                <w:szCs w:val="21"/>
                <w:lang w:val="en-US" w:eastAsia="zh-CN"/>
              </w:rPr>
            </w:pPr>
            <w:r>
              <w:rPr>
                <w:rFonts w:hint="eastAsia" w:ascii="宋体" w:hAnsi="宋体"/>
                <w:color w:val="auto"/>
                <w:szCs w:val="21"/>
                <w:lang w:val="en-US" w:eastAsia="zh-CN"/>
              </w:rPr>
              <w:t>备注</w:t>
            </w:r>
          </w:p>
        </w:tc>
        <w:tc>
          <w:tcPr>
            <w:tcW w:w="3621" w:type="pct"/>
            <w:tcBorders>
              <w:tl2br w:val="nil"/>
              <w:tr2bl w:val="nil"/>
            </w:tcBorders>
            <w:vAlign w:val="center"/>
          </w:tcPr>
          <w:p>
            <w:pPr>
              <w:rPr>
                <w:rFonts w:hint="default"/>
                <w:color w:val="auto"/>
                <w:lang w:val="en-US" w:eastAsia="zh-CN"/>
              </w:rPr>
            </w:pPr>
          </w:p>
        </w:tc>
      </w:tr>
    </w:tbl>
    <w:p>
      <w:pPr>
        <w:adjustRightInd w:val="0"/>
        <w:snapToGrid w:val="0"/>
        <w:spacing w:line="360" w:lineRule="auto"/>
        <w:ind w:left="-88" w:leftChars="-42"/>
        <w:rPr>
          <w:rFonts w:ascii="宋体" w:hAnsi="宋体" w:cs="宋体"/>
          <w:color w:val="auto"/>
          <w:szCs w:val="21"/>
        </w:rPr>
      </w:pPr>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供应商（盖单位章）：</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lang w:eastAsia="zh-CN"/>
        </w:rPr>
        <w:t>（</w:t>
      </w:r>
      <w:r>
        <w:rPr>
          <w:rFonts w:hint="eastAsia" w:ascii="宋体" w:hAnsi="宋体" w:cs="宋体"/>
          <w:color w:val="auto"/>
          <w:szCs w:val="21"/>
        </w:rPr>
        <w:t>签字</w:t>
      </w:r>
      <w:r>
        <w:rPr>
          <w:rFonts w:hint="eastAsia" w:ascii="宋体" w:hAnsi="宋体" w:cs="宋体"/>
          <w:color w:val="auto"/>
          <w:szCs w:val="21"/>
          <w:lang w:val="en-US" w:eastAsia="zh-CN"/>
        </w:rPr>
        <w:t>或盖章</w:t>
      </w:r>
      <w:r>
        <w:rPr>
          <w:rFonts w:hint="eastAsia" w:ascii="宋体" w:hAnsi="宋体" w:cs="宋体"/>
          <w:color w:val="auto"/>
          <w:szCs w:val="21"/>
          <w:lang w:eastAsia="zh-CN"/>
        </w:rPr>
        <w:t>）</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sectPr>
          <w:footerReference r:id="rId9" w:type="default"/>
          <w:pgSz w:w="11906" w:h="16838"/>
          <w:pgMar w:top="1361" w:right="1361" w:bottom="1361" w:left="1361" w:header="851" w:footer="992" w:gutter="0"/>
          <w:cols w:space="720" w:num="1"/>
          <w:docGrid w:type="linesAndChars" w:linePitch="312" w:charSpace="0"/>
        </w:sect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65"/>
        <w:rPr>
          <w:rFonts w:ascii="宋体" w:hAnsi="宋体" w:eastAsia="宋体" w:cs="宋体"/>
          <w:color w:val="auto"/>
          <w:sz w:val="21"/>
          <w:szCs w:val="21"/>
        </w:rPr>
      </w:pPr>
    </w:p>
    <w:p>
      <w:pPr>
        <w:tabs>
          <w:tab w:val="center" w:pos="4893"/>
          <w:tab w:val="left" w:pos="8541"/>
        </w:tabs>
        <w:adjustRightInd w:val="0"/>
        <w:snapToGrid w:val="0"/>
        <w:spacing w:line="360" w:lineRule="auto"/>
        <w:ind w:left="-88" w:leftChars="-42"/>
        <w:jc w:val="left"/>
        <w:rPr>
          <w:rFonts w:ascii="宋体" w:hAnsi="宋体" w:cs="宋体"/>
          <w:color w:val="auto"/>
          <w:sz w:val="32"/>
          <w:szCs w:val="32"/>
        </w:rPr>
      </w:pPr>
      <w:r>
        <w:rPr>
          <w:rFonts w:hint="eastAsia" w:ascii="宋体" w:hAnsi="宋体" w:cs="宋体"/>
          <w:b/>
          <w:color w:val="auto"/>
          <w:sz w:val="32"/>
          <w:szCs w:val="32"/>
        </w:rPr>
        <w:tab/>
      </w:r>
      <w:r>
        <w:rPr>
          <w:rFonts w:hint="eastAsia" w:ascii="宋体" w:hAnsi="宋体" w:cs="宋体"/>
          <w:b/>
          <w:color w:val="auto"/>
          <w:sz w:val="32"/>
          <w:szCs w:val="32"/>
          <w:lang w:val="en-US" w:eastAsia="zh-CN"/>
        </w:rPr>
        <w:t>八</w:t>
      </w:r>
      <w:r>
        <w:rPr>
          <w:rFonts w:hint="eastAsia" w:ascii="宋体" w:hAnsi="宋体" w:cs="宋体"/>
          <w:b/>
          <w:bCs/>
          <w:color w:val="auto"/>
          <w:sz w:val="32"/>
          <w:szCs w:val="32"/>
        </w:rPr>
        <w:t>、供应商认为需要提供的其它资料</w:t>
      </w:r>
      <w:r>
        <w:rPr>
          <w:rFonts w:hint="eastAsia" w:ascii="宋体" w:hAnsi="宋体" w:cs="宋体"/>
          <w:b/>
          <w:bCs/>
          <w:color w:val="auto"/>
          <w:sz w:val="32"/>
          <w:szCs w:val="32"/>
        </w:rPr>
        <w:tab/>
      </w: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pStyle w:val="65"/>
        <w:rPr>
          <w:rFonts w:ascii="宋体" w:hAnsi="宋体" w:eastAsia="宋体" w:cs="宋体"/>
          <w:color w:val="auto"/>
          <w:sz w:val="21"/>
          <w:szCs w:val="21"/>
        </w:rPr>
      </w:pPr>
    </w:p>
    <w:p>
      <w:pPr>
        <w:rPr>
          <w:rFonts w:ascii="宋体" w:hAnsi="宋体" w:cs="宋体"/>
          <w:b/>
          <w:color w:val="auto"/>
          <w:sz w:val="32"/>
          <w:szCs w:val="32"/>
        </w:rPr>
      </w:pPr>
      <w:r>
        <w:rPr>
          <w:rFonts w:hint="eastAsia" w:ascii="宋体" w:hAnsi="宋体" w:cs="宋体"/>
          <w:b/>
          <w:color w:val="auto"/>
          <w:sz w:val="32"/>
          <w:szCs w:val="32"/>
        </w:rPr>
        <w:br w:type="page"/>
      </w:r>
    </w:p>
    <w:p>
      <w:pPr>
        <w:adjustRightInd w:val="0"/>
        <w:snapToGrid w:val="0"/>
        <w:spacing w:before="120" w:beforeLines="50" w:line="360" w:lineRule="auto"/>
        <w:jc w:val="center"/>
        <w:outlineLvl w:val="0"/>
        <w:rPr>
          <w:rFonts w:ascii="宋体" w:hAnsi="宋体" w:cs="宋体"/>
          <w:b/>
          <w:color w:val="auto"/>
          <w:sz w:val="32"/>
          <w:szCs w:val="32"/>
        </w:rPr>
      </w:pPr>
      <w:r>
        <w:rPr>
          <w:rFonts w:hint="eastAsia" w:ascii="宋体" w:hAnsi="宋体" w:cs="宋体"/>
          <w:b/>
          <w:color w:val="auto"/>
          <w:sz w:val="32"/>
          <w:szCs w:val="32"/>
          <w:lang w:val="en-US" w:eastAsia="zh-CN"/>
        </w:rPr>
        <w:t>九</w:t>
      </w:r>
      <w:r>
        <w:rPr>
          <w:rFonts w:hint="eastAsia" w:ascii="宋体" w:hAnsi="宋体" w:cs="宋体"/>
          <w:b/>
          <w:color w:val="auto"/>
          <w:sz w:val="32"/>
          <w:szCs w:val="32"/>
        </w:rPr>
        <w:t>、最后报价</w:t>
      </w:r>
    </w:p>
    <w:p>
      <w:pPr>
        <w:adjustRightInd w:val="0"/>
        <w:snapToGrid w:val="0"/>
        <w:ind w:left="-88" w:leftChars="-42"/>
        <w:rPr>
          <w:rFonts w:ascii="宋体" w:hAnsi="宋体" w:cs="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说明：</w:t>
      </w:r>
    </w:p>
    <w:p>
      <w:pPr>
        <w:adjustRightInd w:val="0"/>
        <w:snapToGrid w:val="0"/>
        <w:spacing w:line="360" w:lineRule="auto"/>
        <w:ind w:left="-88" w:leftChars="-42" w:firstLine="525" w:firstLineChars="250"/>
        <w:rPr>
          <w:rFonts w:hint="default" w:ascii="宋体" w:hAnsi="宋体"/>
          <w:color w:val="auto"/>
          <w:szCs w:val="21"/>
          <w:lang w:val="en-US"/>
        </w:rPr>
      </w:pPr>
      <w:r>
        <w:rPr>
          <w:rFonts w:hint="eastAsia" w:ascii="宋体" w:hAnsi="宋体"/>
          <w:color w:val="auto"/>
          <w:szCs w:val="21"/>
        </w:rPr>
        <w:t>1、</w:t>
      </w:r>
      <w:r>
        <w:rPr>
          <w:rFonts w:hint="eastAsia" w:ascii="宋体" w:hAnsi="宋体" w:cs="宋体"/>
          <w:szCs w:val="21"/>
        </w:rPr>
        <w:t>最后报价按第二章磋商须知第25条规定提供，格式表格按</w:t>
      </w:r>
      <w:r>
        <w:rPr>
          <w:rFonts w:hint="eastAsia" w:ascii="宋体" w:hAnsi="宋体" w:cs="宋体"/>
          <w:b/>
          <w:bCs/>
          <w:szCs w:val="21"/>
        </w:rPr>
        <w:t>附件</w:t>
      </w:r>
      <w:r>
        <w:rPr>
          <w:rFonts w:hint="eastAsia" w:ascii="宋体" w:hAnsi="宋体" w:cs="宋体"/>
          <w:b/>
          <w:bCs/>
          <w:szCs w:val="21"/>
          <w:lang w:val="en-US" w:eastAsia="zh-CN"/>
        </w:rPr>
        <w:t>11</w:t>
      </w:r>
    </w:p>
    <w:p>
      <w:pPr>
        <w:adjustRightInd w:val="0"/>
        <w:snapToGrid w:val="0"/>
        <w:spacing w:line="360" w:lineRule="auto"/>
        <w:ind w:left="-88" w:leftChars="-42" w:firstLine="525" w:firstLineChars="250"/>
        <w:rPr>
          <w:rFonts w:hint="eastAsia" w:ascii="宋体" w:hAnsi="宋体" w:cs="宋体"/>
          <w:bCs/>
          <w:szCs w:val="21"/>
        </w:rPr>
      </w:pPr>
      <w:r>
        <w:rPr>
          <w:rFonts w:hint="eastAsia" w:ascii="宋体" w:hAnsi="宋体"/>
          <w:color w:val="auto"/>
          <w:szCs w:val="21"/>
        </w:rPr>
        <w:t>2、</w:t>
      </w:r>
      <w:r>
        <w:rPr>
          <w:rFonts w:hint="eastAsia" w:ascii="宋体" w:hAnsi="宋体" w:cs="宋体"/>
          <w:bCs/>
          <w:szCs w:val="21"/>
        </w:rPr>
        <w:t>请供应商自行准备</w:t>
      </w:r>
      <w:r>
        <w:rPr>
          <w:rFonts w:hint="eastAsia" w:ascii="宋体" w:hAnsi="宋体" w:cs="宋体"/>
          <w:b/>
          <w:szCs w:val="21"/>
        </w:rPr>
        <w:t>《最后报价》</w:t>
      </w:r>
      <w:r>
        <w:rPr>
          <w:rFonts w:hint="eastAsia" w:ascii="宋体" w:hAnsi="宋体" w:cs="宋体"/>
          <w:bCs/>
          <w:szCs w:val="21"/>
        </w:rPr>
        <w:t>，不装入响应文件中，由各供应商授权代表在磋商小组规定时间内现场提交最后报价。</w:t>
      </w:r>
    </w:p>
    <w:p>
      <w:pPr>
        <w:pStyle w:val="2"/>
        <w:rPr>
          <w:rFonts w:hint="eastAsia"/>
          <w:lang w:val="en-US" w:eastAsia="zh-CN"/>
        </w:rPr>
      </w:pPr>
    </w:p>
    <w:p>
      <w:pPr>
        <w:pStyle w:val="2"/>
        <w:rPr>
          <w:rFonts w:hint="default" w:eastAsia="宋体"/>
          <w:lang w:val="en-US" w:eastAsia="zh-CN"/>
        </w:rPr>
      </w:pPr>
      <w:r>
        <w:rPr>
          <w:rFonts w:hint="eastAsia"/>
          <w:lang w:val="en-US" w:eastAsia="zh-CN"/>
        </w:rPr>
        <w:t>附件11</w:t>
      </w:r>
    </w:p>
    <w:p>
      <w:pPr>
        <w:adjustRightInd w:val="0"/>
        <w:snapToGrid w:val="0"/>
        <w:jc w:val="center"/>
        <w:rPr>
          <w:rFonts w:ascii="宋体" w:hAnsi="宋体" w:cs="宋体"/>
          <w:b/>
          <w:bCs/>
          <w:color w:val="auto"/>
          <w:sz w:val="28"/>
          <w:szCs w:val="28"/>
        </w:rPr>
      </w:pPr>
      <w:r>
        <w:rPr>
          <w:rFonts w:hint="eastAsia" w:ascii="宋体" w:hAnsi="宋体" w:cs="宋体"/>
          <w:b/>
          <w:bCs/>
          <w:color w:val="auto"/>
          <w:sz w:val="28"/>
          <w:szCs w:val="28"/>
          <w:lang w:val="en-US" w:eastAsia="zh-CN"/>
        </w:rPr>
        <w:t>最后</w:t>
      </w:r>
      <w:r>
        <w:rPr>
          <w:rFonts w:hint="eastAsia" w:ascii="宋体" w:hAnsi="宋体" w:cs="宋体"/>
          <w:b/>
          <w:bCs/>
          <w:color w:val="auto"/>
          <w:sz w:val="28"/>
          <w:szCs w:val="28"/>
        </w:rPr>
        <w:t>报价一览表（服务类适用）</w:t>
      </w:r>
    </w:p>
    <w:tbl>
      <w:tblPr>
        <w:tblStyle w:val="47"/>
        <w:tblW w:w="497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580"/>
        <w:gridCol w:w="6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86" w:hRule="atLeast"/>
          <w:jc w:val="center"/>
        </w:trPr>
        <w:tc>
          <w:tcPr>
            <w:tcW w:w="1378" w:type="pct"/>
            <w:tcBorders>
              <w:tl2br w:val="nil"/>
              <w:tr2bl w:val="nil"/>
            </w:tcBorders>
            <w:vAlign w:val="center"/>
          </w:tcPr>
          <w:p>
            <w:pPr>
              <w:ind w:right="23" w:rightChars="11"/>
              <w:jc w:val="center"/>
              <w:rPr>
                <w:rFonts w:ascii="宋体" w:hAnsi="宋体"/>
                <w:color w:val="auto"/>
                <w:szCs w:val="21"/>
              </w:rPr>
            </w:pPr>
            <w:r>
              <w:rPr>
                <w:rFonts w:ascii="宋体" w:hAnsi="宋体"/>
                <w:color w:val="auto"/>
                <w:szCs w:val="21"/>
              </w:rPr>
              <w:t>项目</w:t>
            </w:r>
            <w:r>
              <w:rPr>
                <w:rFonts w:hint="eastAsia" w:ascii="宋体" w:hAnsi="宋体"/>
                <w:color w:val="auto"/>
                <w:szCs w:val="21"/>
              </w:rPr>
              <w:t>名称</w:t>
            </w:r>
          </w:p>
        </w:tc>
        <w:tc>
          <w:tcPr>
            <w:tcW w:w="3621" w:type="pct"/>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34" w:hRule="atLeast"/>
          <w:jc w:val="center"/>
        </w:trPr>
        <w:tc>
          <w:tcPr>
            <w:tcW w:w="1378" w:type="pct"/>
            <w:tcBorders>
              <w:tl2br w:val="nil"/>
              <w:tr2bl w:val="nil"/>
            </w:tcBorders>
            <w:vAlign w:val="center"/>
          </w:tcPr>
          <w:p>
            <w:pPr>
              <w:ind w:right="23" w:rightChars="11"/>
              <w:jc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总价</w:t>
            </w:r>
          </w:p>
        </w:tc>
        <w:tc>
          <w:tcPr>
            <w:tcW w:w="3621" w:type="pct"/>
            <w:tcBorders>
              <w:tl2br w:val="nil"/>
              <w:tr2bl w:val="nil"/>
            </w:tcBorders>
            <w:vAlign w:val="center"/>
          </w:tcPr>
          <w:p>
            <w:pPr>
              <w:jc w:val="both"/>
              <w:rPr>
                <w:rFonts w:ascii="Times New Roman" w:hAnsi="Times New Roman" w:eastAsia="宋体" w:cs="Times New Roman"/>
                <w:szCs w:val="24"/>
                <w:highlight w:val="none"/>
              </w:rPr>
            </w:pPr>
            <w:r>
              <w:rPr>
                <w:rFonts w:hint="eastAsia" w:ascii="Times New Roman" w:hAnsi="Times New Roman" w:eastAsia="宋体" w:cs="Times New Roman"/>
                <w:szCs w:val="24"/>
                <w:highlight w:val="none"/>
              </w:rPr>
              <w:t>大写：</w:t>
            </w:r>
            <w:r>
              <w:rPr>
                <w:rFonts w:ascii="Times New Roman" w:hAnsi="Times New Roman" w:eastAsia="宋体" w:cs="Times New Roman"/>
                <w:szCs w:val="24"/>
                <w:highlight w:val="none"/>
                <w:u w:val="single"/>
              </w:rPr>
              <w:t xml:space="preserve">                    </w:t>
            </w:r>
            <w:r>
              <w:rPr>
                <w:rFonts w:hint="eastAsia" w:ascii="Times New Roman" w:hAnsi="Times New Roman" w:eastAsia="宋体" w:cs="Times New Roman"/>
                <w:szCs w:val="24"/>
                <w:highlight w:val="none"/>
              </w:rPr>
              <w:t>元人民币整</w:t>
            </w:r>
          </w:p>
          <w:p>
            <w:pPr>
              <w:spacing w:line="420" w:lineRule="exact"/>
              <w:jc w:val="both"/>
              <w:rPr>
                <w:rFonts w:hint="default" w:ascii="宋体" w:hAnsi="宋体" w:eastAsia="宋体" w:cs="宋体"/>
                <w:color w:val="auto"/>
                <w:szCs w:val="21"/>
                <w:lang w:val="en-US" w:eastAsia="zh-CN"/>
              </w:rPr>
            </w:pPr>
            <w:r>
              <w:rPr>
                <w:rFonts w:hint="eastAsia" w:ascii="Times New Roman" w:hAnsi="Times New Roman" w:eastAsia="宋体" w:cs="Times New Roman"/>
                <w:szCs w:val="24"/>
                <w:highlight w:val="none"/>
              </w:rPr>
              <w:t>小写：</w:t>
            </w:r>
            <w:r>
              <w:rPr>
                <w:rFonts w:ascii="Times New Roman" w:hAnsi="Times New Roman" w:eastAsia="宋体" w:cs="Times New Roman"/>
                <w:szCs w:val="24"/>
                <w:highlight w:val="none"/>
                <w:u w:val="single"/>
              </w:rPr>
              <w:t xml:space="preserve">                    </w:t>
            </w:r>
            <w:r>
              <w:rPr>
                <w:rFonts w:hint="eastAsia" w:ascii="Times New Roman" w:hAnsi="Times New Roman" w:eastAsia="宋体" w:cs="Times New Roman"/>
                <w:szCs w:val="24"/>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89" w:hRule="atLeast"/>
          <w:jc w:val="center"/>
        </w:trPr>
        <w:tc>
          <w:tcPr>
            <w:tcW w:w="1378" w:type="pct"/>
            <w:tcBorders>
              <w:tl2br w:val="nil"/>
              <w:tr2bl w:val="nil"/>
            </w:tcBorders>
            <w:vAlign w:val="center"/>
          </w:tcPr>
          <w:p>
            <w:pPr>
              <w:ind w:right="23" w:rightChars="11"/>
              <w:jc w:val="center"/>
              <w:rPr>
                <w:rFonts w:hint="default" w:ascii="宋体" w:hAnsi="宋体"/>
                <w:color w:val="auto"/>
                <w:szCs w:val="21"/>
                <w:lang w:val="en-US" w:eastAsia="zh-CN"/>
              </w:rPr>
            </w:pPr>
            <w:r>
              <w:rPr>
                <w:rFonts w:hint="eastAsia" w:ascii="宋体" w:hAnsi="宋体"/>
                <w:color w:val="auto"/>
                <w:szCs w:val="21"/>
                <w:lang w:val="en-US" w:eastAsia="zh-CN"/>
              </w:rPr>
              <w:t>项目负责人</w:t>
            </w:r>
          </w:p>
        </w:tc>
        <w:tc>
          <w:tcPr>
            <w:tcW w:w="3621" w:type="pct"/>
            <w:tcBorders>
              <w:tl2br w:val="nil"/>
              <w:tr2bl w:val="nil"/>
            </w:tcBorders>
            <w:vAlign w:val="center"/>
          </w:tcPr>
          <w:p>
            <w:pPr>
              <w:ind w:right="23" w:rightChars="11"/>
              <w:jc w:val="both"/>
              <w:rPr>
                <w:rFonts w:hint="eastAsia" w:ascii="宋体" w:hAnsi="宋体"/>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3" w:hRule="atLeast"/>
          <w:jc w:val="center"/>
        </w:trPr>
        <w:tc>
          <w:tcPr>
            <w:tcW w:w="1378" w:type="pct"/>
            <w:tcBorders>
              <w:tl2br w:val="nil"/>
              <w:tr2bl w:val="nil"/>
            </w:tcBorders>
            <w:vAlign w:val="center"/>
          </w:tcPr>
          <w:p>
            <w:pPr>
              <w:ind w:right="23" w:rightChars="11"/>
              <w:jc w:val="center"/>
              <w:rPr>
                <w:rFonts w:hint="eastAsia" w:ascii="宋体" w:hAnsi="宋体" w:eastAsia="宋体"/>
                <w:color w:val="auto"/>
                <w:szCs w:val="21"/>
                <w:lang w:val="en-US" w:eastAsia="zh-CN"/>
              </w:rPr>
            </w:pPr>
            <w:r>
              <w:rPr>
                <w:rFonts w:hint="eastAsia" w:ascii="宋体" w:hAnsi="宋体"/>
                <w:color w:val="auto"/>
                <w:szCs w:val="21"/>
                <w:lang w:val="en-US" w:eastAsia="zh-CN"/>
              </w:rPr>
              <w:t>备注</w:t>
            </w:r>
          </w:p>
        </w:tc>
        <w:tc>
          <w:tcPr>
            <w:tcW w:w="3621" w:type="pct"/>
            <w:tcBorders>
              <w:tl2br w:val="nil"/>
              <w:tr2bl w:val="nil"/>
            </w:tcBorders>
            <w:vAlign w:val="center"/>
          </w:tcPr>
          <w:p>
            <w:pPr>
              <w:rPr>
                <w:rFonts w:hint="default"/>
                <w:color w:val="auto"/>
                <w:lang w:val="en-US" w:eastAsia="zh-CN"/>
              </w:rPr>
            </w:pPr>
          </w:p>
        </w:tc>
      </w:tr>
    </w:tbl>
    <w:p>
      <w:pPr>
        <w:adjustRightInd w:val="0"/>
        <w:snapToGrid w:val="0"/>
        <w:spacing w:line="360" w:lineRule="auto"/>
        <w:ind w:left="-88" w:leftChars="-42"/>
        <w:rPr>
          <w:rFonts w:ascii="宋体" w:hAnsi="宋体" w:cs="宋体"/>
          <w:color w:val="auto"/>
          <w:szCs w:val="21"/>
        </w:rPr>
      </w:pPr>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供应商（盖单位章）：</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lang w:eastAsia="zh-CN"/>
        </w:rPr>
        <w:t>（</w:t>
      </w:r>
      <w:r>
        <w:rPr>
          <w:rFonts w:hint="eastAsia" w:ascii="宋体" w:hAnsi="宋体" w:cs="宋体"/>
          <w:color w:val="auto"/>
          <w:szCs w:val="21"/>
        </w:rPr>
        <w:t>签字</w:t>
      </w:r>
      <w:r>
        <w:rPr>
          <w:rFonts w:hint="eastAsia" w:ascii="宋体" w:hAnsi="宋体" w:cs="宋体"/>
          <w:color w:val="auto"/>
          <w:szCs w:val="21"/>
          <w:lang w:val="en-US" w:eastAsia="zh-CN"/>
        </w:rPr>
        <w:t>或盖章</w:t>
      </w:r>
      <w:r>
        <w:rPr>
          <w:rFonts w:hint="eastAsia" w:ascii="宋体" w:hAnsi="宋体" w:cs="宋体"/>
          <w:color w:val="auto"/>
          <w:szCs w:val="21"/>
          <w:lang w:eastAsia="zh-CN"/>
        </w:rPr>
        <w:t>）</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rPr>
          <w:rFonts w:ascii="宋体" w:hAnsi="宋体" w:cs="宋体"/>
          <w:b/>
          <w:color w:val="auto"/>
          <w:sz w:val="32"/>
          <w:szCs w:val="32"/>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sectPr>
      <w:footerReference r:id="rId10" w:type="default"/>
      <w:pgSz w:w="11906" w:h="16838"/>
      <w:pgMar w:top="1361" w:right="1361" w:bottom="136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Sans Serif">
    <w:altName w:val="Segoe Print"/>
    <w:panose1 w:val="020B05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FZXBSK--GBK1-0">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Times New Roman" w:hAnsi="Times New Roman" w:eastAsia="宋体" w:cs="Times New Roman"/>
        <w:kern w:val="2"/>
        <w:sz w:val="18"/>
        <w:szCs w:val="18"/>
        <w:lang w:val="en-US" w:eastAsia="zh-CN" w:bidi="ar-SA"/>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center"/>
                          </w:pPr>
                          <w:r>
                            <w:rPr>
                              <w:rFonts w:ascii="Times New Roman" w:hAnsi="Times New Roman" w:eastAsia="宋体" w:cs="Times New Roman"/>
                              <w:b/>
                              <w:kern w:val="2"/>
                              <w:sz w:val="24"/>
                              <w:szCs w:val="24"/>
                              <w:lang w:val="en-US" w:eastAsia="zh-CN" w:bidi="ar-SA"/>
                            </w:rPr>
                            <w:fldChar w:fldCharType="begin"/>
                          </w:r>
                          <w:r>
                            <w:rPr>
                              <w:rFonts w:ascii="Times New Roman" w:hAnsi="Times New Roman" w:eastAsia="宋体" w:cs="Times New Roman"/>
                              <w:b/>
                              <w:kern w:val="2"/>
                              <w:sz w:val="18"/>
                              <w:szCs w:val="18"/>
                              <w:lang w:val="en-US" w:eastAsia="zh-CN" w:bidi="ar-SA"/>
                            </w:rPr>
                            <w:instrText xml:space="preserve">PAGE</w:instrText>
                          </w:r>
                          <w:r>
                            <w:rPr>
                              <w:rFonts w:ascii="Times New Roman" w:hAnsi="Times New Roman" w:eastAsia="宋体" w:cs="Times New Roman"/>
                              <w:b/>
                              <w:kern w:val="2"/>
                              <w:sz w:val="24"/>
                              <w:szCs w:val="24"/>
                              <w:lang w:val="en-US" w:eastAsia="zh-CN" w:bidi="ar-SA"/>
                            </w:rPr>
                            <w:fldChar w:fldCharType="separate"/>
                          </w:r>
                          <w:r>
                            <w:rPr>
                              <w:rFonts w:ascii="Times New Roman" w:hAnsi="Times New Roman" w:eastAsia="宋体" w:cs="Times New Roman"/>
                              <w:b/>
                              <w:kern w:val="2"/>
                              <w:sz w:val="18"/>
                              <w:szCs w:val="18"/>
                              <w:lang w:val="en-US" w:eastAsia="zh-CN" w:bidi="ar-SA"/>
                            </w:rPr>
                            <w:t>1</w:t>
                          </w:r>
                          <w:r>
                            <w:rPr>
                              <w:rFonts w:ascii="Times New Roman" w:hAnsi="Times New Roman" w:eastAsia="宋体" w:cs="Times New Roman"/>
                              <w:b/>
                              <w:kern w:val="2"/>
                              <w:sz w:val="24"/>
                              <w:szCs w:val="24"/>
                              <w:lang w:val="en-US" w:eastAsia="zh-CN" w:bidi="ar-SA"/>
                            </w:rPr>
                            <w:fldChar w:fldCharType="end"/>
                          </w:r>
                          <w:r>
                            <w:rPr>
                              <w:rFonts w:ascii="Times New Roman" w:hAnsi="Times New Roman" w:eastAsia="宋体" w:cs="Times New Roman"/>
                              <w:kern w:val="2"/>
                              <w:sz w:val="18"/>
                              <w:szCs w:val="18"/>
                              <w:lang w:val="zh-CN"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center"/>
                    </w:pPr>
                    <w:r>
                      <w:rPr>
                        <w:rFonts w:ascii="Times New Roman" w:hAnsi="Times New Roman" w:eastAsia="宋体" w:cs="Times New Roman"/>
                        <w:b/>
                        <w:kern w:val="2"/>
                        <w:sz w:val="24"/>
                        <w:szCs w:val="24"/>
                        <w:lang w:val="en-US" w:eastAsia="zh-CN" w:bidi="ar-SA"/>
                      </w:rPr>
                      <w:fldChar w:fldCharType="begin"/>
                    </w:r>
                    <w:r>
                      <w:rPr>
                        <w:rFonts w:ascii="Times New Roman" w:hAnsi="Times New Roman" w:eastAsia="宋体" w:cs="Times New Roman"/>
                        <w:b/>
                        <w:kern w:val="2"/>
                        <w:sz w:val="18"/>
                        <w:szCs w:val="18"/>
                        <w:lang w:val="en-US" w:eastAsia="zh-CN" w:bidi="ar-SA"/>
                      </w:rPr>
                      <w:instrText xml:space="preserve">PAGE</w:instrText>
                    </w:r>
                    <w:r>
                      <w:rPr>
                        <w:rFonts w:ascii="Times New Roman" w:hAnsi="Times New Roman" w:eastAsia="宋体" w:cs="Times New Roman"/>
                        <w:b/>
                        <w:kern w:val="2"/>
                        <w:sz w:val="24"/>
                        <w:szCs w:val="24"/>
                        <w:lang w:val="en-US" w:eastAsia="zh-CN" w:bidi="ar-SA"/>
                      </w:rPr>
                      <w:fldChar w:fldCharType="separate"/>
                    </w:r>
                    <w:r>
                      <w:rPr>
                        <w:rFonts w:ascii="Times New Roman" w:hAnsi="Times New Roman" w:eastAsia="宋体" w:cs="Times New Roman"/>
                        <w:b/>
                        <w:kern w:val="2"/>
                        <w:sz w:val="18"/>
                        <w:szCs w:val="18"/>
                        <w:lang w:val="en-US" w:eastAsia="zh-CN" w:bidi="ar-SA"/>
                      </w:rPr>
                      <w:t>1</w:t>
                    </w:r>
                    <w:r>
                      <w:rPr>
                        <w:rFonts w:ascii="Times New Roman" w:hAnsi="Times New Roman" w:eastAsia="宋体" w:cs="Times New Roman"/>
                        <w:b/>
                        <w:kern w:val="2"/>
                        <w:sz w:val="24"/>
                        <w:szCs w:val="24"/>
                        <w:lang w:val="en-US" w:eastAsia="zh-CN" w:bidi="ar-SA"/>
                      </w:rPr>
                      <w:fldChar w:fldCharType="end"/>
                    </w:r>
                    <w:r>
                      <w:rPr>
                        <w:rFonts w:ascii="Times New Roman" w:hAnsi="Times New Roman" w:eastAsia="宋体" w:cs="Times New Roman"/>
                        <w:kern w:val="2"/>
                        <w:sz w:val="18"/>
                        <w:szCs w:val="18"/>
                        <w:lang w:val="zh-CN" w:eastAsia="zh-CN" w:bidi="ar-SA"/>
                      </w:rPr>
                      <w:t xml:space="preserve"> </w:t>
                    </w:r>
                  </w:p>
                </w:txbxContent>
              </v:textbox>
            </v:shape>
          </w:pict>
        </mc:Fallback>
      </mc:AlternateContent>
    </w:r>
  </w:p>
  <w:p>
    <w:pPr>
      <w:widowControl w:val="0"/>
      <w:snapToGrid w:val="0"/>
      <w:jc w:val="left"/>
      <w:rPr>
        <w:rFonts w:ascii="Times New Roman" w:hAnsi="Times New Roman"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ascii="宋体" w:hAnsi="宋体"/>
        <w:b/>
        <w:kern w:val="0"/>
        <w:sz w:val="21"/>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ascii="宋体" w:hAnsi="宋体" w:cs="宋体"/>
        <w:bCs/>
        <w:sz w:val="21"/>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right"/>
      <w:rPr>
        <w:rFonts w:hint="eastAsia" w:ascii="宋体" w:hAnsi="宋体" w:eastAsia="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88BDF"/>
    <w:multiLevelType w:val="multilevel"/>
    <w:tmpl w:val="15D88BDF"/>
    <w:lvl w:ilvl="0" w:tentative="0">
      <w:start w:val="1"/>
      <w:numFmt w:val="decimal"/>
      <w:suff w:val="nothing"/>
      <w:lvlText w:val="%1、"/>
      <w:lvlJc w:val="left"/>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3CEFC568"/>
    <w:multiLevelType w:val="singleLevel"/>
    <w:tmpl w:val="3CEFC568"/>
    <w:lvl w:ilvl="0" w:tentative="0">
      <w:start w:val="1"/>
      <w:numFmt w:val="chineseCounting"/>
      <w:suff w:val="space"/>
      <w:lvlText w:val="第%1章"/>
      <w:lvlJc w:val="left"/>
      <w:pPr>
        <w:ind w:left="3780"/>
      </w:pPr>
      <w:rPr>
        <w:rFonts w:hint="eastAsia"/>
      </w:rPr>
    </w:lvl>
  </w:abstractNum>
  <w:abstractNum w:abstractNumId="2">
    <w:nsid w:val="7E5F5059"/>
    <w:multiLevelType w:val="singleLevel"/>
    <w:tmpl w:val="7E5F5059"/>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OGRjMTZjMmQxODRjODViYjZlMDc2ODgxNDgwMDAifQ=="/>
    <w:docVar w:name="KSO_WPS_MARK_KEY" w:val="c479a033-8c7c-4df2-9662-40c2935072a9"/>
  </w:docVars>
  <w:rsids>
    <w:rsidRoot w:val="003D1B5E"/>
    <w:rsid w:val="00007B31"/>
    <w:rsid w:val="00016C37"/>
    <w:rsid w:val="000174E4"/>
    <w:rsid w:val="00023BCD"/>
    <w:rsid w:val="000514EB"/>
    <w:rsid w:val="0005152D"/>
    <w:rsid w:val="00055BB7"/>
    <w:rsid w:val="000712C6"/>
    <w:rsid w:val="00074A20"/>
    <w:rsid w:val="00080129"/>
    <w:rsid w:val="00096D8B"/>
    <w:rsid w:val="000975AC"/>
    <w:rsid w:val="000A4F67"/>
    <w:rsid w:val="000C186B"/>
    <w:rsid w:val="000F1ABE"/>
    <w:rsid w:val="000F2B1C"/>
    <w:rsid w:val="00117F60"/>
    <w:rsid w:val="0013444D"/>
    <w:rsid w:val="001915F8"/>
    <w:rsid w:val="001A014C"/>
    <w:rsid w:val="001F2A35"/>
    <w:rsid w:val="001F6F77"/>
    <w:rsid w:val="002045CE"/>
    <w:rsid w:val="002237D8"/>
    <w:rsid w:val="00274BDD"/>
    <w:rsid w:val="002B15D5"/>
    <w:rsid w:val="002C0665"/>
    <w:rsid w:val="002C3126"/>
    <w:rsid w:val="002D7967"/>
    <w:rsid w:val="00321176"/>
    <w:rsid w:val="00326173"/>
    <w:rsid w:val="00330836"/>
    <w:rsid w:val="003330C2"/>
    <w:rsid w:val="00336693"/>
    <w:rsid w:val="00344685"/>
    <w:rsid w:val="0037274A"/>
    <w:rsid w:val="00387F90"/>
    <w:rsid w:val="00397579"/>
    <w:rsid w:val="003B6412"/>
    <w:rsid w:val="003D1B5E"/>
    <w:rsid w:val="003D1E73"/>
    <w:rsid w:val="003D429A"/>
    <w:rsid w:val="003E1927"/>
    <w:rsid w:val="003E2930"/>
    <w:rsid w:val="003F3DE4"/>
    <w:rsid w:val="00403D33"/>
    <w:rsid w:val="00473232"/>
    <w:rsid w:val="004B019A"/>
    <w:rsid w:val="0051736E"/>
    <w:rsid w:val="005330F6"/>
    <w:rsid w:val="00536EDD"/>
    <w:rsid w:val="005377AA"/>
    <w:rsid w:val="00572329"/>
    <w:rsid w:val="00586537"/>
    <w:rsid w:val="005A2DD4"/>
    <w:rsid w:val="005B6F04"/>
    <w:rsid w:val="005F6F34"/>
    <w:rsid w:val="00615E7B"/>
    <w:rsid w:val="00622297"/>
    <w:rsid w:val="00647AFD"/>
    <w:rsid w:val="00651579"/>
    <w:rsid w:val="006601FE"/>
    <w:rsid w:val="00684E78"/>
    <w:rsid w:val="006A4EAD"/>
    <w:rsid w:val="006C3104"/>
    <w:rsid w:val="006D20A8"/>
    <w:rsid w:val="00707869"/>
    <w:rsid w:val="00750D8C"/>
    <w:rsid w:val="007B1675"/>
    <w:rsid w:val="007C21F3"/>
    <w:rsid w:val="007C71A8"/>
    <w:rsid w:val="007F0794"/>
    <w:rsid w:val="00823C5F"/>
    <w:rsid w:val="00830D56"/>
    <w:rsid w:val="00835260"/>
    <w:rsid w:val="00835494"/>
    <w:rsid w:val="008448A6"/>
    <w:rsid w:val="0085334E"/>
    <w:rsid w:val="00855DDA"/>
    <w:rsid w:val="00861796"/>
    <w:rsid w:val="008847B1"/>
    <w:rsid w:val="008949D8"/>
    <w:rsid w:val="008C3F68"/>
    <w:rsid w:val="008F70DC"/>
    <w:rsid w:val="0092155C"/>
    <w:rsid w:val="00925448"/>
    <w:rsid w:val="00947E70"/>
    <w:rsid w:val="0095081A"/>
    <w:rsid w:val="009A00A7"/>
    <w:rsid w:val="009A3994"/>
    <w:rsid w:val="009B2CE4"/>
    <w:rsid w:val="00A12F66"/>
    <w:rsid w:val="00A3531F"/>
    <w:rsid w:val="00A6280A"/>
    <w:rsid w:val="00A63620"/>
    <w:rsid w:val="00A707E7"/>
    <w:rsid w:val="00A75F26"/>
    <w:rsid w:val="00A96D25"/>
    <w:rsid w:val="00AA7746"/>
    <w:rsid w:val="00AC00A0"/>
    <w:rsid w:val="00AC7833"/>
    <w:rsid w:val="00AD7CCF"/>
    <w:rsid w:val="00B22DB4"/>
    <w:rsid w:val="00B26FFC"/>
    <w:rsid w:val="00B36EEE"/>
    <w:rsid w:val="00B40161"/>
    <w:rsid w:val="00B67F4E"/>
    <w:rsid w:val="00B84959"/>
    <w:rsid w:val="00BD0176"/>
    <w:rsid w:val="00BD0E03"/>
    <w:rsid w:val="00BE28F2"/>
    <w:rsid w:val="00BF2D7B"/>
    <w:rsid w:val="00C0133B"/>
    <w:rsid w:val="00C032E1"/>
    <w:rsid w:val="00C31016"/>
    <w:rsid w:val="00C31808"/>
    <w:rsid w:val="00C401E6"/>
    <w:rsid w:val="00C70359"/>
    <w:rsid w:val="00C752F8"/>
    <w:rsid w:val="00C928AB"/>
    <w:rsid w:val="00CC0468"/>
    <w:rsid w:val="00D033CA"/>
    <w:rsid w:val="00D1452A"/>
    <w:rsid w:val="00D46977"/>
    <w:rsid w:val="00D91B6A"/>
    <w:rsid w:val="00D96064"/>
    <w:rsid w:val="00DB2048"/>
    <w:rsid w:val="00DC0C14"/>
    <w:rsid w:val="00DF400A"/>
    <w:rsid w:val="00E31BF2"/>
    <w:rsid w:val="00E6044F"/>
    <w:rsid w:val="00EC17DA"/>
    <w:rsid w:val="00EC6A2E"/>
    <w:rsid w:val="00EE1ECF"/>
    <w:rsid w:val="00EE48E1"/>
    <w:rsid w:val="00F158DC"/>
    <w:rsid w:val="00F24C94"/>
    <w:rsid w:val="00FA23BC"/>
    <w:rsid w:val="00FE0B46"/>
    <w:rsid w:val="00FE0F13"/>
    <w:rsid w:val="00FF25C0"/>
    <w:rsid w:val="010B008C"/>
    <w:rsid w:val="020C4532"/>
    <w:rsid w:val="021A6C4F"/>
    <w:rsid w:val="021D2EE3"/>
    <w:rsid w:val="0222570D"/>
    <w:rsid w:val="0223618E"/>
    <w:rsid w:val="02323801"/>
    <w:rsid w:val="02434CF7"/>
    <w:rsid w:val="02B66554"/>
    <w:rsid w:val="03011F7B"/>
    <w:rsid w:val="03E65BF4"/>
    <w:rsid w:val="04123A07"/>
    <w:rsid w:val="043B4C5B"/>
    <w:rsid w:val="04D154B3"/>
    <w:rsid w:val="04D72BD5"/>
    <w:rsid w:val="053012A5"/>
    <w:rsid w:val="05356D11"/>
    <w:rsid w:val="05456756"/>
    <w:rsid w:val="054C2F3C"/>
    <w:rsid w:val="05834B0B"/>
    <w:rsid w:val="059E1945"/>
    <w:rsid w:val="05C00253"/>
    <w:rsid w:val="06224324"/>
    <w:rsid w:val="06304C93"/>
    <w:rsid w:val="063E2A4E"/>
    <w:rsid w:val="06406F87"/>
    <w:rsid w:val="06677F89"/>
    <w:rsid w:val="0671785A"/>
    <w:rsid w:val="069223FA"/>
    <w:rsid w:val="06924E58"/>
    <w:rsid w:val="06F74371"/>
    <w:rsid w:val="07073453"/>
    <w:rsid w:val="070F06C1"/>
    <w:rsid w:val="070F4CB4"/>
    <w:rsid w:val="07400C9D"/>
    <w:rsid w:val="07633B1F"/>
    <w:rsid w:val="07814A8A"/>
    <w:rsid w:val="07A31495"/>
    <w:rsid w:val="07AA2823"/>
    <w:rsid w:val="07DC2068"/>
    <w:rsid w:val="07DF49B9"/>
    <w:rsid w:val="07E6254E"/>
    <w:rsid w:val="08027ECC"/>
    <w:rsid w:val="08204893"/>
    <w:rsid w:val="08215844"/>
    <w:rsid w:val="0837618C"/>
    <w:rsid w:val="089B03BE"/>
    <w:rsid w:val="089D7C92"/>
    <w:rsid w:val="08D0058E"/>
    <w:rsid w:val="08D36AB3"/>
    <w:rsid w:val="092208D6"/>
    <w:rsid w:val="092918E7"/>
    <w:rsid w:val="093F174E"/>
    <w:rsid w:val="094814F1"/>
    <w:rsid w:val="09630085"/>
    <w:rsid w:val="09A82D92"/>
    <w:rsid w:val="09DA7CC8"/>
    <w:rsid w:val="0A2A37A7"/>
    <w:rsid w:val="0A3D4E0D"/>
    <w:rsid w:val="0A473469"/>
    <w:rsid w:val="0A4F3BD3"/>
    <w:rsid w:val="0B277301"/>
    <w:rsid w:val="0B6F0C4C"/>
    <w:rsid w:val="0B925135"/>
    <w:rsid w:val="0BB51797"/>
    <w:rsid w:val="0BF30382"/>
    <w:rsid w:val="0C0A07BD"/>
    <w:rsid w:val="0C367CBC"/>
    <w:rsid w:val="0C727688"/>
    <w:rsid w:val="0CAF0AA7"/>
    <w:rsid w:val="0CC1756D"/>
    <w:rsid w:val="0D081A83"/>
    <w:rsid w:val="0D4C1C87"/>
    <w:rsid w:val="0D8F5085"/>
    <w:rsid w:val="0DD24882"/>
    <w:rsid w:val="0DED3B24"/>
    <w:rsid w:val="0E001D10"/>
    <w:rsid w:val="0E5539BD"/>
    <w:rsid w:val="0E9144CA"/>
    <w:rsid w:val="0EB65F51"/>
    <w:rsid w:val="0F4B202F"/>
    <w:rsid w:val="0F4E1CE6"/>
    <w:rsid w:val="1004486E"/>
    <w:rsid w:val="1006534B"/>
    <w:rsid w:val="100A0195"/>
    <w:rsid w:val="106704C4"/>
    <w:rsid w:val="10702130"/>
    <w:rsid w:val="10B70AE5"/>
    <w:rsid w:val="10F51BC1"/>
    <w:rsid w:val="11062460"/>
    <w:rsid w:val="1129570C"/>
    <w:rsid w:val="112C2F96"/>
    <w:rsid w:val="119F2CCD"/>
    <w:rsid w:val="11A76352"/>
    <w:rsid w:val="11D16BFE"/>
    <w:rsid w:val="12521AED"/>
    <w:rsid w:val="12802AFE"/>
    <w:rsid w:val="12CF660E"/>
    <w:rsid w:val="12D17438"/>
    <w:rsid w:val="130C4392"/>
    <w:rsid w:val="136241A1"/>
    <w:rsid w:val="13C8152F"/>
    <w:rsid w:val="13C8458F"/>
    <w:rsid w:val="13C9021C"/>
    <w:rsid w:val="13E32A6B"/>
    <w:rsid w:val="141421A2"/>
    <w:rsid w:val="14604344"/>
    <w:rsid w:val="146C1A0A"/>
    <w:rsid w:val="14AB24E5"/>
    <w:rsid w:val="14D7452C"/>
    <w:rsid w:val="14F05B2C"/>
    <w:rsid w:val="14FD50CC"/>
    <w:rsid w:val="15080B89"/>
    <w:rsid w:val="152D05F0"/>
    <w:rsid w:val="1546292F"/>
    <w:rsid w:val="15595889"/>
    <w:rsid w:val="15703208"/>
    <w:rsid w:val="157224A6"/>
    <w:rsid w:val="15744470"/>
    <w:rsid w:val="15B30AF5"/>
    <w:rsid w:val="15D82657"/>
    <w:rsid w:val="162A05A0"/>
    <w:rsid w:val="16895AB9"/>
    <w:rsid w:val="16B61083"/>
    <w:rsid w:val="16B712B8"/>
    <w:rsid w:val="16C17241"/>
    <w:rsid w:val="17016732"/>
    <w:rsid w:val="17284D71"/>
    <w:rsid w:val="1758691B"/>
    <w:rsid w:val="176F6C9D"/>
    <w:rsid w:val="180240B7"/>
    <w:rsid w:val="1811244B"/>
    <w:rsid w:val="186F40DA"/>
    <w:rsid w:val="18A67A46"/>
    <w:rsid w:val="18EB6101"/>
    <w:rsid w:val="19300184"/>
    <w:rsid w:val="19645688"/>
    <w:rsid w:val="19704F75"/>
    <w:rsid w:val="19D40037"/>
    <w:rsid w:val="1A5F1C1B"/>
    <w:rsid w:val="1ABC5F1D"/>
    <w:rsid w:val="1AD7642D"/>
    <w:rsid w:val="1B023580"/>
    <w:rsid w:val="1B34092A"/>
    <w:rsid w:val="1B36775D"/>
    <w:rsid w:val="1B3D759D"/>
    <w:rsid w:val="1BCC29F8"/>
    <w:rsid w:val="1C2F323F"/>
    <w:rsid w:val="1C632FAA"/>
    <w:rsid w:val="1CAB4B49"/>
    <w:rsid w:val="1CD00436"/>
    <w:rsid w:val="1D0C3AEE"/>
    <w:rsid w:val="1D1E46E9"/>
    <w:rsid w:val="1D6E542A"/>
    <w:rsid w:val="1D762D0C"/>
    <w:rsid w:val="1DD01994"/>
    <w:rsid w:val="1E2A28EC"/>
    <w:rsid w:val="1E6B6282"/>
    <w:rsid w:val="1ECC023E"/>
    <w:rsid w:val="1EE45762"/>
    <w:rsid w:val="1F065028"/>
    <w:rsid w:val="1F0A33D2"/>
    <w:rsid w:val="1F30683C"/>
    <w:rsid w:val="1FB2006F"/>
    <w:rsid w:val="1FD70E73"/>
    <w:rsid w:val="20012DA5"/>
    <w:rsid w:val="202F7912"/>
    <w:rsid w:val="203942EC"/>
    <w:rsid w:val="204845C8"/>
    <w:rsid w:val="206C2914"/>
    <w:rsid w:val="20747D22"/>
    <w:rsid w:val="20DE0A0C"/>
    <w:rsid w:val="20E701EC"/>
    <w:rsid w:val="20EA1BCF"/>
    <w:rsid w:val="21240AF9"/>
    <w:rsid w:val="2153154F"/>
    <w:rsid w:val="21BF3BA5"/>
    <w:rsid w:val="21C51DB5"/>
    <w:rsid w:val="21EF1281"/>
    <w:rsid w:val="224F005F"/>
    <w:rsid w:val="225C2514"/>
    <w:rsid w:val="22A55C69"/>
    <w:rsid w:val="237E3B97"/>
    <w:rsid w:val="23C9350A"/>
    <w:rsid w:val="2426102C"/>
    <w:rsid w:val="248000D5"/>
    <w:rsid w:val="24D34D10"/>
    <w:rsid w:val="24D97605"/>
    <w:rsid w:val="24DD4D1D"/>
    <w:rsid w:val="25183606"/>
    <w:rsid w:val="253A1658"/>
    <w:rsid w:val="25670A93"/>
    <w:rsid w:val="25C55B15"/>
    <w:rsid w:val="25CD28A0"/>
    <w:rsid w:val="25E31CEE"/>
    <w:rsid w:val="25F724E4"/>
    <w:rsid w:val="2646624E"/>
    <w:rsid w:val="269F7FB2"/>
    <w:rsid w:val="26AB31F9"/>
    <w:rsid w:val="27206C9A"/>
    <w:rsid w:val="27377C00"/>
    <w:rsid w:val="278124A0"/>
    <w:rsid w:val="278F0C96"/>
    <w:rsid w:val="27977369"/>
    <w:rsid w:val="27CA57BE"/>
    <w:rsid w:val="28681032"/>
    <w:rsid w:val="28D95227"/>
    <w:rsid w:val="294F555C"/>
    <w:rsid w:val="29903A53"/>
    <w:rsid w:val="29E7300B"/>
    <w:rsid w:val="2A1A0CEB"/>
    <w:rsid w:val="2A232544"/>
    <w:rsid w:val="2A3A75DF"/>
    <w:rsid w:val="2A8F7FA6"/>
    <w:rsid w:val="2AE8528D"/>
    <w:rsid w:val="2B0C26D9"/>
    <w:rsid w:val="2B73207D"/>
    <w:rsid w:val="2BF10171"/>
    <w:rsid w:val="2BFF228B"/>
    <w:rsid w:val="2CE0239D"/>
    <w:rsid w:val="2CE50DF5"/>
    <w:rsid w:val="2CE83322"/>
    <w:rsid w:val="2D1E60FD"/>
    <w:rsid w:val="2D2A4ACD"/>
    <w:rsid w:val="2D511E64"/>
    <w:rsid w:val="2E1A0F93"/>
    <w:rsid w:val="2E356146"/>
    <w:rsid w:val="2E386797"/>
    <w:rsid w:val="2E49028D"/>
    <w:rsid w:val="2E6751EF"/>
    <w:rsid w:val="2E841726"/>
    <w:rsid w:val="2E8828A0"/>
    <w:rsid w:val="2E8B6297"/>
    <w:rsid w:val="2F3C7955"/>
    <w:rsid w:val="2F4D3FAD"/>
    <w:rsid w:val="2F797A5E"/>
    <w:rsid w:val="2F9B5B3B"/>
    <w:rsid w:val="2FAE0334"/>
    <w:rsid w:val="30963095"/>
    <w:rsid w:val="30B363DF"/>
    <w:rsid w:val="30F90E76"/>
    <w:rsid w:val="311F11FF"/>
    <w:rsid w:val="3163472E"/>
    <w:rsid w:val="316B4522"/>
    <w:rsid w:val="31B7520B"/>
    <w:rsid w:val="31F2254D"/>
    <w:rsid w:val="323C7EED"/>
    <w:rsid w:val="323E39E4"/>
    <w:rsid w:val="329451B2"/>
    <w:rsid w:val="329B4993"/>
    <w:rsid w:val="32C32377"/>
    <w:rsid w:val="32E754DA"/>
    <w:rsid w:val="3304078A"/>
    <w:rsid w:val="330D6186"/>
    <w:rsid w:val="33794C4B"/>
    <w:rsid w:val="339A10EE"/>
    <w:rsid w:val="33B913AD"/>
    <w:rsid w:val="33C050F4"/>
    <w:rsid w:val="33CC574C"/>
    <w:rsid w:val="35335357"/>
    <w:rsid w:val="35411BBA"/>
    <w:rsid w:val="355377A7"/>
    <w:rsid w:val="355F439E"/>
    <w:rsid w:val="35660E95"/>
    <w:rsid w:val="35877E86"/>
    <w:rsid w:val="3596588F"/>
    <w:rsid w:val="35984784"/>
    <w:rsid w:val="35BF6428"/>
    <w:rsid w:val="35C2060E"/>
    <w:rsid w:val="35D5640E"/>
    <w:rsid w:val="35EC7E76"/>
    <w:rsid w:val="35EF1EC9"/>
    <w:rsid w:val="360457D0"/>
    <w:rsid w:val="361545A4"/>
    <w:rsid w:val="361909F0"/>
    <w:rsid w:val="36343134"/>
    <w:rsid w:val="365F05B8"/>
    <w:rsid w:val="367E6AA5"/>
    <w:rsid w:val="36892178"/>
    <w:rsid w:val="36C7044C"/>
    <w:rsid w:val="36C83179"/>
    <w:rsid w:val="36D36DF1"/>
    <w:rsid w:val="37016910"/>
    <w:rsid w:val="3774310E"/>
    <w:rsid w:val="37A9280B"/>
    <w:rsid w:val="381F37DC"/>
    <w:rsid w:val="38251308"/>
    <w:rsid w:val="38671A23"/>
    <w:rsid w:val="38B21A06"/>
    <w:rsid w:val="38E205DE"/>
    <w:rsid w:val="38F039F2"/>
    <w:rsid w:val="38FE5C7B"/>
    <w:rsid w:val="394414A1"/>
    <w:rsid w:val="39BC0C88"/>
    <w:rsid w:val="39C72511"/>
    <w:rsid w:val="39DA4A0D"/>
    <w:rsid w:val="3A175247"/>
    <w:rsid w:val="3A4956B9"/>
    <w:rsid w:val="3A666FC0"/>
    <w:rsid w:val="3A6A6801"/>
    <w:rsid w:val="3A9B1A78"/>
    <w:rsid w:val="3AB07AD0"/>
    <w:rsid w:val="3AC32CD9"/>
    <w:rsid w:val="3AE03D3A"/>
    <w:rsid w:val="3B936A01"/>
    <w:rsid w:val="3C5C21FE"/>
    <w:rsid w:val="3C607BCD"/>
    <w:rsid w:val="3C9618E6"/>
    <w:rsid w:val="3CBB5FE1"/>
    <w:rsid w:val="3CC84251"/>
    <w:rsid w:val="3D675B32"/>
    <w:rsid w:val="3D7B6962"/>
    <w:rsid w:val="3D826E7B"/>
    <w:rsid w:val="3D8B1499"/>
    <w:rsid w:val="3DD84CED"/>
    <w:rsid w:val="3DE360A4"/>
    <w:rsid w:val="3DE900E7"/>
    <w:rsid w:val="3EA30BC7"/>
    <w:rsid w:val="3EC82AC2"/>
    <w:rsid w:val="3EFD0E80"/>
    <w:rsid w:val="3F0B2AC6"/>
    <w:rsid w:val="3F21665F"/>
    <w:rsid w:val="3F250388"/>
    <w:rsid w:val="3F593AF6"/>
    <w:rsid w:val="3F6710D8"/>
    <w:rsid w:val="3F7171A7"/>
    <w:rsid w:val="403511AD"/>
    <w:rsid w:val="407D7735"/>
    <w:rsid w:val="40923879"/>
    <w:rsid w:val="40D640C9"/>
    <w:rsid w:val="412E317D"/>
    <w:rsid w:val="414C6B29"/>
    <w:rsid w:val="41995757"/>
    <w:rsid w:val="41B17D81"/>
    <w:rsid w:val="41C2149B"/>
    <w:rsid w:val="41D4693E"/>
    <w:rsid w:val="4273363B"/>
    <w:rsid w:val="42C33BA9"/>
    <w:rsid w:val="42C817D4"/>
    <w:rsid w:val="433C3B01"/>
    <w:rsid w:val="43E87B5F"/>
    <w:rsid w:val="43EA6480"/>
    <w:rsid w:val="43F46D56"/>
    <w:rsid w:val="4413082D"/>
    <w:rsid w:val="441A0035"/>
    <w:rsid w:val="448E4011"/>
    <w:rsid w:val="44AB453E"/>
    <w:rsid w:val="44BB3DA1"/>
    <w:rsid w:val="44C07DD5"/>
    <w:rsid w:val="44F62BD1"/>
    <w:rsid w:val="45154971"/>
    <w:rsid w:val="45A27F2E"/>
    <w:rsid w:val="45B45423"/>
    <w:rsid w:val="45B83E73"/>
    <w:rsid w:val="45F4643C"/>
    <w:rsid w:val="46CD58D4"/>
    <w:rsid w:val="46F25D74"/>
    <w:rsid w:val="47847DB4"/>
    <w:rsid w:val="47A974CF"/>
    <w:rsid w:val="47F22E4F"/>
    <w:rsid w:val="48590660"/>
    <w:rsid w:val="48CA77A5"/>
    <w:rsid w:val="48CF47B8"/>
    <w:rsid w:val="49515E20"/>
    <w:rsid w:val="49B358AE"/>
    <w:rsid w:val="49C8583C"/>
    <w:rsid w:val="49CA1F21"/>
    <w:rsid w:val="49D92519"/>
    <w:rsid w:val="49EC0244"/>
    <w:rsid w:val="4A433A00"/>
    <w:rsid w:val="4A7A2EE2"/>
    <w:rsid w:val="4A887783"/>
    <w:rsid w:val="4A923B3D"/>
    <w:rsid w:val="4AAF5028"/>
    <w:rsid w:val="4AC92E8E"/>
    <w:rsid w:val="4B1B3CAD"/>
    <w:rsid w:val="4B481EFF"/>
    <w:rsid w:val="4B832E23"/>
    <w:rsid w:val="4BA558DF"/>
    <w:rsid w:val="4BE372DC"/>
    <w:rsid w:val="4BE959FA"/>
    <w:rsid w:val="4BF14671"/>
    <w:rsid w:val="4C167BC2"/>
    <w:rsid w:val="4C352AE2"/>
    <w:rsid w:val="4C367690"/>
    <w:rsid w:val="4C9E35A6"/>
    <w:rsid w:val="4CBD1948"/>
    <w:rsid w:val="4CDF7403"/>
    <w:rsid w:val="4CE823D7"/>
    <w:rsid w:val="4CF77341"/>
    <w:rsid w:val="4D3C2AEE"/>
    <w:rsid w:val="4D761E2D"/>
    <w:rsid w:val="4D7D1B31"/>
    <w:rsid w:val="4D926CA0"/>
    <w:rsid w:val="4D9F75D5"/>
    <w:rsid w:val="4DF96CE5"/>
    <w:rsid w:val="4E17716C"/>
    <w:rsid w:val="4E2F7205"/>
    <w:rsid w:val="4E2F73B3"/>
    <w:rsid w:val="4E3403B6"/>
    <w:rsid w:val="4E883004"/>
    <w:rsid w:val="4EAD6595"/>
    <w:rsid w:val="4EB01B6C"/>
    <w:rsid w:val="4F005E52"/>
    <w:rsid w:val="4F270F69"/>
    <w:rsid w:val="4F272A4D"/>
    <w:rsid w:val="4F2953A8"/>
    <w:rsid w:val="4F6676C5"/>
    <w:rsid w:val="4F840831"/>
    <w:rsid w:val="4FE638BC"/>
    <w:rsid w:val="4FFC19F8"/>
    <w:rsid w:val="50564A09"/>
    <w:rsid w:val="5086682B"/>
    <w:rsid w:val="509F2C3B"/>
    <w:rsid w:val="50E861E0"/>
    <w:rsid w:val="51611D22"/>
    <w:rsid w:val="517B1FF3"/>
    <w:rsid w:val="51BA2C30"/>
    <w:rsid w:val="524704CD"/>
    <w:rsid w:val="5272458A"/>
    <w:rsid w:val="527C5D26"/>
    <w:rsid w:val="52CD749F"/>
    <w:rsid w:val="52FD0D47"/>
    <w:rsid w:val="53391AA9"/>
    <w:rsid w:val="53A40351"/>
    <w:rsid w:val="53B31DD9"/>
    <w:rsid w:val="54006011"/>
    <w:rsid w:val="54F66D5C"/>
    <w:rsid w:val="55195EBF"/>
    <w:rsid w:val="55393E6B"/>
    <w:rsid w:val="557502BD"/>
    <w:rsid w:val="55774188"/>
    <w:rsid w:val="558D76D9"/>
    <w:rsid w:val="55AA7F37"/>
    <w:rsid w:val="56044479"/>
    <w:rsid w:val="560849B8"/>
    <w:rsid w:val="562733A4"/>
    <w:rsid w:val="5636377B"/>
    <w:rsid w:val="564F57CA"/>
    <w:rsid w:val="56551179"/>
    <w:rsid w:val="568062FF"/>
    <w:rsid w:val="568E597B"/>
    <w:rsid w:val="56AF310F"/>
    <w:rsid w:val="56DB3D55"/>
    <w:rsid w:val="56F30D3E"/>
    <w:rsid w:val="56F915BE"/>
    <w:rsid w:val="57090E46"/>
    <w:rsid w:val="575C111A"/>
    <w:rsid w:val="5806097D"/>
    <w:rsid w:val="580E4014"/>
    <w:rsid w:val="58201942"/>
    <w:rsid w:val="58525997"/>
    <w:rsid w:val="589505D2"/>
    <w:rsid w:val="58A27ECD"/>
    <w:rsid w:val="58C3730D"/>
    <w:rsid w:val="58ED5699"/>
    <w:rsid w:val="590574CC"/>
    <w:rsid w:val="591305FD"/>
    <w:rsid w:val="596D03BB"/>
    <w:rsid w:val="59951007"/>
    <w:rsid w:val="59A40FB6"/>
    <w:rsid w:val="59EB50B3"/>
    <w:rsid w:val="59F134F3"/>
    <w:rsid w:val="5ADF1011"/>
    <w:rsid w:val="5B5E6330"/>
    <w:rsid w:val="5B7B562E"/>
    <w:rsid w:val="5B834092"/>
    <w:rsid w:val="5BA70114"/>
    <w:rsid w:val="5BBB382C"/>
    <w:rsid w:val="5BF01678"/>
    <w:rsid w:val="5BFB3FFB"/>
    <w:rsid w:val="5C0105D5"/>
    <w:rsid w:val="5C0316A9"/>
    <w:rsid w:val="5D380EAD"/>
    <w:rsid w:val="5D5C1A16"/>
    <w:rsid w:val="5D7B6DC6"/>
    <w:rsid w:val="5D861C18"/>
    <w:rsid w:val="5D8641D0"/>
    <w:rsid w:val="5DA54794"/>
    <w:rsid w:val="5DDF72CC"/>
    <w:rsid w:val="5E48718B"/>
    <w:rsid w:val="5E820631"/>
    <w:rsid w:val="5E9038B6"/>
    <w:rsid w:val="5EC37AEA"/>
    <w:rsid w:val="5F191EF4"/>
    <w:rsid w:val="5F372160"/>
    <w:rsid w:val="5F6C5E82"/>
    <w:rsid w:val="5F784221"/>
    <w:rsid w:val="5FB32A6C"/>
    <w:rsid w:val="601B661B"/>
    <w:rsid w:val="60243382"/>
    <w:rsid w:val="60E23609"/>
    <w:rsid w:val="61072DA3"/>
    <w:rsid w:val="612328B5"/>
    <w:rsid w:val="613025C6"/>
    <w:rsid w:val="614E7A3D"/>
    <w:rsid w:val="61882395"/>
    <w:rsid w:val="61907B93"/>
    <w:rsid w:val="61A06245"/>
    <w:rsid w:val="61D01188"/>
    <w:rsid w:val="622F0AD0"/>
    <w:rsid w:val="62592222"/>
    <w:rsid w:val="627D1A0F"/>
    <w:rsid w:val="6280132C"/>
    <w:rsid w:val="633432D4"/>
    <w:rsid w:val="633F11E7"/>
    <w:rsid w:val="635527B8"/>
    <w:rsid w:val="63560B10"/>
    <w:rsid w:val="638A089F"/>
    <w:rsid w:val="641B7471"/>
    <w:rsid w:val="64BB6D1E"/>
    <w:rsid w:val="653E58EA"/>
    <w:rsid w:val="65640A91"/>
    <w:rsid w:val="65753F23"/>
    <w:rsid w:val="658B441F"/>
    <w:rsid w:val="65D5012F"/>
    <w:rsid w:val="65E11880"/>
    <w:rsid w:val="65E46075"/>
    <w:rsid w:val="66101578"/>
    <w:rsid w:val="663E6386"/>
    <w:rsid w:val="66636F9A"/>
    <w:rsid w:val="666A0329"/>
    <w:rsid w:val="666B5BC5"/>
    <w:rsid w:val="66723819"/>
    <w:rsid w:val="667B70E8"/>
    <w:rsid w:val="66A279CC"/>
    <w:rsid w:val="66B56F86"/>
    <w:rsid w:val="66F62E42"/>
    <w:rsid w:val="67025CCC"/>
    <w:rsid w:val="67584625"/>
    <w:rsid w:val="6762412B"/>
    <w:rsid w:val="67CA1DA4"/>
    <w:rsid w:val="67E52301"/>
    <w:rsid w:val="67F729B8"/>
    <w:rsid w:val="682341A6"/>
    <w:rsid w:val="68561E70"/>
    <w:rsid w:val="68C01CC1"/>
    <w:rsid w:val="68C3491F"/>
    <w:rsid w:val="68E67FBD"/>
    <w:rsid w:val="68F13A8F"/>
    <w:rsid w:val="690C5693"/>
    <w:rsid w:val="69490E27"/>
    <w:rsid w:val="697274F4"/>
    <w:rsid w:val="6996428D"/>
    <w:rsid w:val="699D0603"/>
    <w:rsid w:val="69C12C5B"/>
    <w:rsid w:val="6A2F527A"/>
    <w:rsid w:val="6A3D1D64"/>
    <w:rsid w:val="6A796FC1"/>
    <w:rsid w:val="6A876531"/>
    <w:rsid w:val="6AA02261"/>
    <w:rsid w:val="6AB1464F"/>
    <w:rsid w:val="6ADF6E0B"/>
    <w:rsid w:val="6AE02B4E"/>
    <w:rsid w:val="6AF95CE8"/>
    <w:rsid w:val="6AFE3F61"/>
    <w:rsid w:val="6B4856E7"/>
    <w:rsid w:val="6B4858A0"/>
    <w:rsid w:val="6B4F3782"/>
    <w:rsid w:val="6B8E7875"/>
    <w:rsid w:val="6BBD714D"/>
    <w:rsid w:val="6C303DC2"/>
    <w:rsid w:val="6CC200F5"/>
    <w:rsid w:val="6D4318D3"/>
    <w:rsid w:val="6E032E11"/>
    <w:rsid w:val="6E051D41"/>
    <w:rsid w:val="6E7C6AE0"/>
    <w:rsid w:val="6E950F17"/>
    <w:rsid w:val="6E964B3F"/>
    <w:rsid w:val="6EA77C40"/>
    <w:rsid w:val="6ED33DE0"/>
    <w:rsid w:val="6F2D45E9"/>
    <w:rsid w:val="6F2D79CC"/>
    <w:rsid w:val="6F2F65B3"/>
    <w:rsid w:val="6F3C042B"/>
    <w:rsid w:val="702F1093"/>
    <w:rsid w:val="708665F8"/>
    <w:rsid w:val="70A26FBA"/>
    <w:rsid w:val="710035B1"/>
    <w:rsid w:val="71866233"/>
    <w:rsid w:val="72734A09"/>
    <w:rsid w:val="72735FDA"/>
    <w:rsid w:val="72B142EC"/>
    <w:rsid w:val="73A04B22"/>
    <w:rsid w:val="73A5019F"/>
    <w:rsid w:val="73CB4AF8"/>
    <w:rsid w:val="73D2467A"/>
    <w:rsid w:val="73E01983"/>
    <w:rsid w:val="74060A0E"/>
    <w:rsid w:val="741D0552"/>
    <w:rsid w:val="742A10F7"/>
    <w:rsid w:val="74EA63EB"/>
    <w:rsid w:val="75124D13"/>
    <w:rsid w:val="7551418B"/>
    <w:rsid w:val="75AA6A67"/>
    <w:rsid w:val="75F63DAF"/>
    <w:rsid w:val="76206A69"/>
    <w:rsid w:val="76341608"/>
    <w:rsid w:val="76793371"/>
    <w:rsid w:val="76876186"/>
    <w:rsid w:val="769B4BE1"/>
    <w:rsid w:val="76AE24B4"/>
    <w:rsid w:val="76C81C77"/>
    <w:rsid w:val="77101448"/>
    <w:rsid w:val="77383B2B"/>
    <w:rsid w:val="77B80485"/>
    <w:rsid w:val="78004C43"/>
    <w:rsid w:val="780226D4"/>
    <w:rsid w:val="78862B6F"/>
    <w:rsid w:val="78B418D7"/>
    <w:rsid w:val="78C00E75"/>
    <w:rsid w:val="78C63702"/>
    <w:rsid w:val="78FD327E"/>
    <w:rsid w:val="79066482"/>
    <w:rsid w:val="793F52C1"/>
    <w:rsid w:val="79470FEE"/>
    <w:rsid w:val="79792CF4"/>
    <w:rsid w:val="79826B20"/>
    <w:rsid w:val="79A35C98"/>
    <w:rsid w:val="79D179DF"/>
    <w:rsid w:val="7A105840"/>
    <w:rsid w:val="7A5A025C"/>
    <w:rsid w:val="7A7E50C0"/>
    <w:rsid w:val="7ACF385A"/>
    <w:rsid w:val="7AF52F82"/>
    <w:rsid w:val="7B300BB7"/>
    <w:rsid w:val="7B4E51DD"/>
    <w:rsid w:val="7B8657AD"/>
    <w:rsid w:val="7BEF538F"/>
    <w:rsid w:val="7C0431F7"/>
    <w:rsid w:val="7C4D54FC"/>
    <w:rsid w:val="7C5153C2"/>
    <w:rsid w:val="7C5604C4"/>
    <w:rsid w:val="7C8E04DE"/>
    <w:rsid w:val="7C914C43"/>
    <w:rsid w:val="7CB93960"/>
    <w:rsid w:val="7D0050EB"/>
    <w:rsid w:val="7D1D5C9D"/>
    <w:rsid w:val="7D311748"/>
    <w:rsid w:val="7D3F20B7"/>
    <w:rsid w:val="7D6417AF"/>
    <w:rsid w:val="7E32109D"/>
    <w:rsid w:val="7EEC71A1"/>
    <w:rsid w:val="7EF56987"/>
    <w:rsid w:val="7F0A6CDA"/>
    <w:rsid w:val="7F3E639F"/>
    <w:rsid w:val="7F586208"/>
    <w:rsid w:val="7FA42B42"/>
    <w:rsid w:val="7FB8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qFormat="1" w:unhideWhenUsed="0" w:uiPriority="0" w:semiHidden="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7"/>
    <w:autoRedefine/>
    <w:qFormat/>
    <w:uiPriority w:val="0"/>
    <w:pPr>
      <w:keepNext/>
      <w:jc w:val="center"/>
      <w:outlineLvl w:val="0"/>
    </w:pPr>
    <w:rPr>
      <w:b/>
      <w:bCs/>
      <w:sz w:val="24"/>
      <w:szCs w:val="20"/>
    </w:rPr>
  </w:style>
  <w:style w:type="paragraph" w:styleId="4">
    <w:name w:val="heading 2"/>
    <w:basedOn w:val="1"/>
    <w:next w:val="1"/>
    <w:link w:val="68"/>
    <w:autoRedefine/>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9"/>
    <w:autoRedefine/>
    <w:qFormat/>
    <w:uiPriority w:val="0"/>
    <w:pPr>
      <w:keepNext/>
      <w:keepLines/>
      <w:spacing w:before="260" w:after="260" w:line="416" w:lineRule="auto"/>
      <w:outlineLvl w:val="2"/>
    </w:pPr>
    <w:rPr>
      <w:b/>
      <w:bCs/>
      <w:sz w:val="32"/>
      <w:szCs w:val="32"/>
    </w:rPr>
  </w:style>
  <w:style w:type="paragraph" w:styleId="6">
    <w:name w:val="heading 4"/>
    <w:basedOn w:val="1"/>
    <w:next w:val="1"/>
    <w:link w:val="70"/>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1"/>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72"/>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73"/>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74"/>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75"/>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50">
    <w:name w:val="Default Paragraph Font"/>
    <w:autoRedefine/>
    <w:semiHidden/>
    <w:unhideWhenUsed/>
    <w:qFormat/>
    <w:uiPriority w:val="1"/>
  </w:style>
  <w:style w:type="table" w:default="1" w:styleId="47">
    <w:name w:val="Normal Table"/>
    <w:autoRedefine/>
    <w:semiHidden/>
    <w:unhideWhenUsed/>
    <w:qFormat/>
    <w:uiPriority w:val="99"/>
    <w:tblPr>
      <w:tblCellMar>
        <w:top w:w="0" w:type="dxa"/>
        <w:left w:w="108" w:type="dxa"/>
        <w:bottom w:w="0" w:type="dxa"/>
        <w:right w:w="108" w:type="dxa"/>
      </w:tblCellMar>
    </w:tblPr>
  </w:style>
  <w:style w:type="paragraph" w:styleId="2">
    <w:name w:val="table of figures"/>
    <w:next w:val="1"/>
    <w:autoRedefine/>
    <w:qFormat/>
    <w:uiPriority w:val="0"/>
    <w:pPr>
      <w:widowControl w:val="0"/>
      <w:ind w:left="200" w:leftChars="200" w:hanging="200" w:hangingChars="200"/>
      <w:jc w:val="both"/>
    </w:pPr>
    <w:rPr>
      <w:rFonts w:ascii="Times New Roman" w:hAnsi="Times New Roman" w:eastAsia="宋体" w:cs="Times New Roman"/>
      <w:kern w:val="2"/>
      <w:sz w:val="21"/>
      <w:szCs w:val="24"/>
      <w:lang w:val="en-US" w:eastAsia="zh-CN" w:bidi="ar-SA"/>
    </w:rPr>
  </w:style>
  <w:style w:type="paragraph" w:styleId="12">
    <w:name w:val="toc 7"/>
    <w:basedOn w:val="1"/>
    <w:next w:val="1"/>
    <w:autoRedefine/>
    <w:qFormat/>
    <w:uiPriority w:val="0"/>
    <w:pPr>
      <w:ind w:left="2520" w:leftChars="1200"/>
    </w:pPr>
    <w:rPr>
      <w:szCs w:val="22"/>
    </w:rPr>
  </w:style>
  <w:style w:type="paragraph" w:styleId="13">
    <w:name w:val="Normal Indent"/>
    <w:basedOn w:val="1"/>
    <w:autoRedefine/>
    <w:qFormat/>
    <w:uiPriority w:val="0"/>
    <w:pPr>
      <w:widowControl/>
      <w:ind w:firstLine="420"/>
      <w:jc w:val="left"/>
    </w:pPr>
    <w:rPr>
      <w:kern w:val="0"/>
      <w:sz w:val="20"/>
      <w:szCs w:val="20"/>
    </w:rPr>
  </w:style>
  <w:style w:type="paragraph" w:styleId="14">
    <w:name w:val="caption"/>
    <w:basedOn w:val="1"/>
    <w:next w:val="1"/>
    <w:autoRedefine/>
    <w:qFormat/>
    <w:uiPriority w:val="35"/>
    <w:pPr>
      <w:adjustRightInd w:val="0"/>
      <w:snapToGrid w:val="0"/>
      <w:spacing w:line="312" w:lineRule="auto"/>
      <w:ind w:firstLine="200" w:firstLineChars="200"/>
    </w:pPr>
    <w:rPr>
      <w:rFonts w:ascii="Cambria" w:hAnsi="Cambria" w:eastAsia="黑体"/>
      <w:sz w:val="20"/>
      <w:szCs w:val="20"/>
    </w:rPr>
  </w:style>
  <w:style w:type="paragraph" w:styleId="15">
    <w:name w:val="Document Map"/>
    <w:basedOn w:val="1"/>
    <w:autoRedefine/>
    <w:semiHidden/>
    <w:qFormat/>
    <w:uiPriority w:val="0"/>
    <w:pPr>
      <w:shd w:val="clear" w:color="auto" w:fill="000080"/>
    </w:pPr>
  </w:style>
  <w:style w:type="paragraph" w:styleId="16">
    <w:name w:val="annotation text"/>
    <w:basedOn w:val="1"/>
    <w:next w:val="1"/>
    <w:link w:val="76"/>
    <w:autoRedefine/>
    <w:semiHidden/>
    <w:qFormat/>
    <w:uiPriority w:val="0"/>
    <w:pPr>
      <w:jc w:val="left"/>
    </w:pPr>
  </w:style>
  <w:style w:type="paragraph" w:styleId="17">
    <w:name w:val="Salutation"/>
    <w:basedOn w:val="1"/>
    <w:next w:val="1"/>
    <w:autoRedefine/>
    <w:qFormat/>
    <w:uiPriority w:val="0"/>
    <w:rPr>
      <w:rFonts w:ascii="仿宋_GB2312" w:eastAsia="仿宋_GB2312"/>
      <w:sz w:val="24"/>
    </w:rPr>
  </w:style>
  <w:style w:type="paragraph" w:styleId="18">
    <w:name w:val="Body Text 3"/>
    <w:basedOn w:val="1"/>
    <w:autoRedefine/>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link w:val="77"/>
    <w:autoRedefine/>
    <w:qFormat/>
    <w:uiPriority w:val="0"/>
    <w:pPr>
      <w:spacing w:after="120"/>
    </w:pPr>
  </w:style>
  <w:style w:type="paragraph" w:styleId="20">
    <w:name w:val="Body Text Indent"/>
    <w:basedOn w:val="1"/>
    <w:link w:val="78"/>
    <w:autoRedefine/>
    <w:qFormat/>
    <w:uiPriority w:val="0"/>
    <w:pPr>
      <w:spacing w:after="120"/>
      <w:ind w:left="420" w:leftChars="200"/>
    </w:pPr>
  </w:style>
  <w:style w:type="paragraph" w:styleId="21">
    <w:name w:val="Block Text"/>
    <w:basedOn w:val="1"/>
    <w:autoRedefine/>
    <w:qFormat/>
    <w:uiPriority w:val="0"/>
    <w:pPr>
      <w:ind w:left="1171" w:right="91" w:hanging="1080"/>
    </w:pPr>
    <w:rPr>
      <w:rFonts w:eastAsia="楷体_GB2312"/>
      <w:szCs w:val="20"/>
    </w:rPr>
  </w:style>
  <w:style w:type="paragraph" w:styleId="22">
    <w:name w:val="toc 5"/>
    <w:basedOn w:val="1"/>
    <w:next w:val="1"/>
    <w:autoRedefine/>
    <w:qFormat/>
    <w:uiPriority w:val="0"/>
    <w:pPr>
      <w:ind w:left="1680" w:leftChars="800"/>
    </w:pPr>
    <w:rPr>
      <w:szCs w:val="22"/>
    </w:rPr>
  </w:style>
  <w:style w:type="paragraph" w:styleId="23">
    <w:name w:val="toc 3"/>
    <w:basedOn w:val="1"/>
    <w:next w:val="1"/>
    <w:autoRedefine/>
    <w:qFormat/>
    <w:uiPriority w:val="0"/>
    <w:pPr>
      <w:ind w:left="840" w:leftChars="400"/>
    </w:pPr>
  </w:style>
  <w:style w:type="paragraph" w:styleId="24">
    <w:name w:val="Plain Text"/>
    <w:basedOn w:val="1"/>
    <w:next w:val="1"/>
    <w:link w:val="79"/>
    <w:autoRedefine/>
    <w:qFormat/>
    <w:uiPriority w:val="0"/>
    <w:rPr>
      <w:rFonts w:ascii="宋体" w:hAnsi="Courier New" w:cs="Courier New"/>
      <w:szCs w:val="21"/>
    </w:rPr>
  </w:style>
  <w:style w:type="paragraph" w:styleId="25">
    <w:name w:val="toc 8"/>
    <w:basedOn w:val="1"/>
    <w:next w:val="1"/>
    <w:qFormat/>
    <w:uiPriority w:val="0"/>
    <w:pPr>
      <w:ind w:left="2940" w:leftChars="1400"/>
    </w:pPr>
    <w:rPr>
      <w:szCs w:val="22"/>
    </w:rPr>
  </w:style>
  <w:style w:type="paragraph" w:styleId="26">
    <w:name w:val="Date"/>
    <w:basedOn w:val="1"/>
    <w:next w:val="1"/>
    <w:link w:val="80"/>
    <w:autoRedefine/>
    <w:qFormat/>
    <w:uiPriority w:val="0"/>
    <w:rPr>
      <w:sz w:val="24"/>
      <w:szCs w:val="20"/>
    </w:rPr>
  </w:style>
  <w:style w:type="paragraph" w:styleId="27">
    <w:name w:val="Body Text Indent 2"/>
    <w:basedOn w:val="1"/>
    <w:autoRedefine/>
    <w:qFormat/>
    <w:uiPriority w:val="0"/>
    <w:pPr>
      <w:spacing w:after="120" w:line="480" w:lineRule="auto"/>
      <w:ind w:left="420" w:leftChars="200"/>
    </w:pPr>
  </w:style>
  <w:style w:type="paragraph" w:styleId="28">
    <w:name w:val="Balloon Text"/>
    <w:basedOn w:val="1"/>
    <w:link w:val="81"/>
    <w:autoRedefine/>
    <w:qFormat/>
    <w:uiPriority w:val="0"/>
    <w:rPr>
      <w:sz w:val="18"/>
      <w:szCs w:val="18"/>
    </w:rPr>
  </w:style>
  <w:style w:type="paragraph" w:styleId="29">
    <w:name w:val="footer"/>
    <w:basedOn w:val="1"/>
    <w:link w:val="66"/>
    <w:autoRedefine/>
    <w:qFormat/>
    <w:uiPriority w:val="0"/>
    <w:pPr>
      <w:tabs>
        <w:tab w:val="center" w:pos="4153"/>
        <w:tab w:val="right" w:pos="8306"/>
      </w:tabs>
      <w:snapToGrid w:val="0"/>
      <w:jc w:val="left"/>
    </w:pPr>
    <w:rPr>
      <w:sz w:val="18"/>
      <w:szCs w:val="18"/>
    </w:rPr>
  </w:style>
  <w:style w:type="paragraph" w:styleId="30">
    <w:name w:val="envelope return"/>
    <w:basedOn w:val="1"/>
    <w:unhideWhenUsed/>
    <w:qFormat/>
    <w:uiPriority w:val="99"/>
    <w:pPr>
      <w:snapToGrid w:val="0"/>
    </w:pPr>
    <w:rPr>
      <w:rFonts w:ascii="Arial" w:hAnsi="Arial"/>
      <w:sz w:val="28"/>
    </w:rPr>
  </w:style>
  <w:style w:type="paragraph" w:styleId="31">
    <w:name w:val="header"/>
    <w:basedOn w:val="1"/>
    <w:link w:val="82"/>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3">
    <w:name w:val="toc 4"/>
    <w:basedOn w:val="1"/>
    <w:next w:val="1"/>
    <w:qFormat/>
    <w:uiPriority w:val="0"/>
    <w:pPr>
      <w:ind w:left="1260" w:leftChars="600"/>
    </w:pPr>
  </w:style>
  <w:style w:type="paragraph" w:styleId="34">
    <w:name w:val="Subtitle"/>
    <w:basedOn w:val="1"/>
    <w:next w:val="1"/>
    <w:link w:val="83"/>
    <w:autoRedefine/>
    <w:qFormat/>
    <w:uiPriority w:val="0"/>
    <w:pPr>
      <w:spacing w:before="240" w:after="60" w:line="312" w:lineRule="auto"/>
      <w:jc w:val="center"/>
      <w:outlineLvl w:val="1"/>
    </w:pPr>
    <w:rPr>
      <w:rFonts w:ascii="Cambria" w:hAnsi="Cambria"/>
      <w:b/>
      <w:bCs/>
      <w:kern w:val="28"/>
      <w:sz w:val="32"/>
      <w:szCs w:val="32"/>
    </w:rPr>
  </w:style>
  <w:style w:type="paragraph" w:styleId="35">
    <w:name w:val="footnote text"/>
    <w:basedOn w:val="1"/>
    <w:autoRedefine/>
    <w:qFormat/>
    <w:uiPriority w:val="99"/>
    <w:pPr>
      <w:snapToGrid w:val="0"/>
      <w:jc w:val="left"/>
    </w:pPr>
    <w:rPr>
      <w:sz w:val="18"/>
      <w:szCs w:val="18"/>
    </w:rPr>
  </w:style>
  <w:style w:type="paragraph" w:styleId="36">
    <w:name w:val="toc 6"/>
    <w:basedOn w:val="1"/>
    <w:next w:val="1"/>
    <w:autoRedefine/>
    <w:qFormat/>
    <w:uiPriority w:val="0"/>
    <w:pPr>
      <w:ind w:left="2100" w:leftChars="1000"/>
    </w:pPr>
    <w:rPr>
      <w:szCs w:val="22"/>
    </w:rPr>
  </w:style>
  <w:style w:type="paragraph" w:styleId="37">
    <w:name w:val="Body Text Indent 3"/>
    <w:basedOn w:val="1"/>
    <w:link w:val="84"/>
    <w:autoRedefine/>
    <w:qFormat/>
    <w:uiPriority w:val="0"/>
    <w:pPr>
      <w:spacing w:after="120"/>
      <w:ind w:left="420" w:leftChars="200"/>
    </w:pPr>
    <w:rPr>
      <w:sz w:val="16"/>
      <w:szCs w:val="16"/>
    </w:rPr>
  </w:style>
  <w:style w:type="paragraph" w:styleId="38">
    <w:name w:val="toc 2"/>
    <w:basedOn w:val="1"/>
    <w:next w:val="1"/>
    <w:autoRedefine/>
    <w:qFormat/>
    <w:uiPriority w:val="0"/>
    <w:pPr>
      <w:ind w:left="420" w:leftChars="200"/>
    </w:pPr>
  </w:style>
  <w:style w:type="paragraph" w:styleId="39">
    <w:name w:val="toc 9"/>
    <w:basedOn w:val="1"/>
    <w:next w:val="1"/>
    <w:autoRedefine/>
    <w:qFormat/>
    <w:uiPriority w:val="0"/>
    <w:pPr>
      <w:ind w:left="3360" w:leftChars="1600"/>
    </w:pPr>
    <w:rPr>
      <w:szCs w:val="22"/>
    </w:rPr>
  </w:style>
  <w:style w:type="paragraph" w:styleId="40">
    <w:name w:val="Body Text 2"/>
    <w:basedOn w:val="1"/>
    <w:autoRedefine/>
    <w:qFormat/>
    <w:uiPriority w:val="0"/>
    <w:pPr>
      <w:spacing w:after="120" w:line="480" w:lineRule="auto"/>
    </w:p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qFormat/>
    <w:uiPriority w:val="0"/>
    <w:pPr>
      <w:spacing w:line="220" w:lineRule="exact"/>
      <w:jc w:val="center"/>
    </w:pPr>
    <w:rPr>
      <w:rFonts w:ascii="仿宋_GB2312" w:eastAsia="仿宋_GB2312"/>
      <w:szCs w:val="20"/>
    </w:rPr>
  </w:style>
  <w:style w:type="paragraph" w:styleId="44">
    <w:name w:val="Title"/>
    <w:basedOn w:val="1"/>
    <w:next w:val="1"/>
    <w:link w:val="85"/>
    <w:autoRedefine/>
    <w:qFormat/>
    <w:uiPriority w:val="0"/>
    <w:pPr>
      <w:spacing w:before="240" w:after="60"/>
      <w:jc w:val="center"/>
      <w:outlineLvl w:val="0"/>
    </w:pPr>
    <w:rPr>
      <w:rFonts w:ascii="Cambria" w:hAnsi="Cambria"/>
      <w:b/>
      <w:sz w:val="32"/>
    </w:rPr>
  </w:style>
  <w:style w:type="paragraph" w:styleId="45">
    <w:name w:val="annotation subject"/>
    <w:basedOn w:val="16"/>
    <w:next w:val="1"/>
    <w:link w:val="86"/>
    <w:autoRedefine/>
    <w:qFormat/>
    <w:uiPriority w:val="0"/>
    <w:rPr>
      <w:b/>
      <w:bCs/>
    </w:rPr>
  </w:style>
  <w:style w:type="paragraph" w:styleId="46">
    <w:name w:val="Body Text First Indent 2"/>
    <w:basedOn w:val="20"/>
    <w:autoRedefine/>
    <w:unhideWhenUsed/>
    <w:qFormat/>
    <w:uiPriority w:val="99"/>
    <w:pPr>
      <w:ind w:firstLine="420" w:firstLineChars="200"/>
    </w:pPr>
  </w:style>
  <w:style w:type="table" w:styleId="48">
    <w:name w:val="Table Grid"/>
    <w:basedOn w:val="4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Theme"/>
    <w:basedOn w:val="47"/>
    <w:autoRedefine/>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autoRedefine/>
    <w:qFormat/>
    <w:uiPriority w:val="0"/>
    <w:rPr>
      <w:b/>
      <w:bCs/>
    </w:rPr>
  </w:style>
  <w:style w:type="character" w:styleId="52">
    <w:name w:val="page number"/>
    <w:basedOn w:val="50"/>
    <w:autoRedefine/>
    <w:qFormat/>
    <w:uiPriority w:val="0"/>
  </w:style>
  <w:style w:type="character" w:styleId="53">
    <w:name w:val="FollowedHyperlink"/>
    <w:autoRedefine/>
    <w:qFormat/>
    <w:uiPriority w:val="0"/>
    <w:rPr>
      <w:color w:val="800080"/>
      <w:u w:val="none"/>
    </w:rPr>
  </w:style>
  <w:style w:type="character" w:styleId="54">
    <w:name w:val="Emphasis"/>
    <w:autoRedefine/>
    <w:qFormat/>
    <w:uiPriority w:val="0"/>
    <w:rPr>
      <w:rFonts w:ascii="Times New Roman" w:hAnsi="Times New Roman" w:eastAsia="宋体"/>
    </w:rPr>
  </w:style>
  <w:style w:type="character" w:styleId="55">
    <w:name w:val="HTML Definition"/>
    <w:autoRedefine/>
    <w:qFormat/>
    <w:uiPriority w:val="0"/>
    <w:rPr>
      <w:rFonts w:ascii="Times New Roman" w:hAnsi="Times New Roman" w:eastAsia="宋体"/>
    </w:rPr>
  </w:style>
  <w:style w:type="character" w:styleId="56">
    <w:name w:val="HTML Variable"/>
    <w:autoRedefine/>
    <w:qFormat/>
    <w:uiPriority w:val="0"/>
    <w:rPr>
      <w:rFonts w:ascii="Times New Roman" w:hAnsi="Times New Roman" w:eastAsia="宋体"/>
    </w:rPr>
  </w:style>
  <w:style w:type="character" w:styleId="57">
    <w:name w:val="Hyperlink"/>
    <w:autoRedefine/>
    <w:qFormat/>
    <w:uiPriority w:val="0"/>
    <w:rPr>
      <w:color w:val="136EC2"/>
      <w:u w:val="single"/>
    </w:rPr>
  </w:style>
  <w:style w:type="character" w:styleId="58">
    <w:name w:val="HTML Code"/>
    <w:autoRedefine/>
    <w:qFormat/>
    <w:uiPriority w:val="0"/>
    <w:rPr>
      <w:rFonts w:ascii="Courier New" w:hAnsi="Courier New" w:eastAsia="Courier New" w:cs="Courier New"/>
      <w:sz w:val="20"/>
    </w:rPr>
  </w:style>
  <w:style w:type="character" w:styleId="59">
    <w:name w:val="annotation reference"/>
    <w:autoRedefine/>
    <w:qFormat/>
    <w:uiPriority w:val="0"/>
    <w:rPr>
      <w:sz w:val="21"/>
      <w:szCs w:val="21"/>
    </w:rPr>
  </w:style>
  <w:style w:type="character" w:styleId="60">
    <w:name w:val="HTML Cite"/>
    <w:autoRedefine/>
    <w:qFormat/>
    <w:uiPriority w:val="0"/>
    <w:rPr>
      <w:rFonts w:ascii="Times New Roman" w:hAnsi="Times New Roman" w:eastAsia="宋体"/>
    </w:rPr>
  </w:style>
  <w:style w:type="character" w:styleId="61">
    <w:name w:val="HTML Keyboard"/>
    <w:autoRedefine/>
    <w:qFormat/>
    <w:uiPriority w:val="0"/>
    <w:rPr>
      <w:rFonts w:ascii="Courier New" w:hAnsi="Courier New" w:eastAsia="Courier New" w:cs="Courier New"/>
      <w:sz w:val="20"/>
    </w:rPr>
  </w:style>
  <w:style w:type="character" w:styleId="62">
    <w:name w:val="HTML Sample"/>
    <w:autoRedefine/>
    <w:qFormat/>
    <w:uiPriority w:val="0"/>
    <w:rPr>
      <w:rFonts w:ascii="Courier New" w:hAnsi="Courier New" w:eastAsia="Courier New" w:cs="Courier New"/>
    </w:rPr>
  </w:style>
  <w:style w:type="paragraph" w:customStyle="1" w:styleId="63">
    <w:name w:val="列出段落1"/>
    <w:basedOn w:val="64"/>
    <w:autoRedefine/>
    <w:qFormat/>
    <w:uiPriority w:val="0"/>
    <w:pPr>
      <w:ind w:firstLine="420" w:firstLineChars="200"/>
    </w:pPr>
  </w:style>
  <w:style w:type="paragraph" w:customStyle="1" w:styleId="64">
    <w:name w:val="正文_0"/>
    <w:next w:val="63"/>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5">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6">
    <w:name w:val="页脚 Char1"/>
    <w:link w:val="29"/>
    <w:autoRedefine/>
    <w:qFormat/>
    <w:uiPriority w:val="0"/>
    <w:rPr>
      <w:rFonts w:eastAsia="宋体"/>
      <w:kern w:val="2"/>
      <w:sz w:val="18"/>
      <w:szCs w:val="18"/>
      <w:lang w:val="en-US" w:eastAsia="zh-CN" w:bidi="ar-SA"/>
    </w:rPr>
  </w:style>
  <w:style w:type="character" w:customStyle="1" w:styleId="67">
    <w:name w:val="标题 1 Char1"/>
    <w:link w:val="3"/>
    <w:autoRedefine/>
    <w:qFormat/>
    <w:uiPriority w:val="0"/>
    <w:rPr>
      <w:rFonts w:eastAsia="宋体"/>
      <w:b/>
      <w:bCs/>
      <w:kern w:val="2"/>
      <w:sz w:val="24"/>
      <w:lang w:val="en-US" w:eastAsia="zh-CN" w:bidi="ar-SA"/>
    </w:rPr>
  </w:style>
  <w:style w:type="character" w:customStyle="1" w:styleId="68">
    <w:name w:val="标题 2 Char1"/>
    <w:link w:val="4"/>
    <w:autoRedefine/>
    <w:qFormat/>
    <w:uiPriority w:val="0"/>
    <w:rPr>
      <w:rFonts w:ascii="Arial" w:hAnsi="Arial" w:eastAsia="宋体"/>
      <w:b/>
      <w:bCs/>
      <w:kern w:val="2"/>
      <w:sz w:val="24"/>
      <w:szCs w:val="32"/>
      <w:lang w:val="en-US" w:eastAsia="zh-CN" w:bidi="ar-SA"/>
    </w:rPr>
  </w:style>
  <w:style w:type="character" w:customStyle="1" w:styleId="69">
    <w:name w:val="标题 3 Char1"/>
    <w:link w:val="5"/>
    <w:autoRedefine/>
    <w:qFormat/>
    <w:uiPriority w:val="0"/>
    <w:rPr>
      <w:rFonts w:eastAsia="宋体"/>
      <w:b/>
      <w:bCs/>
      <w:kern w:val="2"/>
      <w:sz w:val="32"/>
      <w:szCs w:val="32"/>
      <w:lang w:val="en-US" w:eastAsia="zh-CN" w:bidi="ar-SA"/>
    </w:rPr>
  </w:style>
  <w:style w:type="character" w:customStyle="1" w:styleId="70">
    <w:name w:val="标题 4 Char1"/>
    <w:link w:val="6"/>
    <w:autoRedefine/>
    <w:qFormat/>
    <w:uiPriority w:val="0"/>
    <w:rPr>
      <w:rFonts w:ascii="Arial" w:hAnsi="Arial" w:eastAsia="黑体"/>
      <w:b/>
      <w:bCs/>
      <w:kern w:val="2"/>
      <w:sz w:val="28"/>
      <w:szCs w:val="28"/>
      <w:lang w:val="en-US" w:eastAsia="zh-CN" w:bidi="ar-SA"/>
    </w:rPr>
  </w:style>
  <w:style w:type="character" w:customStyle="1" w:styleId="71">
    <w:name w:val="标题 5 Char1"/>
    <w:link w:val="7"/>
    <w:autoRedefine/>
    <w:qFormat/>
    <w:uiPriority w:val="0"/>
    <w:rPr>
      <w:rFonts w:eastAsia="宋体"/>
      <w:b/>
      <w:bCs/>
      <w:sz w:val="28"/>
      <w:szCs w:val="28"/>
      <w:lang w:val="en-US" w:eastAsia="zh-CN" w:bidi="ar-SA"/>
    </w:rPr>
  </w:style>
  <w:style w:type="character" w:customStyle="1" w:styleId="72">
    <w:name w:val="标题 6 Char1"/>
    <w:link w:val="8"/>
    <w:autoRedefine/>
    <w:qFormat/>
    <w:uiPriority w:val="0"/>
    <w:rPr>
      <w:rFonts w:ascii="Arial" w:hAnsi="Arial" w:eastAsia="黑体"/>
      <w:b/>
      <w:bCs/>
      <w:sz w:val="24"/>
      <w:szCs w:val="24"/>
      <w:lang w:val="en-US" w:eastAsia="zh-CN" w:bidi="ar-SA"/>
    </w:rPr>
  </w:style>
  <w:style w:type="character" w:customStyle="1" w:styleId="73">
    <w:name w:val="标题 7 Char1"/>
    <w:link w:val="9"/>
    <w:autoRedefine/>
    <w:qFormat/>
    <w:uiPriority w:val="0"/>
    <w:rPr>
      <w:rFonts w:eastAsia="宋体"/>
      <w:b/>
      <w:bCs/>
      <w:sz w:val="24"/>
      <w:szCs w:val="24"/>
      <w:lang w:val="en-US" w:eastAsia="zh-CN" w:bidi="ar-SA"/>
    </w:rPr>
  </w:style>
  <w:style w:type="character" w:customStyle="1" w:styleId="74">
    <w:name w:val="标题 8 Char1"/>
    <w:link w:val="10"/>
    <w:autoRedefine/>
    <w:qFormat/>
    <w:uiPriority w:val="0"/>
    <w:rPr>
      <w:rFonts w:ascii="Arial" w:hAnsi="Arial" w:eastAsia="黑体"/>
      <w:sz w:val="24"/>
      <w:szCs w:val="24"/>
      <w:lang w:val="en-US" w:eastAsia="zh-CN" w:bidi="ar-SA"/>
    </w:rPr>
  </w:style>
  <w:style w:type="character" w:customStyle="1" w:styleId="75">
    <w:name w:val="标题 9 Char1"/>
    <w:link w:val="11"/>
    <w:autoRedefine/>
    <w:qFormat/>
    <w:uiPriority w:val="0"/>
    <w:rPr>
      <w:rFonts w:ascii="Arial" w:hAnsi="Arial" w:eastAsia="黑体"/>
      <w:sz w:val="21"/>
      <w:szCs w:val="21"/>
      <w:lang w:val="en-US" w:eastAsia="zh-CN" w:bidi="ar-SA"/>
    </w:rPr>
  </w:style>
  <w:style w:type="character" w:customStyle="1" w:styleId="76">
    <w:name w:val="批注文字 Char1"/>
    <w:link w:val="16"/>
    <w:autoRedefine/>
    <w:qFormat/>
    <w:uiPriority w:val="0"/>
    <w:rPr>
      <w:rFonts w:eastAsia="宋体"/>
      <w:kern w:val="2"/>
      <w:sz w:val="21"/>
      <w:szCs w:val="24"/>
      <w:lang w:val="en-US" w:eastAsia="zh-CN" w:bidi="ar-SA"/>
    </w:rPr>
  </w:style>
  <w:style w:type="character" w:customStyle="1" w:styleId="77">
    <w:name w:val="正文文本 Char"/>
    <w:link w:val="19"/>
    <w:autoRedefine/>
    <w:qFormat/>
    <w:uiPriority w:val="99"/>
    <w:rPr>
      <w:kern w:val="2"/>
      <w:sz w:val="21"/>
      <w:szCs w:val="24"/>
    </w:rPr>
  </w:style>
  <w:style w:type="character" w:customStyle="1" w:styleId="78">
    <w:name w:val="正文文本缩进 Char"/>
    <w:link w:val="20"/>
    <w:autoRedefine/>
    <w:qFormat/>
    <w:uiPriority w:val="0"/>
    <w:rPr>
      <w:rFonts w:eastAsia="宋体"/>
      <w:kern w:val="2"/>
      <w:sz w:val="21"/>
      <w:szCs w:val="24"/>
      <w:lang w:val="en-US" w:eastAsia="zh-CN" w:bidi="ar-SA"/>
    </w:rPr>
  </w:style>
  <w:style w:type="character" w:customStyle="1" w:styleId="79">
    <w:name w:val="纯文本 Char"/>
    <w:link w:val="24"/>
    <w:autoRedefine/>
    <w:semiHidden/>
    <w:qFormat/>
    <w:locked/>
    <w:uiPriority w:val="0"/>
    <w:rPr>
      <w:rFonts w:ascii="宋体" w:hAnsi="Courier New" w:eastAsia="宋体" w:cs="Courier New"/>
      <w:kern w:val="2"/>
      <w:sz w:val="21"/>
      <w:szCs w:val="21"/>
      <w:lang w:val="en-US" w:eastAsia="zh-CN" w:bidi="ar-SA"/>
    </w:rPr>
  </w:style>
  <w:style w:type="character" w:customStyle="1" w:styleId="80">
    <w:name w:val="日期 Char1"/>
    <w:link w:val="26"/>
    <w:autoRedefine/>
    <w:qFormat/>
    <w:uiPriority w:val="0"/>
    <w:rPr>
      <w:rFonts w:eastAsia="宋体"/>
      <w:kern w:val="2"/>
      <w:sz w:val="24"/>
      <w:lang w:val="en-US" w:eastAsia="zh-CN" w:bidi="ar-SA"/>
    </w:rPr>
  </w:style>
  <w:style w:type="character" w:customStyle="1" w:styleId="81">
    <w:name w:val="批注框文本 Char1"/>
    <w:link w:val="28"/>
    <w:autoRedefine/>
    <w:semiHidden/>
    <w:qFormat/>
    <w:locked/>
    <w:uiPriority w:val="0"/>
    <w:rPr>
      <w:rFonts w:ascii="Calibri" w:hAnsi="Calibri" w:eastAsia="宋体"/>
      <w:kern w:val="2"/>
      <w:sz w:val="18"/>
      <w:szCs w:val="18"/>
      <w:lang w:val="en-US" w:eastAsia="zh-CN" w:bidi="ar-SA"/>
    </w:rPr>
  </w:style>
  <w:style w:type="character" w:customStyle="1" w:styleId="82">
    <w:name w:val="页眉 Char1"/>
    <w:link w:val="31"/>
    <w:autoRedefine/>
    <w:qFormat/>
    <w:uiPriority w:val="0"/>
    <w:rPr>
      <w:rFonts w:eastAsia="宋体"/>
      <w:kern w:val="2"/>
      <w:sz w:val="18"/>
      <w:szCs w:val="18"/>
      <w:lang w:val="en-US" w:eastAsia="zh-CN" w:bidi="ar-SA"/>
    </w:rPr>
  </w:style>
  <w:style w:type="character" w:customStyle="1" w:styleId="83">
    <w:name w:val="副标题 Char"/>
    <w:link w:val="34"/>
    <w:autoRedefine/>
    <w:qFormat/>
    <w:uiPriority w:val="0"/>
    <w:rPr>
      <w:rFonts w:ascii="Cambria" w:hAnsi="Cambria" w:cs="Times New Roman"/>
      <w:b/>
      <w:bCs/>
      <w:kern w:val="28"/>
      <w:sz w:val="32"/>
      <w:szCs w:val="32"/>
    </w:rPr>
  </w:style>
  <w:style w:type="character" w:customStyle="1" w:styleId="84">
    <w:name w:val="正文文本缩进 3 Char1"/>
    <w:link w:val="37"/>
    <w:qFormat/>
    <w:uiPriority w:val="0"/>
    <w:rPr>
      <w:rFonts w:eastAsia="宋体"/>
      <w:kern w:val="2"/>
      <w:sz w:val="16"/>
      <w:szCs w:val="16"/>
      <w:lang w:val="en-US" w:eastAsia="zh-CN" w:bidi="ar-SA"/>
    </w:rPr>
  </w:style>
  <w:style w:type="character" w:customStyle="1" w:styleId="85">
    <w:name w:val="标题 Char2"/>
    <w:link w:val="44"/>
    <w:autoRedefine/>
    <w:qFormat/>
    <w:uiPriority w:val="0"/>
    <w:rPr>
      <w:rFonts w:ascii="Cambria" w:hAnsi="Cambria"/>
      <w:b/>
      <w:kern w:val="2"/>
      <w:sz w:val="32"/>
      <w:szCs w:val="24"/>
    </w:rPr>
  </w:style>
  <w:style w:type="character" w:customStyle="1" w:styleId="86">
    <w:name w:val="批注主题 Char1"/>
    <w:link w:val="45"/>
    <w:autoRedefine/>
    <w:qFormat/>
    <w:uiPriority w:val="0"/>
    <w:rPr>
      <w:rFonts w:eastAsia="宋体"/>
      <w:b/>
      <w:bCs/>
      <w:kern w:val="2"/>
      <w:sz w:val="21"/>
      <w:szCs w:val="24"/>
      <w:lang w:val="en-US" w:eastAsia="zh-CN" w:bidi="ar-SA"/>
    </w:rPr>
  </w:style>
  <w:style w:type="character" w:customStyle="1" w:styleId="87">
    <w:name w:val="bds_more9"/>
    <w:autoRedefine/>
    <w:qFormat/>
    <w:uiPriority w:val="0"/>
    <w:rPr>
      <w:rFonts w:ascii="Times New Roman" w:hAnsi="Times New Roman" w:eastAsia="宋体"/>
    </w:rPr>
  </w:style>
  <w:style w:type="character" w:customStyle="1" w:styleId="88">
    <w:name w:val="页眉 Char"/>
    <w:autoRedefine/>
    <w:qFormat/>
    <w:uiPriority w:val="0"/>
    <w:rPr>
      <w:kern w:val="2"/>
      <w:sz w:val="18"/>
      <w:szCs w:val="18"/>
    </w:rPr>
  </w:style>
  <w:style w:type="character" w:customStyle="1" w:styleId="89">
    <w:name w:val="Font Style123"/>
    <w:autoRedefine/>
    <w:unhideWhenUsed/>
    <w:qFormat/>
    <w:uiPriority w:val="0"/>
    <w:rPr>
      <w:rFonts w:hint="eastAsia" w:ascii="宋体" w:hAnsi="宋体" w:eastAsia="宋体"/>
      <w:b/>
      <w:sz w:val="32"/>
    </w:rPr>
  </w:style>
  <w:style w:type="character" w:customStyle="1" w:styleId="90">
    <w:name w:val="Char Char17"/>
    <w:autoRedefine/>
    <w:qFormat/>
    <w:uiPriority w:val="0"/>
    <w:rPr>
      <w:rFonts w:ascii="宋体" w:hAnsi="Times New Roman" w:eastAsia="宋体"/>
      <w:b/>
      <w:sz w:val="28"/>
      <w:lang w:val="en-US" w:eastAsia="zh-CN" w:bidi="ar-SA"/>
    </w:rPr>
  </w:style>
  <w:style w:type="character" w:customStyle="1" w:styleId="91">
    <w:name w:val="Font Style105"/>
    <w:unhideWhenUsed/>
    <w:qFormat/>
    <w:uiPriority w:val="0"/>
    <w:rPr>
      <w:rFonts w:hint="eastAsia" w:ascii="Times New Roman" w:hAnsi="Times New Roman" w:eastAsia="Times New Roman"/>
      <w:w w:val="60"/>
      <w:sz w:val="26"/>
    </w:rPr>
  </w:style>
  <w:style w:type="character" w:customStyle="1" w:styleId="92">
    <w:name w:val="Font Style90"/>
    <w:autoRedefine/>
    <w:unhideWhenUsed/>
    <w:qFormat/>
    <w:uiPriority w:val="0"/>
    <w:rPr>
      <w:rFonts w:hint="eastAsia" w:ascii="宋体" w:hAnsi="宋体" w:eastAsia="宋体"/>
      <w:b/>
      <w:spacing w:val="-20"/>
      <w:sz w:val="40"/>
    </w:rPr>
  </w:style>
  <w:style w:type="character" w:customStyle="1" w:styleId="93">
    <w:name w:val="Font Style127"/>
    <w:autoRedefine/>
    <w:unhideWhenUsed/>
    <w:qFormat/>
    <w:uiPriority w:val="0"/>
    <w:rPr>
      <w:rFonts w:hint="eastAsia" w:ascii="Times New Roman" w:hAnsi="Times New Roman" w:eastAsia="Times New Roman"/>
      <w:sz w:val="20"/>
    </w:rPr>
  </w:style>
  <w:style w:type="character" w:customStyle="1" w:styleId="94">
    <w:name w:val="bds_more8"/>
    <w:autoRedefine/>
    <w:qFormat/>
    <w:uiPriority w:val="0"/>
    <w:rPr>
      <w:rFonts w:ascii="Times New Roman" w:hAnsi="Times New Roman" w:eastAsia="宋体"/>
    </w:rPr>
  </w:style>
  <w:style w:type="character" w:customStyle="1" w:styleId="95">
    <w:name w:val="Font Style119"/>
    <w:unhideWhenUsed/>
    <w:qFormat/>
    <w:uiPriority w:val="0"/>
    <w:rPr>
      <w:rFonts w:hint="eastAsia" w:ascii="宋体" w:hAnsi="宋体" w:eastAsia="宋体"/>
      <w:sz w:val="24"/>
    </w:rPr>
  </w:style>
  <w:style w:type="character" w:customStyle="1" w:styleId="96">
    <w:name w:val="标题 4 Char"/>
    <w:autoRedefine/>
    <w:qFormat/>
    <w:uiPriority w:val="0"/>
    <w:rPr>
      <w:rFonts w:ascii="Arial" w:hAnsi="Arial" w:eastAsia="宋体" w:cs="Times New Roman"/>
      <w:b/>
      <w:bCs/>
      <w:szCs w:val="28"/>
    </w:rPr>
  </w:style>
  <w:style w:type="character" w:customStyle="1" w:styleId="97">
    <w:name w:val="副标题 Char1"/>
    <w:autoRedefine/>
    <w:qFormat/>
    <w:uiPriority w:val="0"/>
    <w:rPr>
      <w:rFonts w:ascii="Cambria" w:hAnsi="Cambria"/>
      <w:b/>
      <w:bCs/>
      <w:kern w:val="28"/>
      <w:sz w:val="32"/>
      <w:szCs w:val="32"/>
    </w:rPr>
  </w:style>
  <w:style w:type="character" w:customStyle="1" w:styleId="98">
    <w:name w:val="bds_more10"/>
    <w:autoRedefine/>
    <w:qFormat/>
    <w:uiPriority w:val="0"/>
    <w:rPr>
      <w:rFonts w:ascii="Times New Roman" w:hAnsi="Times New Roman" w:eastAsia="宋体"/>
    </w:rPr>
  </w:style>
  <w:style w:type="character" w:customStyle="1" w:styleId="99">
    <w:name w:val="bds_nopic"/>
    <w:autoRedefine/>
    <w:qFormat/>
    <w:uiPriority w:val="0"/>
    <w:rPr>
      <w:rFonts w:ascii="Times New Roman" w:hAnsi="Times New Roman" w:eastAsia="宋体"/>
    </w:rPr>
  </w:style>
  <w:style w:type="character" w:customStyle="1" w:styleId="100">
    <w:name w:val="Font Style121"/>
    <w:autoRedefine/>
    <w:unhideWhenUsed/>
    <w:qFormat/>
    <w:uiPriority w:val="0"/>
    <w:rPr>
      <w:rFonts w:hint="eastAsia" w:ascii="宋体" w:hAnsi="宋体" w:eastAsia="宋体"/>
      <w:spacing w:val="-10"/>
      <w:sz w:val="30"/>
    </w:rPr>
  </w:style>
  <w:style w:type="character" w:customStyle="1" w:styleId="101">
    <w:name w:val="Font Style124"/>
    <w:autoRedefine/>
    <w:unhideWhenUsed/>
    <w:qFormat/>
    <w:uiPriority w:val="0"/>
    <w:rPr>
      <w:rFonts w:hint="eastAsia" w:ascii="宋体" w:hAnsi="宋体" w:eastAsia="宋体"/>
      <w:spacing w:val="30"/>
      <w:sz w:val="24"/>
    </w:rPr>
  </w:style>
  <w:style w:type="character" w:customStyle="1" w:styleId="102">
    <w:name w:val="content_2"/>
    <w:qFormat/>
    <w:uiPriority w:val="0"/>
    <w:rPr>
      <w:sz w:val="19"/>
      <w:szCs w:val="19"/>
    </w:rPr>
  </w:style>
  <w:style w:type="character" w:customStyle="1" w:styleId="103">
    <w:name w:val="Font Style115"/>
    <w:autoRedefine/>
    <w:unhideWhenUsed/>
    <w:qFormat/>
    <w:uiPriority w:val="0"/>
    <w:rPr>
      <w:rFonts w:hint="eastAsia" w:ascii="Times New Roman" w:hAnsi="Times New Roman" w:eastAsia="Times New Roman"/>
      <w:sz w:val="16"/>
    </w:rPr>
  </w:style>
  <w:style w:type="character" w:customStyle="1" w:styleId="104">
    <w:name w:val="Char Char16"/>
    <w:autoRedefine/>
    <w:qFormat/>
    <w:uiPriority w:val="0"/>
    <w:rPr>
      <w:rFonts w:ascii="宋体" w:hAnsi="Times New Roman" w:eastAsia="宋体"/>
      <w:b/>
      <w:sz w:val="24"/>
      <w:lang w:val="en-US" w:eastAsia="zh-CN" w:bidi="ar-SA"/>
    </w:rPr>
  </w:style>
  <w:style w:type="character" w:customStyle="1" w:styleId="105">
    <w:name w:val="Font Style94"/>
    <w:autoRedefine/>
    <w:unhideWhenUsed/>
    <w:qFormat/>
    <w:uiPriority w:val="0"/>
    <w:rPr>
      <w:rFonts w:hint="eastAsia" w:ascii="Times New Roman" w:hAnsi="Times New Roman" w:eastAsia="Times New Roman"/>
      <w:sz w:val="28"/>
    </w:rPr>
  </w:style>
  <w:style w:type="character" w:customStyle="1" w:styleId="106">
    <w:name w:val="Font Style133"/>
    <w:unhideWhenUsed/>
    <w:qFormat/>
    <w:uiPriority w:val="0"/>
    <w:rPr>
      <w:rFonts w:hint="eastAsia" w:ascii="宋体" w:hAnsi="宋体" w:eastAsia="宋体"/>
      <w:spacing w:val="30"/>
      <w:sz w:val="24"/>
    </w:rPr>
  </w:style>
  <w:style w:type="character" w:customStyle="1" w:styleId="107">
    <w:name w:val="bds_nopic1"/>
    <w:autoRedefine/>
    <w:qFormat/>
    <w:uiPriority w:val="0"/>
    <w:rPr>
      <w:rFonts w:ascii="Times New Roman" w:hAnsi="Times New Roman" w:eastAsia="宋体"/>
    </w:rPr>
  </w:style>
  <w:style w:type="character" w:customStyle="1" w:styleId="108">
    <w:name w:val="Char Char151"/>
    <w:autoRedefine/>
    <w:qFormat/>
    <w:uiPriority w:val="0"/>
    <w:rPr>
      <w:b/>
      <w:bCs/>
      <w:sz w:val="24"/>
      <w:szCs w:val="24"/>
    </w:rPr>
  </w:style>
  <w:style w:type="character" w:customStyle="1" w:styleId="109">
    <w:name w:val="Font Style86"/>
    <w:autoRedefine/>
    <w:unhideWhenUsed/>
    <w:qFormat/>
    <w:uiPriority w:val="0"/>
    <w:rPr>
      <w:rFonts w:hint="eastAsia" w:ascii="黑体" w:hAnsi="黑体" w:eastAsia="黑体"/>
      <w:spacing w:val="10"/>
      <w:sz w:val="30"/>
    </w:rPr>
  </w:style>
  <w:style w:type="character" w:customStyle="1" w:styleId="110">
    <w:name w:val="Char Char141"/>
    <w:autoRedefine/>
    <w:qFormat/>
    <w:uiPriority w:val="0"/>
    <w:rPr>
      <w:rFonts w:ascii="Arial" w:hAnsi="Arial" w:eastAsia="黑体"/>
      <w:b/>
      <w:bCs/>
      <w:sz w:val="28"/>
      <w:szCs w:val="28"/>
      <w:lang w:val="en-US" w:eastAsia="zh-CN" w:bidi="ar-SA"/>
    </w:rPr>
  </w:style>
  <w:style w:type="character" w:customStyle="1" w:styleId="111">
    <w:name w:val="polysemyexp"/>
    <w:qFormat/>
    <w:uiPriority w:val="0"/>
    <w:rPr>
      <w:rFonts w:ascii="Times New Roman" w:hAnsi="Times New Roman" w:eastAsia="宋体"/>
      <w:color w:val="AAAAAA"/>
      <w:sz w:val="18"/>
      <w:szCs w:val="18"/>
    </w:rPr>
  </w:style>
  <w:style w:type="character" w:customStyle="1" w:styleId="112">
    <w:name w:val="fontstrikethrough"/>
    <w:autoRedefine/>
    <w:qFormat/>
    <w:uiPriority w:val="0"/>
    <w:rPr>
      <w:strike/>
    </w:rPr>
  </w:style>
  <w:style w:type="character" w:customStyle="1" w:styleId="113">
    <w:name w:val="sidecatalog-dot"/>
    <w:autoRedefine/>
    <w:qFormat/>
    <w:uiPriority w:val="0"/>
    <w:rPr>
      <w:rFonts w:ascii="Times New Roman" w:hAnsi="Times New Roman" w:eastAsia="宋体"/>
    </w:rPr>
  </w:style>
  <w:style w:type="character" w:customStyle="1" w:styleId="114">
    <w:name w:val="p0 Char Char"/>
    <w:autoRedefine/>
    <w:qFormat/>
    <w:uiPriority w:val="0"/>
    <w:rPr>
      <w:rFonts w:eastAsia="宋体"/>
      <w:kern w:val="2"/>
      <w:sz w:val="21"/>
      <w:szCs w:val="21"/>
      <w:lang w:val="en-US" w:eastAsia="zh-CN" w:bidi="ar-SA"/>
    </w:rPr>
  </w:style>
  <w:style w:type="character" w:customStyle="1" w:styleId="115">
    <w:name w:val="批注框文本 Char"/>
    <w:qFormat/>
    <w:uiPriority w:val="0"/>
    <w:rPr>
      <w:kern w:val="2"/>
      <w:sz w:val="18"/>
      <w:szCs w:val="18"/>
    </w:rPr>
  </w:style>
  <w:style w:type="character" w:customStyle="1" w:styleId="116">
    <w:name w:val="标题 9 Char"/>
    <w:autoRedefine/>
    <w:qFormat/>
    <w:uiPriority w:val="0"/>
    <w:rPr>
      <w:rFonts w:ascii="Arial" w:hAnsi="Arial" w:eastAsia="黑体"/>
      <w:sz w:val="21"/>
      <w:szCs w:val="21"/>
    </w:rPr>
  </w:style>
  <w:style w:type="character" w:customStyle="1" w:styleId="117">
    <w:name w:val="Char Char61"/>
    <w:qFormat/>
    <w:uiPriority w:val="0"/>
    <w:rPr>
      <w:rFonts w:ascii="Arial" w:hAnsi="Arial" w:eastAsia="黑体"/>
      <w:sz w:val="24"/>
      <w:szCs w:val="24"/>
      <w:lang w:val="en-US" w:eastAsia="zh-CN" w:bidi="ar-SA"/>
    </w:rPr>
  </w:style>
  <w:style w:type="character" w:customStyle="1" w:styleId="118">
    <w:name w:val="标题 3 Char"/>
    <w:autoRedefine/>
    <w:qFormat/>
    <w:uiPriority w:val="0"/>
    <w:rPr>
      <w:b/>
      <w:bCs/>
      <w:sz w:val="24"/>
      <w:szCs w:val="24"/>
    </w:rPr>
  </w:style>
  <w:style w:type="character" w:customStyle="1" w:styleId="119">
    <w:name w:val="Font Style104"/>
    <w:autoRedefine/>
    <w:unhideWhenUsed/>
    <w:qFormat/>
    <w:uiPriority w:val="0"/>
    <w:rPr>
      <w:rFonts w:hint="eastAsia" w:ascii="宋体" w:hAnsi="宋体" w:eastAsia="宋体"/>
      <w:spacing w:val="30"/>
      <w:sz w:val="18"/>
    </w:rPr>
  </w:style>
  <w:style w:type="character" w:customStyle="1" w:styleId="120">
    <w:name w:val="Char Char14"/>
    <w:autoRedefine/>
    <w:qFormat/>
    <w:uiPriority w:val="0"/>
    <w:rPr>
      <w:rFonts w:ascii="Arial" w:hAnsi="Arial" w:eastAsia="黑体"/>
      <w:b/>
      <w:bCs/>
      <w:sz w:val="28"/>
      <w:szCs w:val="28"/>
      <w:lang w:val="en-US" w:eastAsia="zh-CN" w:bidi="ar-SA"/>
    </w:rPr>
  </w:style>
  <w:style w:type="character" w:customStyle="1" w:styleId="121">
    <w:name w:val="Font Style128"/>
    <w:autoRedefine/>
    <w:unhideWhenUsed/>
    <w:qFormat/>
    <w:uiPriority w:val="0"/>
    <w:rPr>
      <w:rFonts w:hint="eastAsia" w:ascii="Times New Roman" w:hAnsi="Times New Roman" w:eastAsia="Times New Roman"/>
      <w:sz w:val="16"/>
    </w:rPr>
  </w:style>
  <w:style w:type="character" w:customStyle="1" w:styleId="122">
    <w:name w:val="样式1 字符"/>
    <w:link w:val="123"/>
    <w:autoRedefine/>
    <w:qFormat/>
    <w:uiPriority w:val="0"/>
    <w:rPr>
      <w:rFonts w:ascii="宋体" w:hAnsi="宋体"/>
      <w:sz w:val="21"/>
      <w:szCs w:val="21"/>
    </w:rPr>
  </w:style>
  <w:style w:type="paragraph" w:customStyle="1" w:styleId="123">
    <w:name w:val="样式1"/>
    <w:basedOn w:val="1"/>
    <w:link w:val="122"/>
    <w:qFormat/>
    <w:uiPriority w:val="0"/>
    <w:pPr>
      <w:tabs>
        <w:tab w:val="left" w:pos="360"/>
      </w:tabs>
      <w:adjustRightInd w:val="0"/>
      <w:ind w:left="360" w:hanging="360"/>
      <w:textAlignment w:val="baseline"/>
    </w:pPr>
    <w:rPr>
      <w:rFonts w:ascii="宋体" w:hAnsi="宋体"/>
      <w:kern w:val="0"/>
      <w:szCs w:val="21"/>
    </w:rPr>
  </w:style>
  <w:style w:type="character" w:customStyle="1" w:styleId="124">
    <w:name w:val="fontborder"/>
    <w:autoRedefine/>
    <w:qFormat/>
    <w:uiPriority w:val="0"/>
    <w:rPr>
      <w:bdr w:val="single" w:color="000000" w:sz="6" w:space="0"/>
    </w:rPr>
  </w:style>
  <w:style w:type="character" w:customStyle="1" w:styleId="125">
    <w:name w:val="纯文本 字符"/>
    <w:qFormat/>
    <w:uiPriority w:val="0"/>
    <w:rPr>
      <w:rFonts w:ascii="宋体" w:hAnsi="Courier New" w:eastAsia="宋体" w:cs="Courier New"/>
      <w:kern w:val="2"/>
      <w:sz w:val="21"/>
      <w:szCs w:val="21"/>
      <w:lang w:val="en-US" w:eastAsia="zh-CN" w:bidi="ar-SA"/>
    </w:rPr>
  </w:style>
  <w:style w:type="character" w:customStyle="1" w:styleId="126">
    <w:name w:val="标题 4 Char Char"/>
    <w:qFormat/>
    <w:uiPriority w:val="0"/>
    <w:rPr>
      <w:rFonts w:ascii="Arial" w:hAnsi="Arial" w:eastAsia="宋体"/>
      <w:b/>
      <w:bCs/>
      <w:kern w:val="2"/>
      <w:sz w:val="21"/>
      <w:szCs w:val="28"/>
      <w:lang w:val="en-US" w:eastAsia="zh-CN" w:bidi="ar-SA"/>
    </w:rPr>
  </w:style>
  <w:style w:type="character" w:customStyle="1" w:styleId="127">
    <w:name w:val="标题 5 Char"/>
    <w:autoRedefine/>
    <w:qFormat/>
    <w:uiPriority w:val="0"/>
    <w:rPr>
      <w:b/>
      <w:bCs/>
      <w:kern w:val="2"/>
      <w:sz w:val="28"/>
      <w:szCs w:val="28"/>
    </w:rPr>
  </w:style>
  <w:style w:type="character" w:customStyle="1" w:styleId="128">
    <w:name w:val="标题 1 Char"/>
    <w:qFormat/>
    <w:uiPriority w:val="0"/>
    <w:rPr>
      <w:rFonts w:ascii="Cambria" w:hAnsi="Cambria"/>
      <w:b/>
      <w:bCs/>
      <w:kern w:val="32"/>
      <w:sz w:val="32"/>
      <w:szCs w:val="32"/>
    </w:rPr>
  </w:style>
  <w:style w:type="character" w:customStyle="1" w:styleId="129">
    <w:name w:val="morelink-item"/>
    <w:autoRedefine/>
    <w:qFormat/>
    <w:uiPriority w:val="0"/>
    <w:rPr>
      <w:rFonts w:ascii="Times New Roman" w:hAnsi="Times New Roman" w:eastAsia="宋体"/>
    </w:rPr>
  </w:style>
  <w:style w:type="character" w:customStyle="1" w:styleId="130">
    <w:name w:val="Char Char6"/>
    <w:autoRedefine/>
    <w:qFormat/>
    <w:uiPriority w:val="0"/>
    <w:rPr>
      <w:rFonts w:ascii="Arial" w:hAnsi="Arial" w:eastAsia="黑体"/>
      <w:sz w:val="24"/>
      <w:szCs w:val="24"/>
      <w:lang w:val="en-US" w:eastAsia="zh-CN" w:bidi="ar-SA"/>
    </w:rPr>
  </w:style>
  <w:style w:type="character" w:customStyle="1" w:styleId="131">
    <w:name w:val="Font Style122"/>
    <w:autoRedefine/>
    <w:unhideWhenUsed/>
    <w:qFormat/>
    <w:uiPriority w:val="0"/>
    <w:rPr>
      <w:rFonts w:hint="eastAsia" w:ascii="宋体" w:hAnsi="宋体" w:eastAsia="宋体"/>
      <w:spacing w:val="20"/>
      <w:sz w:val="24"/>
    </w:rPr>
  </w:style>
  <w:style w:type="character" w:customStyle="1" w:styleId="132">
    <w:name w:val="标题 2 Char"/>
    <w:qFormat/>
    <w:uiPriority w:val="0"/>
    <w:rPr>
      <w:rFonts w:ascii="Cambria" w:hAnsi="Cambria" w:eastAsia="宋体" w:cs="Times New Roman"/>
      <w:b/>
      <w:bCs/>
      <w:kern w:val="2"/>
      <w:sz w:val="32"/>
      <w:szCs w:val="32"/>
    </w:rPr>
  </w:style>
  <w:style w:type="character" w:customStyle="1" w:styleId="133">
    <w:name w:val="polysemyred"/>
    <w:qFormat/>
    <w:uiPriority w:val="0"/>
    <w:rPr>
      <w:rFonts w:ascii="Times New Roman" w:hAnsi="Times New Roman" w:eastAsia="宋体"/>
      <w:color w:val="FF6666"/>
      <w:sz w:val="18"/>
      <w:szCs w:val="18"/>
    </w:rPr>
  </w:style>
  <w:style w:type="character" w:customStyle="1" w:styleId="134">
    <w:name w:val="sidecatalog-dot1"/>
    <w:autoRedefine/>
    <w:qFormat/>
    <w:uiPriority w:val="0"/>
    <w:rPr>
      <w:rFonts w:ascii="Times New Roman" w:hAnsi="Times New Roman" w:eastAsia="宋体"/>
    </w:rPr>
  </w:style>
  <w:style w:type="character" w:customStyle="1" w:styleId="135">
    <w:name w:val="表头 Char"/>
    <w:link w:val="136"/>
    <w:qFormat/>
    <w:uiPriority w:val="0"/>
    <w:rPr>
      <w:rFonts w:ascii="Arial" w:hAnsi="Arial" w:eastAsia="黑体" w:cs="宋体"/>
      <w:kern w:val="2"/>
    </w:rPr>
  </w:style>
  <w:style w:type="paragraph" w:customStyle="1" w:styleId="136">
    <w:name w:val="表头"/>
    <w:basedOn w:val="14"/>
    <w:link w:val="135"/>
    <w:qFormat/>
    <w:uiPriority w:val="0"/>
    <w:pPr>
      <w:spacing w:before="152" w:after="160" w:line="360" w:lineRule="auto"/>
      <w:ind w:left="-180"/>
      <w:jc w:val="center"/>
    </w:pPr>
    <w:rPr>
      <w:rFonts w:ascii="Arial" w:hAnsi="Arial"/>
    </w:rPr>
  </w:style>
  <w:style w:type="character" w:customStyle="1" w:styleId="137">
    <w:name w:val="Font Style125"/>
    <w:autoRedefine/>
    <w:unhideWhenUsed/>
    <w:qFormat/>
    <w:uiPriority w:val="0"/>
    <w:rPr>
      <w:rFonts w:hint="eastAsia" w:ascii="宋体" w:hAnsi="宋体" w:eastAsia="宋体"/>
      <w:b/>
      <w:sz w:val="26"/>
    </w:rPr>
  </w:style>
  <w:style w:type="character" w:customStyle="1" w:styleId="138">
    <w:name w:val="批注文字 Char"/>
    <w:autoRedefine/>
    <w:qFormat/>
    <w:uiPriority w:val="0"/>
    <w:rPr>
      <w:kern w:val="2"/>
      <w:sz w:val="21"/>
      <w:szCs w:val="24"/>
    </w:rPr>
  </w:style>
  <w:style w:type="character" w:customStyle="1" w:styleId="139">
    <w:name w:val="Char Char161"/>
    <w:qFormat/>
    <w:uiPriority w:val="0"/>
    <w:rPr>
      <w:rFonts w:ascii="宋体" w:hAnsi="Times New Roman" w:eastAsia="宋体"/>
      <w:b/>
      <w:sz w:val="24"/>
      <w:lang w:val="en-US" w:eastAsia="zh-CN" w:bidi="ar-SA"/>
    </w:rPr>
  </w:style>
  <w:style w:type="character" w:customStyle="1" w:styleId="140">
    <w:name w:val="标题 7 Char"/>
    <w:autoRedefine/>
    <w:qFormat/>
    <w:uiPriority w:val="0"/>
    <w:rPr>
      <w:b/>
      <w:bCs/>
      <w:sz w:val="24"/>
      <w:szCs w:val="24"/>
    </w:rPr>
  </w:style>
  <w:style w:type="character" w:customStyle="1" w:styleId="141">
    <w:name w:val="标题 Char"/>
    <w:autoRedefine/>
    <w:qFormat/>
    <w:uiPriority w:val="0"/>
    <w:rPr>
      <w:rFonts w:ascii="Cambria" w:hAnsi="Cambria"/>
      <w:b/>
      <w:kern w:val="2"/>
      <w:sz w:val="32"/>
      <w:szCs w:val="24"/>
    </w:rPr>
  </w:style>
  <w:style w:type="character" w:customStyle="1" w:styleId="142">
    <w:name w:val="批注主题 Char"/>
    <w:autoRedefine/>
    <w:qFormat/>
    <w:uiPriority w:val="0"/>
    <w:rPr>
      <w:b/>
      <w:bCs/>
      <w:kern w:val="2"/>
      <w:sz w:val="21"/>
      <w:szCs w:val="24"/>
    </w:rPr>
  </w:style>
  <w:style w:type="character" w:customStyle="1" w:styleId="143">
    <w:name w:val="Char Char171"/>
    <w:autoRedefine/>
    <w:qFormat/>
    <w:uiPriority w:val="0"/>
    <w:rPr>
      <w:rFonts w:ascii="宋体" w:hAnsi="Times New Roman" w:eastAsia="宋体"/>
      <w:b/>
      <w:sz w:val="28"/>
      <w:lang w:val="en-US" w:eastAsia="zh-CN" w:bidi="ar-SA"/>
    </w:rPr>
  </w:style>
  <w:style w:type="character" w:customStyle="1" w:styleId="144">
    <w:name w:val="Font Style134"/>
    <w:autoRedefine/>
    <w:unhideWhenUsed/>
    <w:qFormat/>
    <w:uiPriority w:val="0"/>
    <w:rPr>
      <w:rFonts w:hint="eastAsia" w:ascii="宋体" w:hAnsi="宋体" w:eastAsia="宋体"/>
      <w:spacing w:val="20"/>
      <w:sz w:val="22"/>
    </w:rPr>
  </w:style>
  <w:style w:type="character" w:customStyle="1" w:styleId="145">
    <w:name w:val="标题 6 Char"/>
    <w:autoRedefine/>
    <w:qFormat/>
    <w:uiPriority w:val="0"/>
    <w:rPr>
      <w:rFonts w:ascii="Arial" w:hAnsi="Arial" w:eastAsia="黑体"/>
      <w:b/>
      <w:bCs/>
      <w:sz w:val="24"/>
      <w:szCs w:val="24"/>
    </w:rPr>
  </w:style>
  <w:style w:type="character" w:customStyle="1" w:styleId="146">
    <w:name w:val="bds_nopic2"/>
    <w:autoRedefine/>
    <w:qFormat/>
    <w:uiPriority w:val="0"/>
    <w:rPr>
      <w:rFonts w:ascii="Times New Roman" w:hAnsi="Times New Roman" w:eastAsia="宋体"/>
    </w:rPr>
  </w:style>
  <w:style w:type="character" w:customStyle="1" w:styleId="147">
    <w:name w:val="sort"/>
    <w:qFormat/>
    <w:uiPriority w:val="0"/>
    <w:rPr>
      <w:rFonts w:ascii="Times New Roman" w:hAnsi="Times New Roman" w:eastAsia="宋体"/>
      <w:color w:val="FFFFFF"/>
      <w:bdr w:val="single" w:color="auto" w:sz="24" w:space="0"/>
    </w:rPr>
  </w:style>
  <w:style w:type="character" w:customStyle="1" w:styleId="148">
    <w:name w:val="纯文本 Char2"/>
    <w:autoRedefine/>
    <w:qFormat/>
    <w:uiPriority w:val="0"/>
    <w:rPr>
      <w:rFonts w:ascii="宋体" w:hAnsi="Courier New" w:eastAsia="宋体"/>
      <w:kern w:val="2"/>
      <w:sz w:val="21"/>
      <w:szCs w:val="21"/>
      <w:lang w:val="en-US" w:eastAsia="zh-CN" w:bidi="ar-SA"/>
    </w:rPr>
  </w:style>
  <w:style w:type="character" w:customStyle="1" w:styleId="149">
    <w:name w:val="sort1"/>
    <w:qFormat/>
    <w:uiPriority w:val="0"/>
    <w:rPr>
      <w:rFonts w:ascii="Times New Roman" w:hAnsi="Times New Roman" w:eastAsia="宋体"/>
    </w:rPr>
  </w:style>
  <w:style w:type="character" w:customStyle="1" w:styleId="150">
    <w:name w:val="Font Style126"/>
    <w:autoRedefine/>
    <w:unhideWhenUsed/>
    <w:qFormat/>
    <w:uiPriority w:val="0"/>
    <w:rPr>
      <w:rFonts w:hint="eastAsia" w:ascii="宋体" w:hAnsi="宋体" w:eastAsia="宋体"/>
      <w:b/>
      <w:spacing w:val="-30"/>
      <w:sz w:val="28"/>
    </w:rPr>
  </w:style>
  <w:style w:type="character" w:customStyle="1" w:styleId="151">
    <w:name w:val="正文文本缩进 3 Char"/>
    <w:autoRedefine/>
    <w:qFormat/>
    <w:uiPriority w:val="0"/>
    <w:rPr>
      <w:rFonts w:ascii="宋体" w:hAnsi="MS Sans Serif"/>
      <w:color w:val="000000"/>
      <w:sz w:val="24"/>
    </w:rPr>
  </w:style>
  <w:style w:type="character" w:customStyle="1" w:styleId="152">
    <w:name w:val="日期 Char"/>
    <w:autoRedefine/>
    <w:qFormat/>
    <w:uiPriority w:val="0"/>
    <w:rPr>
      <w:kern w:val="2"/>
      <w:sz w:val="21"/>
      <w:szCs w:val="24"/>
    </w:rPr>
  </w:style>
  <w:style w:type="character" w:customStyle="1" w:styleId="153">
    <w:name w:val="Font Style116"/>
    <w:autoRedefine/>
    <w:unhideWhenUsed/>
    <w:qFormat/>
    <w:uiPriority w:val="0"/>
    <w:rPr>
      <w:rFonts w:hint="eastAsia" w:ascii="宋体" w:hAnsi="宋体" w:eastAsia="宋体"/>
      <w:spacing w:val="-20"/>
      <w:sz w:val="24"/>
    </w:rPr>
  </w:style>
  <w:style w:type="character" w:customStyle="1" w:styleId="154">
    <w:name w:val="desc"/>
    <w:autoRedefine/>
    <w:qFormat/>
    <w:uiPriority w:val="0"/>
    <w:rPr>
      <w:rFonts w:ascii="Times New Roman" w:hAnsi="Times New Roman" w:eastAsia="宋体"/>
      <w:color w:val="000000"/>
      <w:sz w:val="18"/>
      <w:szCs w:val="18"/>
    </w:rPr>
  </w:style>
  <w:style w:type="character" w:customStyle="1" w:styleId="155">
    <w:name w:val="lemmatitleh12"/>
    <w:autoRedefine/>
    <w:qFormat/>
    <w:uiPriority w:val="0"/>
    <w:rPr>
      <w:rFonts w:ascii="Times New Roman" w:hAnsi="Times New Roman" w:eastAsia="宋体"/>
    </w:rPr>
  </w:style>
  <w:style w:type="character" w:customStyle="1" w:styleId="156">
    <w:name w:val="placard-notice"/>
    <w:autoRedefine/>
    <w:qFormat/>
    <w:uiPriority w:val="0"/>
    <w:rPr>
      <w:sz w:val="18"/>
      <w:szCs w:val="18"/>
    </w:rPr>
  </w:style>
  <w:style w:type="character" w:customStyle="1" w:styleId="157">
    <w:name w:val="标题 8 Char"/>
    <w:autoRedefine/>
    <w:qFormat/>
    <w:uiPriority w:val="0"/>
    <w:rPr>
      <w:rFonts w:ascii="Arial" w:hAnsi="Arial" w:eastAsia="黑体"/>
      <w:sz w:val="24"/>
      <w:szCs w:val="24"/>
    </w:rPr>
  </w:style>
  <w:style w:type="character" w:customStyle="1" w:styleId="158">
    <w:name w:val="样式2 字符"/>
    <w:link w:val="159"/>
    <w:autoRedefine/>
    <w:qFormat/>
    <w:uiPriority w:val="0"/>
    <w:rPr>
      <w:rFonts w:ascii="仿宋_GB2312" w:hAnsi="Times New Roman" w:eastAsia="仿宋_GB2312"/>
      <w:kern w:val="2"/>
      <w:sz w:val="32"/>
      <w:szCs w:val="32"/>
    </w:rPr>
  </w:style>
  <w:style w:type="paragraph" w:customStyle="1" w:styleId="159">
    <w:name w:val="样式2"/>
    <w:basedOn w:val="1"/>
    <w:link w:val="158"/>
    <w:autoRedefine/>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60">
    <w:name w:val="bds_more6"/>
    <w:autoRedefine/>
    <w:qFormat/>
    <w:uiPriority w:val="0"/>
    <w:rPr>
      <w:rFonts w:hint="eastAsia" w:ascii="宋体" w:hAnsi="宋体" w:eastAsia="宋体" w:cs="宋体"/>
    </w:rPr>
  </w:style>
  <w:style w:type="character" w:customStyle="1" w:styleId="161">
    <w:name w:val="Font Style131"/>
    <w:autoRedefine/>
    <w:unhideWhenUsed/>
    <w:qFormat/>
    <w:uiPriority w:val="0"/>
    <w:rPr>
      <w:rFonts w:hint="eastAsia" w:ascii="Times New Roman" w:hAnsi="Times New Roman" w:eastAsia="Times New Roman"/>
      <w:sz w:val="18"/>
    </w:rPr>
  </w:style>
  <w:style w:type="character" w:customStyle="1" w:styleId="162">
    <w:name w:val="Char Char15"/>
    <w:autoRedefine/>
    <w:qFormat/>
    <w:uiPriority w:val="0"/>
    <w:rPr>
      <w:b/>
      <w:bCs/>
      <w:sz w:val="24"/>
      <w:szCs w:val="24"/>
    </w:rPr>
  </w:style>
  <w:style w:type="character" w:customStyle="1" w:styleId="163">
    <w:name w:val="bds_more7"/>
    <w:autoRedefine/>
    <w:qFormat/>
    <w:uiPriority w:val="0"/>
    <w:rPr>
      <w:rFonts w:ascii="Times New Roman" w:hAnsi="Times New Roman" w:eastAsia="宋体"/>
    </w:rPr>
  </w:style>
  <w:style w:type="character" w:customStyle="1" w:styleId="164">
    <w:name w:val="批注文字 Char Char"/>
    <w:autoRedefine/>
    <w:qFormat/>
    <w:uiPriority w:val="0"/>
    <w:rPr>
      <w:kern w:val="2"/>
      <w:sz w:val="21"/>
      <w:szCs w:val="24"/>
      <w:lang w:bidi="ar-SA"/>
    </w:rPr>
  </w:style>
  <w:style w:type="character" w:customStyle="1" w:styleId="165">
    <w:name w:val="sidecatalog-index1"/>
    <w:autoRedefine/>
    <w:qFormat/>
    <w:uiPriority w:val="0"/>
    <w:rPr>
      <w:rFonts w:ascii="Arial" w:hAnsi="Arial" w:eastAsia="宋体" w:cs="Arial"/>
      <w:b/>
      <w:color w:val="999999"/>
      <w:sz w:val="21"/>
      <w:szCs w:val="21"/>
    </w:rPr>
  </w:style>
  <w:style w:type="character" w:customStyle="1" w:styleId="166">
    <w:name w:val="10"/>
    <w:autoRedefine/>
    <w:qFormat/>
    <w:uiPriority w:val="0"/>
    <w:rPr>
      <w:rFonts w:hint="default" w:ascii="Times New Roman" w:hAnsi="Times New Roman" w:cs="Times New Roman"/>
    </w:rPr>
  </w:style>
  <w:style w:type="character" w:customStyle="1" w:styleId="167">
    <w:name w:val="sidecatalog-index2"/>
    <w:autoRedefine/>
    <w:qFormat/>
    <w:uiPriority w:val="0"/>
    <w:rPr>
      <w:rFonts w:ascii="Arail" w:hAnsi="Arail" w:eastAsia="Arail" w:cs="Arail"/>
      <w:color w:val="999999"/>
      <w:sz w:val="21"/>
      <w:szCs w:val="21"/>
    </w:rPr>
  </w:style>
  <w:style w:type="character" w:customStyle="1" w:styleId="168">
    <w:name w:val="plus"/>
    <w:autoRedefine/>
    <w:qFormat/>
    <w:uiPriority w:val="0"/>
    <w:rPr>
      <w:rFonts w:ascii="Times New Roman" w:hAnsi="Times New Roman" w:eastAsia="宋体"/>
      <w:b/>
      <w:vanish/>
      <w:color w:val="1F8DEF"/>
      <w:sz w:val="24"/>
      <w:szCs w:val="24"/>
    </w:rPr>
  </w:style>
  <w:style w:type="character" w:customStyle="1" w:styleId="169">
    <w:name w:val="标题 Char1"/>
    <w:autoRedefine/>
    <w:qFormat/>
    <w:uiPriority w:val="0"/>
    <w:rPr>
      <w:rFonts w:ascii="Cambria" w:hAnsi="Cambria" w:eastAsia="宋体" w:cs="Times New Roman"/>
      <w:b/>
      <w:bCs/>
      <w:sz w:val="32"/>
      <w:szCs w:val="32"/>
    </w:rPr>
  </w:style>
  <w:style w:type="character" w:customStyle="1" w:styleId="170">
    <w:name w:val="纯文本 Char1"/>
    <w:autoRedefine/>
    <w:semiHidden/>
    <w:qFormat/>
    <w:locked/>
    <w:uiPriority w:val="0"/>
    <w:rPr>
      <w:rFonts w:ascii="宋体" w:hAnsi="Courier New" w:eastAsia="宋体" w:cs="Courier New"/>
      <w:kern w:val="2"/>
      <w:sz w:val="21"/>
      <w:szCs w:val="21"/>
      <w:lang w:val="en-US" w:eastAsia="zh-CN" w:bidi="ar-SA"/>
    </w:rPr>
  </w:style>
  <w:style w:type="character" w:customStyle="1" w:styleId="171">
    <w:name w:val="页脚 Char"/>
    <w:autoRedefine/>
    <w:qFormat/>
    <w:uiPriority w:val="0"/>
    <w:rPr>
      <w:kern w:val="2"/>
      <w:sz w:val="18"/>
      <w:szCs w:val="18"/>
    </w:rPr>
  </w:style>
  <w:style w:type="character" w:customStyle="1" w:styleId="172">
    <w:name w:val="样式2 Char Char"/>
    <w:autoRedefine/>
    <w:qFormat/>
    <w:uiPriority w:val="0"/>
    <w:rPr>
      <w:rFonts w:eastAsia="宋体"/>
      <w:kern w:val="2"/>
      <w:sz w:val="18"/>
      <w:szCs w:val="18"/>
      <w:lang w:val="en-US" w:eastAsia="zh-CN" w:bidi="ar-SA"/>
    </w:rPr>
  </w:style>
  <w:style w:type="character" w:customStyle="1" w:styleId="173">
    <w:name w:val="p0 Char"/>
    <w:link w:val="174"/>
    <w:autoRedefine/>
    <w:qFormat/>
    <w:uiPriority w:val="0"/>
    <w:rPr>
      <w:rFonts w:eastAsia="宋体"/>
      <w:sz w:val="21"/>
      <w:szCs w:val="21"/>
      <w:lang w:val="en-US" w:eastAsia="zh-CN" w:bidi="ar-SA"/>
    </w:rPr>
  </w:style>
  <w:style w:type="paragraph" w:customStyle="1" w:styleId="174">
    <w:name w:val="p0"/>
    <w:basedOn w:val="1"/>
    <w:link w:val="173"/>
    <w:autoRedefine/>
    <w:qFormat/>
    <w:uiPriority w:val="0"/>
    <w:pPr>
      <w:widowControl/>
    </w:pPr>
    <w:rPr>
      <w:kern w:val="0"/>
      <w:szCs w:val="21"/>
    </w:rPr>
  </w:style>
  <w:style w:type="character" w:customStyle="1" w:styleId="175">
    <w:name w:val="Font Style117"/>
    <w:autoRedefine/>
    <w:unhideWhenUsed/>
    <w:qFormat/>
    <w:uiPriority w:val="0"/>
    <w:rPr>
      <w:rFonts w:hint="eastAsia" w:ascii="宋体" w:hAnsi="宋体" w:eastAsia="宋体"/>
      <w:spacing w:val="20"/>
      <w:sz w:val="24"/>
    </w:rPr>
  </w:style>
  <w:style w:type="paragraph" w:customStyle="1" w:styleId="176">
    <w:name w:val="Style59"/>
    <w:basedOn w:val="1"/>
    <w:autoRedefine/>
    <w:unhideWhenUsed/>
    <w:qFormat/>
    <w:uiPriority w:val="0"/>
  </w:style>
  <w:style w:type="paragraph" w:customStyle="1" w:styleId="177">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178">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79">
    <w:name w:val="Char Char1 Char Char Char Char Char1 Char Char Char Char"/>
    <w:basedOn w:val="15"/>
    <w:autoRedefine/>
    <w:qFormat/>
    <w:uiPriority w:val="0"/>
    <w:rPr>
      <w:rFonts w:ascii="Tahoma" w:hAnsi="Tahoma"/>
    </w:rPr>
  </w:style>
  <w:style w:type="paragraph" w:customStyle="1" w:styleId="180">
    <w:name w:val="默认段落字体 Para Char Char Char Char Char Char Char Char Char Char Char Char Char Char Char Char Char Char Char"/>
    <w:basedOn w:val="1"/>
    <w:autoRedefine/>
    <w:qFormat/>
    <w:uiPriority w:val="0"/>
  </w:style>
  <w:style w:type="paragraph" w:customStyle="1" w:styleId="181">
    <w:name w:val="标题3"/>
    <w:basedOn w:val="3"/>
    <w:autoRedefine/>
    <w:qFormat/>
    <w:uiPriority w:val="0"/>
    <w:pPr>
      <w:spacing w:beforeLines="50" w:afterLines="50" w:line="400" w:lineRule="exact"/>
      <w:jc w:val="both"/>
    </w:pPr>
    <w:rPr>
      <w:rFonts w:ascii="宋体" w:hAnsi="宋体"/>
      <w:kern w:val="32"/>
      <w:szCs w:val="32"/>
    </w:rPr>
  </w:style>
  <w:style w:type="paragraph" w:customStyle="1" w:styleId="182">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3">
    <w:name w:val="Style48"/>
    <w:basedOn w:val="1"/>
    <w:autoRedefine/>
    <w:unhideWhenUsed/>
    <w:qFormat/>
    <w:uiPriority w:val="0"/>
    <w:pPr>
      <w:spacing w:line="542" w:lineRule="exact"/>
      <w:jc w:val="right"/>
    </w:pPr>
  </w:style>
  <w:style w:type="paragraph" w:customStyle="1" w:styleId="184">
    <w:name w:val="Style15"/>
    <w:basedOn w:val="1"/>
    <w:autoRedefine/>
    <w:unhideWhenUsed/>
    <w:qFormat/>
    <w:uiPriority w:val="0"/>
    <w:pPr>
      <w:spacing w:line="557" w:lineRule="exact"/>
      <w:ind w:firstLine="672"/>
    </w:pPr>
  </w:style>
  <w:style w:type="paragraph" w:customStyle="1" w:styleId="185">
    <w:name w:val="Style23"/>
    <w:basedOn w:val="1"/>
    <w:autoRedefine/>
    <w:unhideWhenUsed/>
    <w:qFormat/>
    <w:uiPriority w:val="0"/>
  </w:style>
  <w:style w:type="paragraph" w:customStyle="1" w:styleId="186">
    <w:name w:val="Style78"/>
    <w:basedOn w:val="1"/>
    <w:autoRedefine/>
    <w:unhideWhenUsed/>
    <w:qFormat/>
    <w:uiPriority w:val="0"/>
  </w:style>
  <w:style w:type="paragraph" w:customStyle="1" w:styleId="187">
    <w:name w:val="Style60"/>
    <w:basedOn w:val="1"/>
    <w:autoRedefine/>
    <w:unhideWhenUsed/>
    <w:qFormat/>
    <w:uiPriority w:val="0"/>
    <w:pPr>
      <w:spacing w:line="566" w:lineRule="exact"/>
    </w:pPr>
  </w:style>
  <w:style w:type="paragraph" w:customStyle="1" w:styleId="188">
    <w:name w:val="Style21"/>
    <w:basedOn w:val="1"/>
    <w:autoRedefine/>
    <w:unhideWhenUsed/>
    <w:qFormat/>
    <w:uiPriority w:val="0"/>
    <w:pPr>
      <w:spacing w:line="566" w:lineRule="exact"/>
      <w:ind w:firstLine="682"/>
    </w:pPr>
  </w:style>
  <w:style w:type="paragraph" w:customStyle="1" w:styleId="189">
    <w:name w:val="Style46"/>
    <w:basedOn w:val="1"/>
    <w:autoRedefine/>
    <w:unhideWhenUsed/>
    <w:qFormat/>
    <w:uiPriority w:val="0"/>
    <w:pPr>
      <w:spacing w:line="672" w:lineRule="exact"/>
    </w:pPr>
  </w:style>
  <w:style w:type="paragraph" w:customStyle="1" w:styleId="190">
    <w:name w:val="Style12"/>
    <w:basedOn w:val="1"/>
    <w:autoRedefine/>
    <w:unhideWhenUsed/>
    <w:qFormat/>
    <w:uiPriority w:val="0"/>
    <w:pPr>
      <w:spacing w:line="564" w:lineRule="exact"/>
      <w:ind w:hanging="115"/>
    </w:pPr>
  </w:style>
  <w:style w:type="paragraph" w:customStyle="1" w:styleId="191">
    <w:name w:val="Style50"/>
    <w:basedOn w:val="1"/>
    <w:autoRedefine/>
    <w:unhideWhenUsed/>
    <w:qFormat/>
    <w:uiPriority w:val="0"/>
  </w:style>
  <w:style w:type="paragraph" w:customStyle="1" w:styleId="192">
    <w:name w:val="1 Char Char Char Char"/>
    <w:basedOn w:val="1"/>
    <w:autoRedefine/>
    <w:qFormat/>
    <w:uiPriority w:val="0"/>
  </w:style>
  <w:style w:type="paragraph" w:customStyle="1" w:styleId="193">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94">
    <w:name w:val="Style63"/>
    <w:basedOn w:val="1"/>
    <w:autoRedefine/>
    <w:unhideWhenUsed/>
    <w:qFormat/>
    <w:uiPriority w:val="0"/>
    <w:pPr>
      <w:spacing w:line="564" w:lineRule="exact"/>
      <w:ind w:firstLine="682"/>
    </w:pPr>
  </w:style>
  <w:style w:type="paragraph" w:customStyle="1" w:styleId="195">
    <w:name w:val="Style5"/>
    <w:basedOn w:val="1"/>
    <w:autoRedefine/>
    <w:unhideWhenUsed/>
    <w:qFormat/>
    <w:uiPriority w:val="0"/>
  </w:style>
  <w:style w:type="paragraph" w:customStyle="1" w:styleId="196">
    <w:name w:val="Style58"/>
    <w:basedOn w:val="1"/>
    <w:autoRedefine/>
    <w:unhideWhenUsed/>
    <w:qFormat/>
    <w:uiPriority w:val="0"/>
    <w:pPr>
      <w:spacing w:line="413" w:lineRule="exact"/>
    </w:pPr>
  </w:style>
  <w:style w:type="paragraph" w:customStyle="1" w:styleId="197">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98">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9">
    <w:name w:val="Style80"/>
    <w:basedOn w:val="1"/>
    <w:autoRedefine/>
    <w:unhideWhenUsed/>
    <w:qFormat/>
    <w:uiPriority w:val="0"/>
  </w:style>
  <w:style w:type="paragraph" w:customStyle="1" w:styleId="200">
    <w:name w:val="Style61"/>
    <w:basedOn w:val="1"/>
    <w:autoRedefine/>
    <w:unhideWhenUsed/>
    <w:qFormat/>
    <w:uiPriority w:val="0"/>
  </w:style>
  <w:style w:type="paragraph" w:customStyle="1" w:styleId="201">
    <w:name w:val="修订2"/>
    <w:autoRedefine/>
    <w:qFormat/>
    <w:uiPriority w:val="0"/>
    <w:rPr>
      <w:rFonts w:ascii="Times New Roman" w:hAnsi="Times New Roman" w:eastAsia="宋体" w:cs="Times New Roman"/>
      <w:kern w:val="2"/>
      <w:sz w:val="21"/>
      <w:szCs w:val="24"/>
      <w:lang w:val="en-US" w:eastAsia="zh-CN" w:bidi="ar-SA"/>
    </w:rPr>
  </w:style>
  <w:style w:type="paragraph" w:customStyle="1" w:styleId="202">
    <w:name w:val="列出段落4"/>
    <w:basedOn w:val="1"/>
    <w:autoRedefine/>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3">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4">
    <w:name w:val="Style4"/>
    <w:basedOn w:val="1"/>
    <w:autoRedefine/>
    <w:unhideWhenUsed/>
    <w:qFormat/>
    <w:uiPriority w:val="0"/>
  </w:style>
  <w:style w:type="paragraph" w:customStyle="1" w:styleId="205">
    <w:name w:val="Style29"/>
    <w:basedOn w:val="1"/>
    <w:autoRedefine/>
    <w:unhideWhenUsed/>
    <w:qFormat/>
    <w:uiPriority w:val="0"/>
    <w:pPr>
      <w:spacing w:line="547" w:lineRule="exact"/>
      <w:ind w:firstLine="547"/>
    </w:pPr>
  </w:style>
  <w:style w:type="paragraph" w:customStyle="1" w:styleId="206">
    <w:name w:val="Char1 Char Char Char 字元 Char Char 字元 Char 字元 Char1 Char Char Char"/>
    <w:basedOn w:val="1"/>
    <w:autoRedefine/>
    <w:qFormat/>
    <w:uiPriority w:val="0"/>
    <w:rPr>
      <w:szCs w:val="20"/>
    </w:rPr>
  </w:style>
  <w:style w:type="paragraph" w:customStyle="1" w:styleId="207">
    <w:name w:val="前言、引言标题"/>
    <w:next w:val="1"/>
    <w:autoRedefine/>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8">
    <w:name w:val="reader-word-layer reader-word-s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9">
    <w:name w:val="列出段落3"/>
    <w:basedOn w:val="1"/>
    <w:autoRedefine/>
    <w:qFormat/>
    <w:uiPriority w:val="0"/>
    <w:pPr>
      <w:ind w:firstLine="420" w:firstLineChars="200"/>
    </w:pPr>
    <w:rPr>
      <w:rFonts w:cs="Calibri"/>
      <w:szCs w:val="21"/>
    </w:rPr>
  </w:style>
  <w:style w:type="paragraph" w:customStyle="1" w:styleId="210">
    <w:name w:val="[基本段落]"/>
    <w:basedOn w:val="1"/>
    <w:autoRedefine/>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11">
    <w:name w:val="正文_57_0"/>
    <w:basedOn w:val="212"/>
    <w:autoRedefine/>
    <w:qFormat/>
    <w:uiPriority w:val="0"/>
    <w:rPr>
      <w:rFonts w:ascii="Calibri" w:hAnsi="Calibri" w:cs="宋体"/>
      <w:szCs w:val="21"/>
    </w:rPr>
  </w:style>
  <w:style w:type="paragraph" w:customStyle="1" w:styleId="212">
    <w:name w:val="正文_9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Style74"/>
    <w:basedOn w:val="1"/>
    <w:autoRedefine/>
    <w:unhideWhenUsed/>
    <w:qFormat/>
    <w:uiPriority w:val="0"/>
    <w:pPr>
      <w:spacing w:line="437" w:lineRule="exact"/>
    </w:pPr>
  </w:style>
  <w:style w:type="paragraph" w:customStyle="1" w:styleId="214">
    <w:name w:val="附录标识"/>
    <w:basedOn w:val="207"/>
    <w:autoRedefine/>
    <w:qFormat/>
    <w:uiPriority w:val="0"/>
    <w:pPr>
      <w:tabs>
        <w:tab w:val="left" w:pos="6405"/>
      </w:tabs>
      <w:spacing w:after="200"/>
    </w:pPr>
    <w:rPr>
      <w:sz w:val="21"/>
    </w:rPr>
  </w:style>
  <w:style w:type="paragraph" w:customStyle="1" w:styleId="215">
    <w:name w:val="Style81"/>
    <w:basedOn w:val="1"/>
    <w:autoRedefine/>
    <w:unhideWhenUsed/>
    <w:qFormat/>
    <w:uiPriority w:val="0"/>
    <w:pPr>
      <w:spacing w:line="547" w:lineRule="exact"/>
    </w:pPr>
  </w:style>
  <w:style w:type="paragraph" w:customStyle="1" w:styleId="216">
    <w:name w:val="表正文"/>
    <w:autoRedefine/>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7">
    <w:name w:val="NO3"/>
    <w:basedOn w:val="1"/>
    <w:autoRedefine/>
    <w:qFormat/>
    <w:uiPriority w:val="0"/>
    <w:pPr>
      <w:tabs>
        <w:tab w:val="left" w:pos="907"/>
      </w:tabs>
      <w:spacing w:line="360" w:lineRule="auto"/>
    </w:pPr>
    <w:rPr>
      <w:rFonts w:ascii="宋体" w:hAnsi="宋体"/>
      <w:sz w:val="24"/>
    </w:rPr>
  </w:style>
  <w:style w:type="paragraph" w:customStyle="1" w:styleId="218">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219">
    <w:name w:val="Style73"/>
    <w:basedOn w:val="1"/>
    <w:autoRedefine/>
    <w:unhideWhenUsed/>
    <w:qFormat/>
    <w:uiPriority w:val="0"/>
    <w:pPr>
      <w:spacing w:line="538" w:lineRule="exact"/>
      <w:ind w:firstLine="533"/>
    </w:pPr>
  </w:style>
  <w:style w:type="paragraph" w:customStyle="1" w:styleId="220">
    <w:name w:val="Style11"/>
    <w:basedOn w:val="1"/>
    <w:autoRedefine/>
    <w:unhideWhenUsed/>
    <w:qFormat/>
    <w:uiPriority w:val="0"/>
    <w:pPr>
      <w:spacing w:line="559" w:lineRule="exact"/>
      <w:ind w:firstLine="590"/>
    </w:pPr>
  </w:style>
  <w:style w:type="paragraph" w:customStyle="1" w:styleId="221">
    <w:name w:val="Style16"/>
    <w:basedOn w:val="1"/>
    <w:autoRedefine/>
    <w:unhideWhenUsed/>
    <w:qFormat/>
    <w:uiPriority w:val="0"/>
    <w:pPr>
      <w:jc w:val="right"/>
    </w:pPr>
  </w:style>
  <w:style w:type="paragraph" w:customStyle="1" w:styleId="222">
    <w:name w:val="Style52"/>
    <w:basedOn w:val="1"/>
    <w:autoRedefine/>
    <w:unhideWhenUsed/>
    <w:qFormat/>
    <w:uiPriority w:val="0"/>
    <w:pPr>
      <w:spacing w:line="682" w:lineRule="exact"/>
      <w:ind w:firstLine="557"/>
    </w:pPr>
  </w:style>
  <w:style w:type="paragraph" w:customStyle="1" w:styleId="223">
    <w:name w:val="Style72"/>
    <w:basedOn w:val="1"/>
    <w:autoRedefine/>
    <w:unhideWhenUsed/>
    <w:qFormat/>
    <w:uiPriority w:val="0"/>
  </w:style>
  <w:style w:type="paragraph" w:customStyle="1" w:styleId="224">
    <w:name w:val="Char Char Char"/>
    <w:basedOn w:val="1"/>
    <w:autoRedefine/>
    <w:qFormat/>
    <w:uiPriority w:val="0"/>
    <w:rPr>
      <w:rFonts w:ascii="宋体" w:hAnsi="宋体"/>
      <w:b/>
      <w:sz w:val="28"/>
      <w:szCs w:val="28"/>
    </w:rPr>
  </w:style>
  <w:style w:type="paragraph" w:customStyle="1" w:styleId="225">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26">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7">
    <w:name w:val="无间距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8">
    <w:name w:val="正文_44"/>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
    <w:name w:val="无间隔1"/>
    <w:autoRedefine/>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30">
    <w:name w:val="Style24"/>
    <w:basedOn w:val="1"/>
    <w:autoRedefine/>
    <w:unhideWhenUsed/>
    <w:qFormat/>
    <w:uiPriority w:val="0"/>
  </w:style>
  <w:style w:type="paragraph" w:customStyle="1" w:styleId="231">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232">
    <w:name w:val="Style54"/>
    <w:basedOn w:val="1"/>
    <w:autoRedefine/>
    <w:unhideWhenUsed/>
    <w:qFormat/>
    <w:uiPriority w:val="0"/>
  </w:style>
  <w:style w:type="paragraph" w:customStyle="1" w:styleId="233">
    <w:name w:val="Style34"/>
    <w:basedOn w:val="1"/>
    <w:autoRedefine/>
    <w:unhideWhenUsed/>
    <w:qFormat/>
    <w:uiPriority w:val="0"/>
    <w:pPr>
      <w:spacing w:line="375" w:lineRule="exact"/>
    </w:pPr>
  </w:style>
  <w:style w:type="paragraph" w:customStyle="1" w:styleId="234">
    <w:name w:val="Style56"/>
    <w:basedOn w:val="1"/>
    <w:autoRedefine/>
    <w:unhideWhenUsed/>
    <w:qFormat/>
    <w:uiPriority w:val="0"/>
  </w:style>
  <w:style w:type="paragraph" w:customStyle="1" w:styleId="235">
    <w:name w:val="Style8"/>
    <w:basedOn w:val="1"/>
    <w:autoRedefine/>
    <w:unhideWhenUsed/>
    <w:qFormat/>
    <w:uiPriority w:val="0"/>
    <w:pPr>
      <w:spacing w:line="566" w:lineRule="exact"/>
      <w:jc w:val="center"/>
    </w:pPr>
  </w:style>
  <w:style w:type="paragraph" w:customStyle="1" w:styleId="236">
    <w:name w:val="列表段落1"/>
    <w:basedOn w:val="1"/>
    <w:autoRedefine/>
    <w:qFormat/>
    <w:uiPriority w:val="0"/>
    <w:pPr>
      <w:ind w:firstLine="420" w:firstLineChars="200"/>
    </w:pPr>
    <w:rPr>
      <w:rFonts w:cs="Calibri"/>
      <w:szCs w:val="21"/>
    </w:rPr>
  </w:style>
  <w:style w:type="paragraph" w:customStyle="1" w:styleId="237">
    <w:name w:val="Style10"/>
    <w:basedOn w:val="1"/>
    <w:autoRedefine/>
    <w:unhideWhenUsed/>
    <w:qFormat/>
    <w:uiPriority w:val="0"/>
    <w:pPr>
      <w:spacing w:line="538" w:lineRule="exact"/>
    </w:pPr>
  </w:style>
  <w:style w:type="paragraph" w:customStyle="1" w:styleId="238">
    <w:name w:val="样式 标题 2 + 宋体 五号 行距: 单倍行距"/>
    <w:basedOn w:val="4"/>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9">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Char1 Char Char Char Char Char Char Char Char Char1"/>
    <w:basedOn w:val="1"/>
    <w:autoRedefine/>
    <w:qFormat/>
    <w:uiPriority w:val="0"/>
    <w:rPr>
      <w:szCs w:val="20"/>
    </w:rPr>
  </w:style>
  <w:style w:type="paragraph" w:customStyle="1" w:styleId="241">
    <w:name w:val="Style67"/>
    <w:basedOn w:val="1"/>
    <w:autoRedefine/>
    <w:unhideWhenUsed/>
    <w:qFormat/>
    <w:uiPriority w:val="0"/>
    <w:pPr>
      <w:spacing w:line="566" w:lineRule="exact"/>
      <w:ind w:firstLine="552"/>
    </w:pPr>
  </w:style>
  <w:style w:type="paragraph" w:customStyle="1" w:styleId="242">
    <w:name w:val="Style69"/>
    <w:basedOn w:val="1"/>
    <w:autoRedefine/>
    <w:unhideWhenUsed/>
    <w:qFormat/>
    <w:uiPriority w:val="0"/>
    <w:pPr>
      <w:spacing w:line="557" w:lineRule="exact"/>
      <w:ind w:firstLine="1666"/>
    </w:pPr>
  </w:style>
  <w:style w:type="paragraph" w:customStyle="1" w:styleId="243">
    <w:name w:val="标题2"/>
    <w:basedOn w:val="44"/>
    <w:autoRedefine/>
    <w:qFormat/>
    <w:uiPriority w:val="0"/>
    <w:pPr>
      <w:spacing w:after="240"/>
      <w:jc w:val="left"/>
    </w:pPr>
    <w:rPr>
      <w:sz w:val="30"/>
    </w:rPr>
  </w:style>
  <w:style w:type="paragraph" w:customStyle="1" w:styleId="244">
    <w:name w:val="Style9"/>
    <w:basedOn w:val="1"/>
    <w:autoRedefine/>
    <w:unhideWhenUsed/>
    <w:qFormat/>
    <w:uiPriority w:val="0"/>
  </w:style>
  <w:style w:type="paragraph" w:customStyle="1" w:styleId="245">
    <w:name w:val="Style28"/>
    <w:basedOn w:val="1"/>
    <w:autoRedefine/>
    <w:unhideWhenUsed/>
    <w:qFormat/>
    <w:uiPriority w:val="0"/>
    <w:pPr>
      <w:spacing w:line="552" w:lineRule="exact"/>
      <w:ind w:firstLine="547"/>
    </w:pPr>
  </w:style>
  <w:style w:type="paragraph" w:customStyle="1" w:styleId="246">
    <w:name w:val="Style42"/>
    <w:basedOn w:val="1"/>
    <w:autoRedefine/>
    <w:unhideWhenUsed/>
    <w:qFormat/>
    <w:uiPriority w:val="0"/>
    <w:pPr>
      <w:spacing w:line="542" w:lineRule="exact"/>
      <w:ind w:firstLine="547"/>
    </w:pPr>
  </w:style>
  <w:style w:type="paragraph" w:customStyle="1" w:styleId="247">
    <w:name w:val="Style65"/>
    <w:basedOn w:val="1"/>
    <w:autoRedefine/>
    <w:unhideWhenUsed/>
    <w:qFormat/>
    <w:uiPriority w:val="0"/>
  </w:style>
  <w:style w:type="paragraph" w:customStyle="1" w:styleId="248">
    <w:name w:val="Char2"/>
    <w:basedOn w:val="1"/>
    <w:autoRedefine/>
    <w:qFormat/>
    <w:uiPriority w:val="0"/>
    <w:pPr>
      <w:tabs>
        <w:tab w:val="left" w:pos="360"/>
      </w:tabs>
      <w:ind w:left="360" w:hanging="360" w:hangingChars="200"/>
    </w:pPr>
    <w:rPr>
      <w:sz w:val="24"/>
    </w:rPr>
  </w:style>
  <w:style w:type="paragraph" w:customStyle="1" w:styleId="249">
    <w:name w:val="Char Char Char1 Char1"/>
    <w:basedOn w:val="1"/>
    <w:autoRedefine/>
    <w:qFormat/>
    <w:uiPriority w:val="0"/>
    <w:pPr>
      <w:tabs>
        <w:tab w:val="left" w:pos="360"/>
      </w:tabs>
      <w:snapToGrid w:val="0"/>
      <w:spacing w:line="360" w:lineRule="auto"/>
    </w:pPr>
    <w:rPr>
      <w:rFonts w:eastAsia="仿宋_GB2312" w:cs="宋体"/>
      <w:sz w:val="24"/>
    </w:rPr>
  </w:style>
  <w:style w:type="paragraph" w:customStyle="1" w:styleId="250">
    <w:name w:val="_Style 39"/>
    <w:basedOn w:val="239"/>
    <w:autoRedefine/>
    <w:qFormat/>
    <w:uiPriority w:val="0"/>
  </w:style>
  <w:style w:type="paragraph" w:customStyle="1" w:styleId="251">
    <w:name w:val="Style76"/>
    <w:basedOn w:val="1"/>
    <w:autoRedefine/>
    <w:unhideWhenUsed/>
    <w:qFormat/>
    <w:uiPriority w:val="0"/>
  </w:style>
  <w:style w:type="paragraph" w:customStyle="1" w:styleId="252">
    <w:name w:val="Style47"/>
    <w:basedOn w:val="1"/>
    <w:autoRedefine/>
    <w:unhideWhenUsed/>
    <w:qFormat/>
    <w:uiPriority w:val="0"/>
  </w:style>
  <w:style w:type="paragraph" w:customStyle="1" w:styleId="253">
    <w:name w:val="文档正文"/>
    <w:basedOn w:val="1"/>
    <w:autoRedefine/>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4">
    <w:name w:val="1"/>
    <w:basedOn w:val="1"/>
    <w:autoRedefine/>
    <w:qFormat/>
    <w:uiPriority w:val="0"/>
    <w:pPr>
      <w:spacing w:afterLines="50" w:line="360" w:lineRule="auto"/>
    </w:pPr>
    <w:rPr>
      <w:rFonts w:ascii="宋体" w:hAnsi="宋体"/>
      <w:b/>
      <w:sz w:val="30"/>
      <w:szCs w:val="21"/>
    </w:rPr>
  </w:style>
  <w:style w:type="paragraph" w:customStyle="1" w:styleId="255">
    <w:name w:val="Body text|1"/>
    <w:basedOn w:val="1"/>
    <w:autoRedefine/>
    <w:qFormat/>
    <w:uiPriority w:val="0"/>
    <w:pPr>
      <w:spacing w:line="437" w:lineRule="auto"/>
      <w:ind w:firstLine="400"/>
      <w:jc w:val="left"/>
    </w:pPr>
    <w:rPr>
      <w:rFonts w:ascii="宋体" w:hAnsi="宋体" w:cs="宋体"/>
      <w:sz w:val="20"/>
      <w:szCs w:val="20"/>
      <w:lang w:val="zh-TW" w:eastAsia="zh-TW" w:bidi="zh-TW"/>
    </w:rPr>
  </w:style>
  <w:style w:type="paragraph" w:customStyle="1" w:styleId="256">
    <w:name w:val="Char Char1 Char Char Char Char Char Char Char"/>
    <w:basedOn w:val="1"/>
    <w:autoRedefine/>
    <w:qFormat/>
    <w:uiPriority w:val="0"/>
    <w:pPr>
      <w:widowControl/>
      <w:spacing w:after="160" w:line="240" w:lineRule="exact"/>
      <w:jc w:val="left"/>
    </w:pPr>
  </w:style>
  <w:style w:type="paragraph" w:customStyle="1" w:styleId="257">
    <w:name w:val="Style68"/>
    <w:basedOn w:val="1"/>
    <w:autoRedefine/>
    <w:unhideWhenUsed/>
    <w:qFormat/>
    <w:uiPriority w:val="0"/>
    <w:pPr>
      <w:spacing w:line="547" w:lineRule="exact"/>
    </w:pPr>
  </w:style>
  <w:style w:type="paragraph" w:customStyle="1" w:styleId="258">
    <w:name w:val="Style62"/>
    <w:basedOn w:val="1"/>
    <w:autoRedefine/>
    <w:unhideWhenUsed/>
    <w:qFormat/>
    <w:uiPriority w:val="0"/>
  </w:style>
  <w:style w:type="paragraph" w:customStyle="1" w:styleId="259">
    <w:name w:val="Style64"/>
    <w:basedOn w:val="1"/>
    <w:autoRedefine/>
    <w:unhideWhenUsed/>
    <w:qFormat/>
    <w:uiPriority w:val="0"/>
  </w:style>
  <w:style w:type="paragraph" w:customStyle="1" w:styleId="260">
    <w:name w:val="Style70"/>
    <w:basedOn w:val="1"/>
    <w:autoRedefine/>
    <w:unhideWhenUsed/>
    <w:qFormat/>
    <w:uiPriority w:val="0"/>
    <w:pPr>
      <w:spacing w:line="549" w:lineRule="exact"/>
      <w:ind w:firstLine="686"/>
    </w:pPr>
  </w:style>
  <w:style w:type="paragraph" w:customStyle="1" w:styleId="261">
    <w:name w:val="列出段落11"/>
    <w:basedOn w:val="1"/>
    <w:autoRedefine/>
    <w:qFormat/>
    <w:uiPriority w:val="99"/>
    <w:pPr>
      <w:ind w:firstLine="420" w:firstLineChars="200"/>
    </w:pPr>
  </w:style>
  <w:style w:type="paragraph" w:customStyle="1" w:styleId="262">
    <w:name w:val="Style53"/>
    <w:basedOn w:val="1"/>
    <w:autoRedefine/>
    <w:unhideWhenUsed/>
    <w:qFormat/>
    <w:uiPriority w:val="0"/>
    <w:pPr>
      <w:spacing w:line="533" w:lineRule="exact"/>
      <w:ind w:firstLine="581"/>
    </w:pPr>
  </w:style>
  <w:style w:type="paragraph" w:customStyle="1" w:styleId="263">
    <w:name w:val="p16"/>
    <w:basedOn w:val="1"/>
    <w:autoRedefine/>
    <w:qFormat/>
    <w:uiPriority w:val="0"/>
    <w:pPr>
      <w:widowControl/>
      <w:jc w:val="left"/>
    </w:pPr>
    <w:rPr>
      <w:kern w:val="0"/>
      <w:szCs w:val="21"/>
    </w:rPr>
  </w:style>
  <w:style w:type="paragraph" w:customStyle="1" w:styleId="264">
    <w:name w:val="Char1 Char Char Char1"/>
    <w:basedOn w:val="1"/>
    <w:autoRedefine/>
    <w:qFormat/>
    <w:uiPriority w:val="0"/>
    <w:pPr>
      <w:widowControl/>
      <w:spacing w:after="160" w:line="240" w:lineRule="exact"/>
      <w:jc w:val="left"/>
    </w:pPr>
    <w:rPr>
      <w:kern w:val="0"/>
      <w:sz w:val="24"/>
      <w:szCs w:val="20"/>
    </w:rPr>
  </w:style>
  <w:style w:type="paragraph" w:customStyle="1" w:styleId="265">
    <w:name w:val="Style45"/>
    <w:basedOn w:val="1"/>
    <w:autoRedefine/>
    <w:unhideWhenUsed/>
    <w:qFormat/>
    <w:uiPriority w:val="0"/>
  </w:style>
  <w:style w:type="paragraph" w:customStyle="1" w:styleId="266">
    <w:name w:val="Style41"/>
    <w:basedOn w:val="1"/>
    <w:autoRedefine/>
    <w:unhideWhenUsed/>
    <w:qFormat/>
    <w:uiPriority w:val="0"/>
    <w:pPr>
      <w:spacing w:line="542" w:lineRule="exact"/>
      <w:ind w:firstLine="125"/>
    </w:pPr>
  </w:style>
  <w:style w:type="paragraph" w:customStyle="1" w:styleId="267">
    <w:name w:val="标题 1 +"/>
    <w:basedOn w:val="3"/>
    <w:next w:val="1"/>
    <w:autoRedefine/>
    <w:qFormat/>
    <w:uiPriority w:val="0"/>
    <w:pPr>
      <w:keepLines/>
      <w:spacing w:line="600" w:lineRule="auto"/>
    </w:pPr>
    <w:rPr>
      <w:rFonts w:eastAsia="黑体"/>
      <w:kern w:val="0"/>
      <w:sz w:val="32"/>
      <w:szCs w:val="32"/>
    </w:rPr>
  </w:style>
  <w:style w:type="paragraph" w:customStyle="1" w:styleId="268">
    <w:name w:val="Char Char Char1 Char"/>
    <w:basedOn w:val="1"/>
    <w:autoRedefine/>
    <w:qFormat/>
    <w:uiPriority w:val="0"/>
    <w:pPr>
      <w:tabs>
        <w:tab w:val="left" w:pos="360"/>
      </w:tabs>
      <w:snapToGrid w:val="0"/>
      <w:spacing w:line="360" w:lineRule="auto"/>
    </w:pPr>
    <w:rPr>
      <w:rFonts w:eastAsia="仿宋_GB2312" w:cs="宋体"/>
      <w:sz w:val="24"/>
    </w:rPr>
  </w:style>
  <w:style w:type="paragraph" w:customStyle="1" w:styleId="269">
    <w:name w:val="Style44"/>
    <w:basedOn w:val="1"/>
    <w:autoRedefine/>
    <w:unhideWhenUsed/>
    <w:qFormat/>
    <w:uiPriority w:val="0"/>
  </w:style>
  <w:style w:type="paragraph" w:customStyle="1" w:styleId="270">
    <w:name w:val="Style77"/>
    <w:basedOn w:val="1"/>
    <w:autoRedefine/>
    <w:unhideWhenUsed/>
    <w:qFormat/>
    <w:uiPriority w:val="0"/>
  </w:style>
  <w:style w:type="paragraph" w:customStyle="1" w:styleId="271">
    <w:name w:val="_Style 284"/>
    <w:basedOn w:val="1"/>
    <w:next w:val="202"/>
    <w:autoRedefine/>
    <w:qFormat/>
    <w:uiPriority w:val="0"/>
    <w:pPr>
      <w:ind w:left="720"/>
    </w:pPr>
    <w:rPr>
      <w:rFonts w:cs="Calibri"/>
      <w:szCs w:val="22"/>
    </w:rPr>
  </w:style>
  <w:style w:type="paragraph" w:customStyle="1" w:styleId="272">
    <w:name w:val="Char Char Char1"/>
    <w:basedOn w:val="1"/>
    <w:autoRedefine/>
    <w:qFormat/>
    <w:uiPriority w:val="0"/>
    <w:rPr>
      <w:rFonts w:ascii="宋体" w:hAnsi="宋体"/>
      <w:b/>
      <w:sz w:val="28"/>
      <w:szCs w:val="28"/>
    </w:rPr>
  </w:style>
  <w:style w:type="paragraph" w:customStyle="1" w:styleId="273">
    <w:name w:val="Style71"/>
    <w:basedOn w:val="1"/>
    <w:autoRedefine/>
    <w:unhideWhenUsed/>
    <w:qFormat/>
    <w:uiPriority w:val="0"/>
    <w:pPr>
      <w:spacing w:line="538" w:lineRule="exact"/>
      <w:ind w:firstLine="101"/>
    </w:pPr>
  </w:style>
  <w:style w:type="paragraph" w:customStyle="1" w:styleId="274">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5">
    <w:name w:val="Char Char1 Char Char Char"/>
    <w:basedOn w:val="1"/>
    <w:autoRedefine/>
    <w:qFormat/>
    <w:uiPriority w:val="0"/>
    <w:rPr>
      <w:kern w:val="0"/>
      <w:sz w:val="20"/>
      <w:szCs w:val="20"/>
    </w:rPr>
  </w:style>
  <w:style w:type="paragraph" w:customStyle="1" w:styleId="276">
    <w:name w:val="Pa4"/>
    <w:basedOn w:val="1"/>
    <w:next w:val="1"/>
    <w:autoRedefine/>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7">
    <w:name w:val="正文_43"/>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
    <w:name w:val="Style36"/>
    <w:basedOn w:val="1"/>
    <w:autoRedefine/>
    <w:unhideWhenUsed/>
    <w:qFormat/>
    <w:uiPriority w:val="0"/>
  </w:style>
  <w:style w:type="paragraph" w:customStyle="1" w:styleId="279">
    <w:name w:val="列出段落2"/>
    <w:basedOn w:val="1"/>
    <w:autoRedefine/>
    <w:qFormat/>
    <w:uiPriority w:val="0"/>
    <w:pPr>
      <w:ind w:firstLine="420" w:firstLineChars="200"/>
    </w:pPr>
    <w:rPr>
      <w:szCs w:val="22"/>
    </w:rPr>
  </w:style>
  <w:style w:type="paragraph" w:customStyle="1" w:styleId="280">
    <w:name w:val="Char Char Char Char Char Char Char2"/>
    <w:basedOn w:val="1"/>
    <w:autoRedefine/>
    <w:qFormat/>
    <w:uiPriority w:val="0"/>
    <w:pPr>
      <w:snapToGrid w:val="0"/>
      <w:spacing w:line="360" w:lineRule="auto"/>
      <w:ind w:firstLine="200" w:firstLineChars="200"/>
    </w:pPr>
    <w:rPr>
      <w:rFonts w:eastAsia="仿宋_GB2312"/>
      <w:sz w:val="24"/>
    </w:rPr>
  </w:style>
  <w:style w:type="paragraph" w:customStyle="1" w:styleId="281">
    <w:name w:val="样式 标题 2 + Times New Roman 四号 非加粗 段前: 5 磅 段后: 0 磅 行距: 固定值 20..."/>
    <w:basedOn w:val="4"/>
    <w:autoRedefine/>
    <w:qFormat/>
    <w:uiPriority w:val="0"/>
    <w:pPr>
      <w:spacing w:before="100" w:line="400" w:lineRule="exact"/>
    </w:pPr>
    <w:rPr>
      <w:rFonts w:ascii="Times New Roman" w:hAnsi="Times New Roman" w:eastAsia="黑体"/>
      <w:b w:val="0"/>
      <w:bCs w:val="0"/>
      <w:sz w:val="28"/>
      <w:szCs w:val="20"/>
    </w:rPr>
  </w:style>
  <w:style w:type="paragraph" w:customStyle="1" w:styleId="282">
    <w:name w:val="Char1 Char Char Char"/>
    <w:basedOn w:val="1"/>
    <w:autoRedefine/>
    <w:qFormat/>
    <w:uiPriority w:val="0"/>
    <w:pPr>
      <w:widowControl/>
      <w:spacing w:after="160" w:line="240" w:lineRule="exact"/>
      <w:jc w:val="left"/>
    </w:pPr>
    <w:rPr>
      <w:kern w:val="0"/>
      <w:sz w:val="24"/>
      <w:szCs w:val="20"/>
    </w:rPr>
  </w:style>
  <w:style w:type="paragraph" w:customStyle="1" w:styleId="283">
    <w:name w:val="Style13"/>
    <w:basedOn w:val="1"/>
    <w:autoRedefine/>
    <w:unhideWhenUsed/>
    <w:qFormat/>
    <w:uiPriority w:val="0"/>
  </w:style>
  <w:style w:type="paragraph" w:customStyle="1" w:styleId="284">
    <w:name w:val="Style27"/>
    <w:basedOn w:val="1"/>
    <w:autoRedefine/>
    <w:unhideWhenUsed/>
    <w:qFormat/>
    <w:uiPriority w:val="0"/>
  </w:style>
  <w:style w:type="paragraph" w:customStyle="1" w:styleId="285">
    <w:name w:val="Style26"/>
    <w:basedOn w:val="1"/>
    <w:autoRedefine/>
    <w:unhideWhenUsed/>
    <w:qFormat/>
    <w:uiPriority w:val="0"/>
  </w:style>
  <w:style w:type="paragraph" w:customStyle="1" w:styleId="286">
    <w:name w:val="Char1 Char Char Char Char Char Char Char Char Char"/>
    <w:basedOn w:val="1"/>
    <w:autoRedefine/>
    <w:qFormat/>
    <w:uiPriority w:val="0"/>
    <w:rPr>
      <w:szCs w:val="20"/>
    </w:rPr>
  </w:style>
  <w:style w:type="paragraph" w:customStyle="1" w:styleId="287">
    <w:name w:val="表格内容"/>
    <w:basedOn w:val="19"/>
    <w:autoRedefine/>
    <w:qFormat/>
    <w:uiPriority w:val="0"/>
    <w:pPr>
      <w:suppressLineNumbers/>
      <w:suppressAutoHyphens/>
      <w:jc w:val="left"/>
    </w:pPr>
    <w:rPr>
      <w:rFonts w:cs="Tahoma"/>
      <w:kern w:val="0"/>
      <w:sz w:val="24"/>
    </w:rPr>
  </w:style>
  <w:style w:type="paragraph" w:customStyle="1" w:styleId="288">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9">
    <w:name w:val="Char3"/>
    <w:basedOn w:val="1"/>
    <w:autoRedefine/>
    <w:qFormat/>
    <w:uiPriority w:val="0"/>
    <w:pPr>
      <w:widowControl/>
      <w:spacing w:after="160" w:line="240" w:lineRule="exact"/>
      <w:jc w:val="left"/>
    </w:pPr>
    <w:rPr>
      <w:rFonts w:ascii="Verdana" w:hAnsi="Verdana"/>
      <w:kern w:val="0"/>
      <w:sz w:val="20"/>
      <w:szCs w:val="20"/>
      <w:lang w:eastAsia="en-US"/>
    </w:rPr>
  </w:style>
  <w:style w:type="table" w:customStyle="1" w:styleId="290">
    <w:name w:val="表格主题1"/>
    <w:basedOn w:val="4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1">
    <w:name w:val="网格型1"/>
    <w:basedOn w:val="4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2">
    <w:name w:val="c-icon29"/>
    <w:basedOn w:val="50"/>
    <w:autoRedefine/>
    <w:qFormat/>
    <w:uiPriority w:val="0"/>
  </w:style>
  <w:style w:type="character" w:customStyle="1" w:styleId="293">
    <w:name w:val="hover28"/>
    <w:basedOn w:val="50"/>
    <w:autoRedefine/>
    <w:qFormat/>
    <w:uiPriority w:val="0"/>
  </w:style>
  <w:style w:type="character" w:customStyle="1" w:styleId="294">
    <w:name w:val="hover29"/>
    <w:basedOn w:val="50"/>
    <w:autoRedefine/>
    <w:qFormat/>
    <w:uiPriority w:val="0"/>
    <w:rPr>
      <w:color w:val="315EFB"/>
    </w:rPr>
  </w:style>
  <w:style w:type="paragraph" w:customStyle="1" w:styleId="295">
    <w:name w:val="正文_21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正文_16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7">
    <w:name w:val="font41"/>
    <w:autoRedefine/>
    <w:qFormat/>
    <w:uiPriority w:val="0"/>
    <w:rPr>
      <w:rFonts w:hint="eastAsia" w:ascii="仿宋_GB2312" w:eastAsia="仿宋_GB2312" w:cs="仿宋_GB2312"/>
      <w:color w:val="FF0000"/>
      <w:sz w:val="24"/>
      <w:szCs w:val="24"/>
      <w:u w:val="none"/>
    </w:rPr>
  </w:style>
  <w:style w:type="character" w:customStyle="1" w:styleId="298">
    <w:name w:val="font51"/>
    <w:autoRedefine/>
    <w:qFormat/>
    <w:uiPriority w:val="0"/>
    <w:rPr>
      <w:rFonts w:hint="eastAsia" w:ascii="仿宋_GB2312" w:eastAsia="仿宋_GB2312" w:cs="仿宋_GB2312"/>
      <w:color w:val="000000"/>
      <w:sz w:val="24"/>
      <w:szCs w:val="24"/>
      <w:u w:val="none"/>
    </w:rPr>
  </w:style>
  <w:style w:type="paragraph" w:customStyle="1" w:styleId="299">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300">
    <w:name w:val="11111"/>
    <w:basedOn w:val="1"/>
    <w:next w:val="1"/>
    <w:autoRedefine/>
    <w:qFormat/>
    <w:uiPriority w:val="0"/>
    <w:pPr>
      <w:ind w:firstLine="200"/>
    </w:pPr>
    <w:rPr>
      <w:rFonts w:ascii="宋体" w:hAnsi="宋体" w:cs="宋体"/>
    </w:rPr>
  </w:style>
  <w:style w:type="paragraph" w:styleId="301">
    <w:name w:val="List Paragraph"/>
    <w:basedOn w:val="1"/>
    <w:autoRedefine/>
    <w:qFormat/>
    <w:uiPriority w:val="34"/>
    <w:pPr>
      <w:ind w:firstLine="420"/>
    </w:pPr>
  </w:style>
  <w:style w:type="paragraph" w:customStyle="1" w:styleId="302">
    <w:name w:val="BodyText"/>
    <w:basedOn w:val="1"/>
    <w:autoRedefine/>
    <w:qFormat/>
    <w:uiPriority w:val="0"/>
    <w:pPr>
      <w:spacing w:after="120"/>
    </w:pPr>
    <w:rPr>
      <w:kern w:val="0"/>
      <w:sz w:val="20"/>
    </w:rPr>
  </w:style>
  <w:style w:type="paragraph" w:customStyle="1" w:styleId="303">
    <w:name w:val="Normal_11"/>
    <w:autoRedefine/>
    <w:qFormat/>
    <w:uiPriority w:val="0"/>
    <w:pPr>
      <w:widowControl w:val="0"/>
      <w:jc w:val="both"/>
    </w:pPr>
    <w:rPr>
      <w:rFonts w:ascii="Calibri" w:hAnsi="Calibri" w:eastAsia="宋体" w:cs="Times New Roman"/>
      <w:kern w:val="2"/>
      <w:sz w:val="24"/>
      <w:szCs w:val="22"/>
      <w:lang w:val="en-US" w:eastAsia="zh-CN" w:bidi="ar-SA"/>
    </w:rPr>
  </w:style>
  <w:style w:type="paragraph" w:customStyle="1" w:styleId="304">
    <w:name w:val="正文1"/>
    <w:basedOn w:val="1"/>
    <w:autoRedefine/>
    <w:qFormat/>
    <w:uiPriority w:val="0"/>
    <w:pPr>
      <w:spacing w:line="360" w:lineRule="auto"/>
      <w:ind w:firstLine="480" w:firstLineChars="200"/>
    </w:pPr>
    <w:rPr>
      <w:rFonts w:ascii="Times New Roman" w:hAnsi="Times New Roman"/>
      <w:sz w:val="24"/>
      <w:szCs w:val="24"/>
    </w:rPr>
  </w:style>
  <w:style w:type="paragraph" w:customStyle="1" w:styleId="305">
    <w:name w:val="Normal_28"/>
    <w:autoRedefine/>
    <w:qFormat/>
    <w:uiPriority w:val="0"/>
    <w:pPr>
      <w:widowControl w:val="0"/>
      <w:jc w:val="both"/>
    </w:pPr>
    <w:rPr>
      <w:rFonts w:ascii="Calibri" w:hAnsi="Calibri" w:eastAsia="宋体" w:cs="Times New Roman"/>
      <w:kern w:val="2"/>
      <w:sz w:val="24"/>
      <w:szCs w:val="22"/>
      <w:lang w:val="en-US" w:eastAsia="zh-CN" w:bidi="ar-SA"/>
    </w:rPr>
  </w:style>
  <w:style w:type="paragraph" w:customStyle="1" w:styleId="306">
    <w:name w:val="Normal_0_1"/>
    <w:autoRedefine/>
    <w:qFormat/>
    <w:uiPriority w:val="0"/>
    <w:rPr>
      <w:rFonts w:ascii="Times New Roman" w:hAnsi="Times New Roman" w:eastAsia="宋体" w:cs="Times New Roman"/>
      <w:sz w:val="24"/>
      <w:szCs w:val="24"/>
      <w:lang w:val="en-US" w:eastAsia="zh-CN" w:bidi="ar-SA"/>
    </w:rPr>
  </w:style>
  <w:style w:type="table" w:customStyle="1" w:styleId="307">
    <w:name w:val="Table Normal"/>
    <w:autoRedefine/>
    <w:unhideWhenUsed/>
    <w:qFormat/>
    <w:uiPriority w:val="0"/>
    <w:tblPr>
      <w:tblCellMar>
        <w:top w:w="0" w:type="dxa"/>
        <w:left w:w="0" w:type="dxa"/>
        <w:bottom w:w="0" w:type="dxa"/>
        <w:right w:w="0" w:type="dxa"/>
      </w:tblCellMar>
    </w:tblPr>
  </w:style>
  <w:style w:type="paragraph" w:customStyle="1" w:styleId="308">
    <w:name w:val="Table Text"/>
    <w:autoRedefine/>
    <w:semiHidden/>
    <w:qFormat/>
    <w:uiPriority w:val="0"/>
    <w:pPr>
      <w:kinsoku w:val="0"/>
      <w:autoSpaceDE w:val="0"/>
      <w:autoSpaceDN w:val="0"/>
      <w:adjustRightInd w:val="0"/>
      <w:snapToGrid w:val="0"/>
      <w:spacing w:line="240" w:lineRule="auto"/>
      <w:jc w:val="left"/>
      <w:textAlignment w:val="baseline"/>
    </w:pPr>
    <w:rPr>
      <w:rFonts w:ascii="宋体" w:hAnsi="宋体" w:eastAsia="宋体" w:cs="宋体"/>
      <w:snapToGrid w:val="0"/>
      <w:color w:val="000000"/>
      <w:kern w:val="0"/>
      <w:sz w:val="21"/>
      <w:szCs w:val="21"/>
      <w:lang w:val="en-US" w:eastAsia="en-US" w:bidi="ar-SA"/>
    </w:rPr>
  </w:style>
  <w:style w:type="paragraph" w:customStyle="1" w:styleId="309">
    <w:name w:val="Normal_0_2"/>
    <w:autoRedefine/>
    <w:qFormat/>
    <w:uiPriority w:val="0"/>
    <w:rPr>
      <w:rFonts w:ascii="Times New Roman" w:hAnsi="Times New Roman" w:eastAsia="宋体" w:cs="Times New Roman"/>
      <w:sz w:val="24"/>
      <w:szCs w:val="24"/>
      <w:lang w:val="en-US" w:eastAsia="zh-CN" w:bidi="ar-SA"/>
    </w:rPr>
  </w:style>
  <w:style w:type="character" w:customStyle="1" w:styleId="310">
    <w:name w:val="NormalCharacter"/>
    <w:autoRedefine/>
    <w:qFormat/>
    <w:uiPriority w:val="0"/>
  </w:style>
  <w:style w:type="paragraph" w:customStyle="1" w:styleId="311">
    <w:name w:val="BodyText1I2"/>
    <w:autoRedefine/>
    <w:qFormat/>
    <w:uiPriority w:val="0"/>
    <w:pPr>
      <w:widowControl w:val="0"/>
      <w:spacing w:after="120"/>
      <w:ind w:left="420" w:leftChars="200" w:firstLine="420"/>
      <w:jc w:val="both"/>
    </w:pPr>
    <w:rPr>
      <w:rFonts w:ascii="Times New Roman" w:hAnsi="Times New Roman" w:eastAsia="宋体" w:cs="Times New Roman"/>
      <w:kern w:val="0"/>
      <w:sz w:val="20"/>
      <w:szCs w:val="24"/>
      <w:lang w:val="en-US" w:eastAsia="zh-CN" w:bidi="ar-SA"/>
    </w:rPr>
  </w:style>
  <w:style w:type="paragraph" w:customStyle="1" w:styleId="312">
    <w:name w:val="Normal_24"/>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E148E-0E26-4E6C-9D2C-CFB054E42D93}">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68</Pages>
  <Words>33160</Words>
  <Characters>34756</Characters>
  <Lines>213</Lines>
  <Paragraphs>60</Paragraphs>
  <TotalTime>2</TotalTime>
  <ScaleCrop>false</ScaleCrop>
  <LinksUpToDate>false</LinksUpToDate>
  <CharactersWithSpaces>37076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2023-04-24T15:36:00Z</dcterms:created>
  <dc:creator>admin</dc:creator>
  <cp:lastModifiedBy>糖糖</cp:lastModifiedBy>
  <cp:lastPrinted>2023-05-10T08:01:00Z</cp:lastPrinted>
  <dcterms:modified xsi:type="dcterms:W3CDTF">2024-04-26T01:56:47Z</dcterms:modified>
  <dc:title>附件十一</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6C9112A760604248BAD2A5A002E701EF_13</vt:lpwstr>
  </property>
  <property fmtid="{D5CDD505-2E9C-101B-9397-08002B2CF9AE}" pid="4" name="commondata">
    <vt:lpwstr>eyJoZGlkIjoiNTdkMTVkZjYyNDkwNzcwMjFkM2UxNmVmY2EwNGE4NzIifQ==</vt:lpwstr>
  </property>
</Properties>
</file>