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sz w:val="32"/>
          <w:szCs w:val="32"/>
        </w:rPr>
      </w:pPr>
      <w:r>
        <w:rPr>
          <w:rFonts w:hint="eastAsia" w:ascii="宋体" w:hAnsi="宋体" w:cs="宋体"/>
          <w:color w:val="auto"/>
          <w:sz w:val="32"/>
          <w:szCs w:val="32"/>
        </w:rPr>
        <w:t xml:space="preserve"> </w:t>
      </w:r>
    </w:p>
    <w:p>
      <w:pPr>
        <w:rPr>
          <w:rFonts w:ascii="宋体" w:hAnsi="宋体" w:cs="宋体"/>
          <w:color w:val="auto"/>
          <w:sz w:val="32"/>
          <w:szCs w:val="32"/>
        </w:rPr>
      </w:pPr>
    </w:p>
    <w:p>
      <w:pPr>
        <w:pStyle w:val="64"/>
        <w:rPr>
          <w:color w:val="auto"/>
        </w:rPr>
      </w:pPr>
    </w:p>
    <w:p>
      <w:pPr>
        <w:pStyle w:val="24"/>
        <w:adjustRightInd w:val="0"/>
        <w:snapToGrid w:val="0"/>
        <w:spacing w:line="360" w:lineRule="auto"/>
        <w:jc w:val="center"/>
        <w:rPr>
          <w:rFonts w:hAnsi="宋体" w:cs="宋体"/>
          <w:b/>
          <w:color w:val="auto"/>
          <w:sz w:val="84"/>
          <w:szCs w:val="84"/>
        </w:rPr>
      </w:pPr>
    </w:p>
    <w:p>
      <w:pPr>
        <w:pStyle w:val="24"/>
        <w:adjustRightInd w:val="0"/>
        <w:snapToGrid w:val="0"/>
        <w:spacing w:line="360" w:lineRule="auto"/>
        <w:jc w:val="center"/>
        <w:rPr>
          <w:rFonts w:hAnsi="宋体" w:cs="宋体"/>
          <w:b/>
          <w:color w:val="auto"/>
          <w:sz w:val="84"/>
          <w:szCs w:val="84"/>
        </w:rPr>
      </w:pPr>
      <w:r>
        <w:rPr>
          <w:rFonts w:hint="eastAsia" w:hAnsi="宋体" w:cs="宋体"/>
          <w:b/>
          <w:color w:val="auto"/>
          <w:sz w:val="84"/>
          <w:szCs w:val="84"/>
        </w:rPr>
        <w:t>竞争性磋商文件</w:t>
      </w: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line="360" w:lineRule="auto"/>
        <w:ind w:left="2878" w:leftChars="304" w:hanging="2240" w:hangingChars="700"/>
        <w:jc w:val="both"/>
        <w:rPr>
          <w:rFonts w:hint="eastAsia" w:hAnsi="宋体" w:eastAsia="宋体" w:cs="宋体"/>
          <w:color w:val="auto"/>
          <w:sz w:val="32"/>
          <w:szCs w:val="32"/>
          <w:u w:val="single"/>
          <w:lang w:eastAsia="zh-CN"/>
        </w:rPr>
      </w:pPr>
      <w:r>
        <w:rPr>
          <w:rFonts w:hint="eastAsia" w:hAnsi="宋体" w:cs="宋体"/>
          <w:color w:val="auto"/>
          <w:sz w:val="32"/>
          <w:szCs w:val="32"/>
        </w:rPr>
        <w:t>采购项目名称：</w:t>
      </w:r>
      <w:bookmarkStart w:id="5" w:name="_GoBack"/>
      <w:r>
        <w:rPr>
          <w:rFonts w:hint="eastAsia" w:hAnsi="宋体" w:cs="宋体"/>
          <w:b/>
          <w:bCs/>
          <w:color w:val="auto"/>
          <w:sz w:val="32"/>
          <w:szCs w:val="32"/>
          <w:u w:val="single"/>
          <w:lang w:eastAsia="zh-CN"/>
        </w:rPr>
        <w:t>2024年度消纳场机械设备租赁</w:t>
      </w:r>
      <w:bookmarkEnd w:id="5"/>
      <w:r>
        <w:rPr>
          <w:rFonts w:hint="eastAsia" w:hAnsi="宋体" w:cs="宋体"/>
          <w:b/>
          <w:bCs/>
          <w:color w:val="auto"/>
          <w:sz w:val="32"/>
          <w:szCs w:val="32"/>
          <w:u w:val="single"/>
          <w:lang w:eastAsia="zh-CN"/>
        </w:rPr>
        <w:t>及洗车工劳务外包服务</w:t>
      </w:r>
    </w:p>
    <w:p>
      <w:pPr>
        <w:pStyle w:val="24"/>
        <w:adjustRightInd w:val="0"/>
        <w:snapToGrid w:val="0"/>
        <w:spacing w:line="360" w:lineRule="auto"/>
        <w:ind w:firstLine="640" w:firstLineChars="200"/>
        <w:rPr>
          <w:rFonts w:hint="eastAsia" w:hAnsi="宋体" w:eastAsia="宋体" w:cs="宋体"/>
          <w:color w:val="auto"/>
          <w:sz w:val="32"/>
          <w:szCs w:val="32"/>
          <w:u w:val="single"/>
          <w:lang w:eastAsia="zh-CN"/>
        </w:rPr>
      </w:pPr>
      <w:r>
        <w:rPr>
          <w:rFonts w:hint="eastAsia" w:hAnsi="宋体" w:cs="宋体"/>
          <w:color w:val="auto"/>
          <w:sz w:val="32"/>
          <w:szCs w:val="32"/>
        </w:rPr>
        <w:t>采   购   人：</w:t>
      </w:r>
      <w:r>
        <w:rPr>
          <w:rFonts w:hint="eastAsia" w:hAnsi="宋体" w:cs="宋体"/>
          <w:b/>
          <w:bCs/>
          <w:color w:val="auto"/>
          <w:sz w:val="32"/>
          <w:szCs w:val="32"/>
          <w:u w:val="single"/>
          <w:lang w:eastAsia="zh-CN"/>
        </w:rPr>
        <w:t>湖南智谷投资发展集团有限公司</w:t>
      </w:r>
    </w:p>
    <w:p>
      <w:pPr>
        <w:pStyle w:val="24"/>
        <w:adjustRightInd w:val="0"/>
        <w:snapToGrid w:val="0"/>
        <w:spacing w:line="360" w:lineRule="auto"/>
        <w:ind w:firstLine="640" w:firstLineChars="200"/>
        <w:rPr>
          <w:rFonts w:hint="default" w:hAnsi="宋体" w:cs="宋体"/>
          <w:b/>
          <w:bCs/>
          <w:color w:val="auto"/>
          <w:sz w:val="32"/>
          <w:szCs w:val="32"/>
          <w:u w:val="single"/>
          <w:lang w:val="en-US" w:eastAsia="zh-CN"/>
        </w:rPr>
      </w:pPr>
      <w:r>
        <w:rPr>
          <w:rFonts w:hint="eastAsia" w:hAnsi="宋体" w:cs="宋体"/>
          <w:color w:val="auto"/>
          <w:sz w:val="32"/>
          <w:szCs w:val="32"/>
        </w:rPr>
        <w:t>委托代理编号：</w:t>
      </w:r>
      <w:r>
        <w:rPr>
          <w:rFonts w:hint="eastAsia" w:hAnsi="宋体" w:cs="宋体"/>
          <w:b/>
          <w:bCs/>
          <w:color w:val="auto"/>
          <w:sz w:val="32"/>
          <w:szCs w:val="32"/>
          <w:u w:val="single"/>
          <w:lang w:eastAsia="zh-CN"/>
        </w:rPr>
        <w:t>HNXQCG2024-020</w:t>
      </w:r>
    </w:p>
    <w:p>
      <w:pPr>
        <w:pStyle w:val="24"/>
        <w:adjustRightInd w:val="0"/>
        <w:snapToGrid w:val="0"/>
        <w:spacing w:line="360" w:lineRule="auto"/>
        <w:ind w:firstLine="640" w:firstLineChars="200"/>
        <w:rPr>
          <w:rFonts w:hint="eastAsia" w:hAnsi="宋体" w:eastAsia="宋体" w:cs="宋体"/>
          <w:b/>
          <w:color w:val="auto"/>
          <w:sz w:val="32"/>
          <w:szCs w:val="32"/>
          <w:lang w:eastAsia="zh-CN"/>
        </w:rPr>
      </w:pPr>
      <w:r>
        <w:rPr>
          <w:rFonts w:hint="eastAsia" w:hAnsi="宋体" w:cs="宋体"/>
          <w:color w:val="auto"/>
          <w:sz w:val="32"/>
          <w:szCs w:val="32"/>
        </w:rPr>
        <w:t>采购代理机构：</w:t>
      </w:r>
      <w:r>
        <w:rPr>
          <w:rFonts w:hint="eastAsia" w:hAnsi="宋体" w:cs="宋体"/>
          <w:b/>
          <w:bCs/>
          <w:color w:val="auto"/>
          <w:sz w:val="32"/>
          <w:szCs w:val="32"/>
          <w:u w:val="single"/>
          <w:lang w:eastAsia="zh-CN"/>
        </w:rPr>
        <w:t>湖南新泉工程咨询有限公司</w:t>
      </w:r>
    </w:p>
    <w:p>
      <w:pPr>
        <w:pStyle w:val="24"/>
        <w:adjustRightInd w:val="0"/>
        <w:snapToGrid w:val="0"/>
        <w:spacing w:before="156" w:beforeLines="50" w:line="360" w:lineRule="auto"/>
        <w:ind w:firstLine="948" w:firstLineChars="295"/>
        <w:rPr>
          <w:rFonts w:hAnsi="宋体" w:cs="宋体"/>
          <w:b/>
          <w:color w:val="auto"/>
          <w:sz w:val="32"/>
          <w:szCs w:val="32"/>
        </w:rPr>
      </w:pPr>
      <w:r>
        <w:rPr>
          <w:rFonts w:hint="eastAsia" w:hAnsi="宋体" w:cs="宋体"/>
          <w:b/>
          <w:color w:val="auto"/>
          <w:sz w:val="32"/>
          <w:szCs w:val="32"/>
        </w:rPr>
        <w:t xml:space="preserve">  </w:t>
      </w:r>
    </w:p>
    <w:p>
      <w:pPr>
        <w:pStyle w:val="24"/>
        <w:adjustRightInd w:val="0"/>
        <w:snapToGrid w:val="0"/>
        <w:spacing w:before="156" w:beforeLines="50" w:line="360" w:lineRule="auto"/>
        <w:ind w:firstLine="948" w:firstLineChars="295"/>
        <w:rPr>
          <w:rFonts w:hAnsi="宋体" w:cs="宋体"/>
          <w:b/>
          <w:color w:val="auto"/>
          <w:sz w:val="32"/>
          <w:szCs w:val="32"/>
        </w:rPr>
      </w:pPr>
    </w:p>
    <w:p>
      <w:pPr>
        <w:pStyle w:val="24"/>
        <w:adjustRightInd w:val="0"/>
        <w:snapToGrid w:val="0"/>
        <w:spacing w:before="156" w:beforeLines="50" w:line="360" w:lineRule="auto"/>
        <w:ind w:firstLine="948" w:firstLineChars="295"/>
        <w:rPr>
          <w:rFonts w:hAnsi="宋体" w:cs="宋体"/>
          <w:b/>
          <w:color w:val="auto"/>
          <w:sz w:val="32"/>
          <w:szCs w:val="32"/>
        </w:rPr>
      </w:pPr>
    </w:p>
    <w:p>
      <w:pPr>
        <w:pStyle w:val="24"/>
        <w:adjustRightInd w:val="0"/>
        <w:snapToGrid w:val="0"/>
        <w:spacing w:line="360" w:lineRule="auto"/>
        <w:ind w:firstLine="361" w:firstLineChars="100"/>
        <w:jc w:val="center"/>
        <w:rPr>
          <w:rFonts w:hAnsi="宋体" w:cs="宋体"/>
          <w:b/>
          <w:color w:val="auto"/>
          <w:sz w:val="36"/>
          <w:szCs w:val="36"/>
        </w:rPr>
        <w:sectPr>
          <w:headerReference r:id="rId3" w:type="default"/>
          <w:footerReference r:id="rId4" w:type="default"/>
          <w:pgSz w:w="11906" w:h="16838"/>
          <w:pgMar w:top="1361" w:right="1361" w:bottom="1361" w:left="1361" w:header="851" w:footer="992" w:gutter="0"/>
          <w:cols w:space="0" w:num="1"/>
          <w:titlePg/>
          <w:docGrid w:type="lines" w:linePitch="312" w:charSpace="0"/>
        </w:sectPr>
      </w:pPr>
      <w:r>
        <w:rPr>
          <w:rFonts w:hint="eastAsia" w:hAnsi="宋体" w:cs="宋体"/>
          <w:b/>
          <w:color w:val="auto"/>
          <w:sz w:val="36"/>
          <w:szCs w:val="36"/>
        </w:rPr>
        <w:t>二〇二</w:t>
      </w:r>
      <w:r>
        <w:rPr>
          <w:rFonts w:hint="eastAsia" w:hAnsi="宋体" w:cs="宋体"/>
          <w:b/>
          <w:color w:val="auto"/>
          <w:sz w:val="36"/>
          <w:szCs w:val="36"/>
          <w:lang w:val="en-US" w:eastAsia="zh-CN"/>
        </w:rPr>
        <w:t>四</w:t>
      </w:r>
      <w:r>
        <w:rPr>
          <w:rFonts w:hint="eastAsia" w:hAnsi="宋体" w:cs="宋体"/>
          <w:b/>
          <w:color w:val="auto"/>
          <w:sz w:val="36"/>
          <w:szCs w:val="36"/>
        </w:rPr>
        <w:t>年</w:t>
      </w:r>
      <w:r>
        <w:rPr>
          <w:rFonts w:hint="eastAsia" w:hAnsi="宋体" w:cs="宋体"/>
          <w:b/>
          <w:color w:val="auto"/>
          <w:sz w:val="36"/>
          <w:szCs w:val="36"/>
          <w:lang w:val="en-US" w:eastAsia="zh-CN"/>
        </w:rPr>
        <w:t>四</w:t>
      </w:r>
      <w:r>
        <w:rPr>
          <w:rFonts w:hint="eastAsia" w:hAnsi="宋体" w:cs="宋体"/>
          <w:b/>
          <w:color w:val="auto"/>
          <w:sz w:val="36"/>
          <w:szCs w:val="36"/>
        </w:rPr>
        <w:t>月</w:t>
      </w:r>
    </w:p>
    <w:p>
      <w:pPr>
        <w:pStyle w:val="24"/>
        <w:adjustRightInd w:val="0"/>
        <w:snapToGrid w:val="0"/>
        <w:spacing w:line="360" w:lineRule="auto"/>
        <w:ind w:firstLine="680" w:firstLineChars="100"/>
        <w:jc w:val="center"/>
        <w:rPr>
          <w:rFonts w:hAnsi="宋体" w:cs="宋体"/>
          <w:color w:val="auto"/>
          <w:spacing w:val="160"/>
          <w:sz w:val="36"/>
          <w:szCs w:val="36"/>
        </w:rPr>
      </w:pPr>
      <w:r>
        <w:rPr>
          <w:rFonts w:hint="eastAsia" w:hAnsi="宋体" w:cs="宋体"/>
          <w:color w:val="auto"/>
          <w:spacing w:val="160"/>
          <w:sz w:val="36"/>
          <w:szCs w:val="36"/>
        </w:rPr>
        <w:t>目录</w:t>
      </w:r>
    </w:p>
    <w:p>
      <w:pPr>
        <w:pStyle w:val="24"/>
        <w:adjustRightInd w:val="0"/>
        <w:snapToGrid w:val="0"/>
        <w:spacing w:line="360" w:lineRule="auto"/>
        <w:rPr>
          <w:rFonts w:hAnsi="宋体" w:cs="宋体"/>
          <w:b/>
          <w:color w:val="auto"/>
          <w:sz w:val="24"/>
          <w:szCs w:val="24"/>
        </w:rPr>
      </w:pP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第一章  磋商邀请</w:t>
      </w: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第二章  磋商须知</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磋商须知前附表</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磋商须知正文</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一、说明</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二、</w:t>
      </w:r>
      <w:r>
        <w:rPr>
          <w:rFonts w:hint="eastAsia" w:ascii="宋体" w:hAnsi="宋体" w:cs="宋体"/>
          <w:bCs/>
          <w:color w:val="auto"/>
          <w:szCs w:val="21"/>
        </w:rPr>
        <w:t>磋商</w:t>
      </w:r>
      <w:r>
        <w:rPr>
          <w:rFonts w:hint="eastAsia" w:ascii="宋体" w:hAnsi="宋体" w:cs="宋体"/>
          <w:color w:val="auto"/>
          <w:szCs w:val="21"/>
        </w:rPr>
        <w:t>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三、响应文件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四、响应文件的递交</w:t>
      </w:r>
    </w:p>
    <w:p>
      <w:pPr>
        <w:adjustRightInd w:val="0"/>
        <w:snapToGrid w:val="0"/>
        <w:spacing w:line="360" w:lineRule="auto"/>
        <w:ind w:firstLine="630" w:firstLineChars="300"/>
        <w:rPr>
          <w:rFonts w:ascii="宋体" w:hAnsi="宋体" w:cs="宋体"/>
          <w:bCs/>
          <w:color w:val="auto"/>
          <w:szCs w:val="21"/>
        </w:rPr>
      </w:pPr>
      <w:r>
        <w:rPr>
          <w:rFonts w:hint="eastAsia" w:ascii="宋体" w:hAnsi="宋体" w:cs="宋体"/>
          <w:bCs/>
          <w:color w:val="auto"/>
          <w:szCs w:val="21"/>
        </w:rPr>
        <w:t>五、</w:t>
      </w:r>
      <w:r>
        <w:rPr>
          <w:rFonts w:hint="eastAsia" w:ascii="宋体" w:hAnsi="宋体" w:cs="宋体"/>
          <w:color w:val="auto"/>
          <w:szCs w:val="21"/>
        </w:rPr>
        <w:t>响应文件</w:t>
      </w:r>
      <w:r>
        <w:rPr>
          <w:rFonts w:hint="eastAsia" w:ascii="宋体" w:hAnsi="宋体" w:cs="宋体"/>
          <w:bCs/>
          <w:color w:val="auto"/>
          <w:szCs w:val="21"/>
        </w:rPr>
        <w:t>的</w:t>
      </w:r>
      <w:r>
        <w:rPr>
          <w:rFonts w:hint="eastAsia" w:ascii="宋体" w:hAnsi="宋体" w:cs="宋体"/>
          <w:color w:val="auto"/>
          <w:szCs w:val="21"/>
        </w:rPr>
        <w:t>磋商与评审</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六、成交结果信息公布与授予合同</w:t>
      </w:r>
    </w:p>
    <w:p>
      <w:pPr>
        <w:adjustRightInd w:val="0"/>
        <w:snapToGrid w:val="0"/>
        <w:spacing w:line="360" w:lineRule="auto"/>
        <w:ind w:firstLine="630" w:firstLineChars="300"/>
        <w:jc w:val="left"/>
        <w:rPr>
          <w:rFonts w:ascii="宋体" w:hAnsi="宋体" w:cs="宋体"/>
          <w:color w:val="auto"/>
          <w:szCs w:val="21"/>
        </w:rPr>
      </w:pPr>
      <w:r>
        <w:rPr>
          <w:rFonts w:hint="eastAsia" w:ascii="宋体" w:hAnsi="宋体" w:cs="宋体"/>
          <w:color w:val="auto"/>
          <w:szCs w:val="21"/>
        </w:rPr>
        <w:t>七、其它规定</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第三章  采购合同格式</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第四章  采购需求</w:t>
      </w: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 xml:space="preserve">第五章  </w:t>
      </w:r>
      <w:r>
        <w:rPr>
          <w:rFonts w:hint="eastAsia" w:hAnsi="宋体" w:cs="宋体"/>
          <w:b/>
          <w:color w:val="auto"/>
          <w:sz w:val="24"/>
        </w:rPr>
        <w:t>响应文件组成</w:t>
      </w: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numPr>
          <w:ilvl w:val="0"/>
          <w:numId w:val="1"/>
        </w:numPr>
        <w:ind w:left="3780" w:leftChars="0" w:firstLineChars="0"/>
        <w:jc w:val="left"/>
        <w:rPr>
          <w:rFonts w:hint="eastAsia"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 xml:space="preserve"> 磋商邀请</w:t>
      </w:r>
    </w:p>
    <w:p>
      <w:pPr>
        <w:pStyle w:val="45"/>
        <w:numPr>
          <w:ilvl w:val="0"/>
          <w:numId w:val="0"/>
        </w:numPr>
      </w:pPr>
    </w:p>
    <w:p>
      <w:pPr>
        <w:spacing w:line="360" w:lineRule="auto"/>
        <w:ind w:firstLine="420" w:firstLineChars="200"/>
        <w:rPr>
          <w:rFonts w:ascii="宋体" w:hAnsi="宋体" w:cs="宋体"/>
          <w:color w:val="auto"/>
          <w:szCs w:val="21"/>
        </w:rPr>
      </w:pPr>
      <w:r>
        <w:rPr>
          <w:rFonts w:hint="eastAsia" w:ascii="宋体" w:hAnsi="宋体" w:cs="宋体"/>
          <w:color w:val="auto"/>
          <w:szCs w:val="21"/>
          <w:u w:val="single"/>
          <w:lang w:eastAsia="zh-CN"/>
        </w:rPr>
        <w:t>湖南新泉工程咨询有限公司</w:t>
      </w:r>
      <w:r>
        <w:rPr>
          <w:rFonts w:hint="eastAsia" w:ascii="宋体" w:hAnsi="宋体" w:cs="宋体"/>
          <w:color w:val="auto"/>
          <w:szCs w:val="21"/>
        </w:rPr>
        <w:t>受</w:t>
      </w:r>
      <w:r>
        <w:rPr>
          <w:rFonts w:hint="eastAsia" w:ascii="宋体" w:hAnsi="宋体" w:cs="宋体"/>
          <w:color w:val="auto"/>
          <w:szCs w:val="21"/>
          <w:u w:val="single"/>
          <w:lang w:eastAsia="zh-CN"/>
        </w:rPr>
        <w:t>湖南智谷投资发展集团有限公司</w:t>
      </w:r>
      <w:r>
        <w:rPr>
          <w:rFonts w:hint="eastAsia" w:ascii="宋体" w:hAnsi="宋体" w:cs="宋体"/>
          <w:color w:val="auto"/>
          <w:szCs w:val="21"/>
        </w:rPr>
        <w:t>的委托，对</w:t>
      </w:r>
      <w:r>
        <w:rPr>
          <w:rFonts w:hint="eastAsia" w:ascii="宋体" w:hAnsi="宋体" w:cs="宋体"/>
          <w:color w:val="auto"/>
          <w:szCs w:val="21"/>
          <w:u w:val="single"/>
          <w:lang w:eastAsia="zh-CN"/>
        </w:rPr>
        <w:t>2024年度消纳场机械设备租赁及洗车工劳务外包服务</w:t>
      </w:r>
      <w:r>
        <w:rPr>
          <w:rFonts w:hint="eastAsia" w:ascii="宋体" w:hAnsi="宋体" w:cs="宋体"/>
          <w:color w:val="auto"/>
          <w:szCs w:val="21"/>
        </w:rPr>
        <w:t>进行竞争性磋商采购，现采用</w:t>
      </w:r>
      <w:r>
        <w:rPr>
          <w:rFonts w:hint="eastAsia" w:ascii="宋体" w:hAnsi="宋体" w:cs="宋体"/>
          <w:color w:val="auto"/>
          <w:szCs w:val="21"/>
          <w:u w:val="single"/>
        </w:rPr>
        <w:t>发布公告</w:t>
      </w:r>
      <w:r>
        <w:rPr>
          <w:rFonts w:hint="eastAsia" w:ascii="宋体" w:hAnsi="宋体" w:cs="宋体"/>
          <w:color w:val="auto"/>
          <w:szCs w:val="21"/>
        </w:rPr>
        <w:t>的方式，邀请符合资格条件的供应商参与竞争性磋商采购活动。</w:t>
      </w:r>
    </w:p>
    <w:p>
      <w:pPr>
        <w:numPr>
          <w:ilvl w:val="0"/>
          <w:numId w:val="2"/>
        </w:numPr>
        <w:spacing w:line="360" w:lineRule="auto"/>
        <w:ind w:firstLine="422" w:firstLineChars="200"/>
        <w:rPr>
          <w:rFonts w:ascii="宋体" w:hAnsi="宋体" w:cs="宋体"/>
          <w:b/>
          <w:color w:val="auto"/>
          <w:szCs w:val="21"/>
        </w:rPr>
      </w:pPr>
      <w:r>
        <w:rPr>
          <w:rFonts w:hint="eastAsia" w:ascii="宋体" w:hAnsi="宋体" w:cs="宋体"/>
          <w:b/>
          <w:color w:val="auto"/>
          <w:szCs w:val="21"/>
        </w:rPr>
        <w:t>采购项目基本概况</w:t>
      </w:r>
    </w:p>
    <w:p>
      <w:pPr>
        <w:numPr>
          <w:ilvl w:val="0"/>
          <w:numId w:val="3"/>
        </w:numPr>
        <w:spacing w:line="360" w:lineRule="auto"/>
        <w:ind w:firstLine="420" w:firstLineChars="200"/>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lang w:eastAsia="zh-CN"/>
        </w:rPr>
        <w:t>2024年度消纳场机械设备租赁及洗车工劳务外包服务</w:t>
      </w:r>
    </w:p>
    <w:p>
      <w:pPr>
        <w:numPr>
          <w:ilvl w:val="0"/>
          <w:numId w:val="3"/>
        </w:numPr>
        <w:spacing w:line="360" w:lineRule="auto"/>
        <w:ind w:firstLine="420" w:firstLineChars="200"/>
        <w:rPr>
          <w:rFonts w:ascii="宋体" w:hAnsi="宋体" w:cs="宋体"/>
          <w:color w:val="auto"/>
          <w:szCs w:val="21"/>
        </w:rPr>
      </w:pPr>
      <w:r>
        <w:rPr>
          <w:rFonts w:hint="eastAsia" w:ascii="宋体" w:hAnsi="宋体" w:cs="宋体"/>
          <w:color w:val="auto"/>
          <w:szCs w:val="21"/>
        </w:rPr>
        <w:t>委托代理编号</w:t>
      </w:r>
      <w:r>
        <w:rPr>
          <w:rFonts w:hint="eastAsia" w:ascii="宋体" w:hAnsi="宋体" w:cs="宋体"/>
          <w:color w:val="auto"/>
          <w:szCs w:val="21"/>
          <w:u w:val="none"/>
        </w:rPr>
        <w:t>：</w:t>
      </w:r>
      <w:r>
        <w:rPr>
          <w:rFonts w:hint="eastAsia" w:ascii="宋体" w:hAnsi="宋体" w:cs="宋体"/>
          <w:color w:val="auto"/>
          <w:szCs w:val="21"/>
          <w:u w:val="single"/>
          <w:lang w:val="en-US" w:eastAsia="zh-CN"/>
        </w:rPr>
        <w:t>HNXQCG2024-020</w:t>
      </w:r>
    </w:p>
    <w:p>
      <w:pPr>
        <w:spacing w:line="360" w:lineRule="auto"/>
        <w:ind w:firstLine="420" w:firstLineChars="200"/>
        <w:rPr>
          <w:rFonts w:ascii="宋体" w:hAnsi="宋体" w:cs="宋体"/>
          <w:color w:val="auto"/>
          <w:szCs w:val="21"/>
        </w:rPr>
      </w:pPr>
      <w:r>
        <w:rPr>
          <w:rFonts w:hint="eastAsia" w:ascii="宋体" w:hAnsi="宋体" w:cs="宋体"/>
          <w:color w:val="auto"/>
          <w:szCs w:val="21"/>
        </w:rPr>
        <w:t>3、采购项目标的、数量及简要规格描述或项目基本概况介绍：详见磋商文件“第四章 采购需求”。</w:t>
      </w:r>
    </w:p>
    <w:p>
      <w:pPr>
        <w:spacing w:line="360" w:lineRule="auto"/>
        <w:ind w:firstLine="422" w:firstLineChars="200"/>
        <w:outlineLvl w:val="0"/>
        <w:rPr>
          <w:rFonts w:ascii="宋体" w:hAnsi="宋体" w:cs="宋体"/>
          <w:b/>
          <w:bCs/>
          <w:color w:val="auto"/>
          <w:szCs w:val="21"/>
          <w:u w:val="single"/>
        </w:rPr>
      </w:pPr>
      <w:r>
        <w:rPr>
          <w:rFonts w:hint="eastAsia" w:ascii="宋体" w:hAnsi="宋体" w:cs="宋体"/>
          <w:b/>
          <w:bCs/>
          <w:color w:val="auto"/>
          <w:szCs w:val="21"/>
        </w:rPr>
        <w:t>二、采购项目总预算：人民币</w:t>
      </w:r>
      <w:r>
        <w:rPr>
          <w:rFonts w:hint="eastAsia" w:ascii="宋体" w:hAnsi="宋体" w:cs="宋体"/>
          <w:b/>
          <w:bCs/>
          <w:color w:val="auto"/>
          <w:szCs w:val="21"/>
          <w:u w:val="single"/>
          <w:lang w:val="en-US" w:eastAsia="zh-CN"/>
        </w:rPr>
        <w:t>1980000.00</w:t>
      </w:r>
      <w:r>
        <w:rPr>
          <w:rFonts w:hint="eastAsia" w:ascii="宋体" w:hAnsi="宋体" w:cs="宋体"/>
          <w:b/>
          <w:bCs/>
          <w:color w:val="auto"/>
          <w:szCs w:val="21"/>
          <w:highlight w:val="none"/>
          <w:u w:val="none"/>
        </w:rPr>
        <w:t>元。</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三、供应商资格条件：</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w:t>
      </w:r>
      <w:r>
        <w:rPr>
          <w:rFonts w:hint="eastAsia" w:ascii="宋体" w:hAnsi="宋体" w:cs="宋体"/>
          <w:bCs/>
          <w:color w:val="auto"/>
          <w:szCs w:val="21"/>
          <w:lang w:val="en-US" w:eastAsia="zh-CN"/>
        </w:rPr>
        <w:t>供应商</w:t>
      </w:r>
      <w:r>
        <w:rPr>
          <w:rFonts w:hint="eastAsia" w:ascii="宋体" w:hAnsi="宋体" w:eastAsia="宋体" w:cs="宋体"/>
          <w:bCs/>
          <w:color w:val="auto"/>
          <w:szCs w:val="21"/>
        </w:rPr>
        <w:t>按</w:t>
      </w:r>
      <w:r>
        <w:rPr>
          <w:rFonts w:hint="eastAsia" w:ascii="宋体" w:hAnsi="宋体" w:cs="宋体"/>
          <w:bCs/>
          <w:color w:val="auto"/>
          <w:szCs w:val="21"/>
          <w:lang w:val="en-US" w:eastAsia="zh-CN"/>
        </w:rPr>
        <w:t>磋商</w:t>
      </w:r>
      <w:r>
        <w:rPr>
          <w:rFonts w:hint="eastAsia" w:ascii="宋体" w:hAnsi="宋体" w:eastAsia="宋体" w:cs="宋体"/>
          <w:bCs/>
          <w:color w:val="auto"/>
          <w:szCs w:val="21"/>
        </w:rPr>
        <w:t>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default" w:ascii="宋体" w:hAnsi="宋体" w:eastAsia="宋体" w:cs="宋体"/>
          <w:bCs/>
          <w:color w:val="auto"/>
          <w:szCs w:val="21"/>
        </w:rPr>
        <w:t>①</w:t>
      </w:r>
      <w:r>
        <w:rPr>
          <w:rFonts w:hint="eastAsia" w:ascii="宋体" w:hAnsi="宋体" w:eastAsia="宋体" w:cs="宋体"/>
          <w:bCs/>
          <w:color w:val="auto"/>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1</w:t>
      </w:r>
      <w:r>
        <w:rPr>
          <w:rFonts w:hint="eastAsia" w:ascii="宋体" w:hAnsi="宋体" w:eastAsia="宋体" w:cs="宋体"/>
          <w:bCs/>
          <w:color w:val="auto"/>
          <w:szCs w:val="21"/>
          <w:lang w:eastAsia="zh-CN"/>
        </w:rPr>
        <w:t>月至202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3</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lang w:val="en-US" w:eastAsia="zh-CN"/>
        </w:rPr>
        <w:t xml:space="preserve"> 2、供应商特定资格条件：</w:t>
      </w:r>
      <w:r>
        <w:rPr>
          <w:rFonts w:hint="eastAsia" w:ascii="宋体" w:hAnsi="宋体" w:cs="宋体"/>
          <w:bCs/>
          <w:color w:val="auto"/>
          <w:szCs w:val="21"/>
          <w:lang w:val="en-US" w:eastAsia="zh-CN"/>
        </w:rPr>
        <w:t>无。</w:t>
      </w:r>
    </w:p>
    <w:p>
      <w:pPr>
        <w:pStyle w:val="45"/>
        <w:spacing w:after="0" w:line="360" w:lineRule="auto"/>
        <w:ind w:left="0" w:leftChars="0"/>
        <w:rPr>
          <w:rFonts w:ascii="宋体" w:hAnsi="宋体" w:cs="宋体"/>
          <w:color w:val="auto"/>
          <w:szCs w:val="21"/>
        </w:rPr>
      </w:pPr>
      <w:r>
        <w:rPr>
          <w:rFonts w:hint="eastAsia" w:ascii="宋体" w:hAnsi="宋体" w:cs="宋体"/>
          <w:color w:val="auto"/>
          <w:lang w:val="en-US" w:eastAsia="zh-CN"/>
        </w:rPr>
        <w:t>3</w:t>
      </w:r>
      <w:r>
        <w:rPr>
          <w:rFonts w:hint="eastAsia" w:ascii="宋体" w:hAnsi="宋体" w:cs="宋体"/>
          <w:color w:val="auto"/>
        </w:rPr>
        <w:t>、本项目不接受联合体磋商。</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rPr>
        <w:t xml:space="preserve"> </w:t>
      </w:r>
      <w:r>
        <w:rPr>
          <w:rFonts w:hint="eastAsia" w:ascii="宋体" w:hAnsi="宋体" w:cs="宋体"/>
          <w:b/>
          <w:bCs/>
          <w:color w:val="auto"/>
          <w:szCs w:val="21"/>
        </w:rPr>
        <w:t>四、</w:t>
      </w:r>
      <w:r>
        <w:rPr>
          <w:rFonts w:hint="eastAsia" w:ascii="宋体" w:hAnsi="宋体" w:cs="宋体"/>
          <w:b/>
          <w:color w:val="auto"/>
          <w:szCs w:val="21"/>
        </w:rPr>
        <w:t>获取磋商文件的时间、地点</w:t>
      </w:r>
      <w:r>
        <w:rPr>
          <w:rFonts w:hint="eastAsia" w:ascii="宋体" w:hAnsi="宋体" w:cs="宋体"/>
          <w:b/>
          <w:color w:val="auto"/>
          <w:szCs w:val="21"/>
          <w:highlight w:val="none"/>
        </w:rPr>
        <w:t>、方式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凡有意参加磋商采购活动的，请于</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15</w:t>
      </w:r>
      <w:r>
        <w:rPr>
          <w:rFonts w:hint="eastAsia" w:ascii="宋体" w:hAnsi="宋体" w:cs="宋体"/>
          <w:color w:val="auto"/>
          <w:szCs w:val="21"/>
          <w:highlight w:val="none"/>
        </w:rPr>
        <w:t>日起至</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22</w:t>
      </w:r>
      <w:r>
        <w:rPr>
          <w:rFonts w:hint="eastAsia" w:ascii="宋体" w:hAnsi="宋体" w:cs="宋体"/>
          <w:color w:val="auto"/>
          <w:szCs w:val="21"/>
          <w:highlight w:val="none"/>
        </w:rPr>
        <w:t>日(节假日除外)，每日上午</w:t>
      </w:r>
      <w:r>
        <w:rPr>
          <w:rFonts w:hint="eastAsia" w:ascii="宋体" w:hAnsi="宋体" w:cs="宋体"/>
          <w:color w:val="auto"/>
          <w:highlight w:val="none"/>
          <w:u w:val="single"/>
        </w:rPr>
        <w:t xml:space="preserve">9:00 </w:t>
      </w:r>
      <w:r>
        <w:rPr>
          <w:rFonts w:hint="eastAsia" w:ascii="宋体" w:hAnsi="宋体" w:cs="宋体"/>
          <w:color w:val="auto"/>
          <w:highlight w:val="none"/>
        </w:rPr>
        <w:t>～</w:t>
      </w:r>
      <w:r>
        <w:rPr>
          <w:rFonts w:hint="eastAsia" w:ascii="宋体" w:hAnsi="宋体" w:cs="宋体"/>
          <w:color w:val="auto"/>
          <w:highlight w:val="none"/>
          <w:u w:val="single"/>
        </w:rPr>
        <w:t xml:space="preserve"> 12:00 </w:t>
      </w:r>
      <w:r>
        <w:rPr>
          <w:rFonts w:hint="eastAsia" w:ascii="宋体" w:hAnsi="宋体" w:cs="宋体"/>
          <w:color w:val="auto"/>
          <w:highlight w:val="none"/>
        </w:rPr>
        <w:t>，下午</w:t>
      </w:r>
      <w:r>
        <w:rPr>
          <w:rFonts w:hint="eastAsia" w:ascii="宋体" w:hAnsi="宋体" w:cs="宋体"/>
          <w:color w:val="auto"/>
          <w:highlight w:val="none"/>
          <w:u w:val="single"/>
        </w:rPr>
        <w:t xml:space="preserve"> 14:</w:t>
      </w:r>
      <w:r>
        <w:rPr>
          <w:rFonts w:hint="eastAsia" w:ascii="宋体" w:hAnsi="宋体" w:cs="宋体"/>
          <w:color w:val="auto"/>
          <w:highlight w:val="none"/>
          <w:u w:val="single"/>
          <w:lang w:val="en-US" w:eastAsia="zh-CN"/>
        </w:rPr>
        <w:t>0</w:t>
      </w:r>
      <w:r>
        <w:rPr>
          <w:rFonts w:hint="eastAsia" w:ascii="宋体" w:hAnsi="宋体" w:cs="宋体"/>
          <w:color w:val="auto"/>
          <w:highlight w:val="none"/>
          <w:u w:val="single"/>
        </w:rPr>
        <w:t xml:space="preserve">0 </w:t>
      </w:r>
      <w:r>
        <w:rPr>
          <w:rFonts w:hint="eastAsia" w:ascii="宋体" w:hAnsi="宋体" w:cs="宋体"/>
          <w:color w:val="auto"/>
          <w:highlight w:val="none"/>
        </w:rPr>
        <w:t>～</w:t>
      </w:r>
      <w:r>
        <w:rPr>
          <w:rFonts w:hint="eastAsia" w:ascii="宋体" w:hAnsi="宋体" w:cs="宋体"/>
          <w:color w:val="auto"/>
          <w:highlight w:val="none"/>
          <w:u w:val="single"/>
        </w:rPr>
        <w:t xml:space="preserve"> 17:00 </w:t>
      </w:r>
      <w:r>
        <w:rPr>
          <w:rFonts w:hint="eastAsia" w:ascii="宋体" w:hAnsi="宋体" w:cs="宋体"/>
          <w:color w:val="auto"/>
          <w:highlight w:val="none"/>
        </w:rPr>
        <w:t>(</w:t>
      </w:r>
      <w:r>
        <w:rPr>
          <w:rFonts w:hint="eastAsia" w:ascii="宋体" w:hAnsi="宋体" w:cs="宋体"/>
          <w:color w:val="auto"/>
          <w:szCs w:val="21"/>
          <w:highlight w:val="none"/>
        </w:rPr>
        <w:t>北京时间)，持法定代表人身份证明或授权委托书(附法定代表人身份证明)、个人身份证等原件到</w:t>
      </w:r>
      <w:r>
        <w:rPr>
          <w:rFonts w:hint="eastAsia" w:ascii="宋体" w:hAnsi="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cs="宋体"/>
          <w:color w:val="auto"/>
          <w:szCs w:val="21"/>
          <w:highlight w:val="none"/>
        </w:rPr>
        <w:t xml:space="preserve">获取磋商文件。 </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五、响应文件提交的截止时间、开启时间及地点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1、提交首次响应文件的截止时间为</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26</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分（北京时间），地点为</w:t>
      </w:r>
      <w:r>
        <w:rPr>
          <w:rFonts w:hint="eastAsia" w:ascii="宋体" w:hAnsi="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cs="宋体"/>
          <w:color w:val="auto"/>
          <w:szCs w:val="21"/>
          <w:highlight w:val="none"/>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2、首次响应文件的开启时间及地点与提交首次响应文件的截止时间及地点为同一时间及地点。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六、采购项目联系人姓名和电话</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湖南智谷投资发展集团有限公司</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地  址：湖南省长沙市岳麓区学士街道学士路336号检验检测产业园A-1栋23楼</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val="en-US" w:eastAsia="zh-CN"/>
        </w:rPr>
        <w:t>王先生</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联系电话：0731-88096759</w:t>
      </w:r>
    </w:p>
    <w:p>
      <w:pPr>
        <w:rPr>
          <w:rFonts w:hint="eastAsia" w:ascii="宋体" w:hAnsi="宋体" w:cs="宋体"/>
          <w:color w:val="auto"/>
          <w:szCs w:val="21"/>
        </w:rPr>
      </w:pP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采购代理机构：</w:t>
      </w:r>
      <w:r>
        <w:rPr>
          <w:rFonts w:hint="eastAsia" w:ascii="宋体" w:hAnsi="宋体" w:cs="宋体"/>
          <w:color w:val="auto"/>
          <w:szCs w:val="21"/>
          <w:lang w:eastAsia="zh-CN"/>
        </w:rPr>
        <w:t>湖南新泉工程咨询有限公司</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cs="宋体"/>
          <w:color w:val="auto"/>
          <w:szCs w:val="21"/>
        </w:rPr>
        <w:t>地  址：</w:t>
      </w:r>
      <w:r>
        <w:rPr>
          <w:rFonts w:hint="eastAsia" w:ascii="宋体" w:hAnsi="宋体" w:cs="宋体"/>
          <w:color w:val="auto"/>
          <w:szCs w:val="21"/>
          <w:lang w:val="en-US" w:eastAsia="zh-CN"/>
        </w:rPr>
        <w:t xml:space="preserve"> 长沙市岳麓区潇湘南路一段208号柏宁地王广场北栋5层5002室</w:t>
      </w:r>
    </w:p>
    <w:p>
      <w:pPr>
        <w:spacing w:line="400" w:lineRule="exact"/>
        <w:ind w:firstLine="424" w:firstLineChars="202"/>
        <w:rPr>
          <w:rFonts w:hint="default" w:ascii="宋体" w:hAnsi="宋体" w:eastAsia="宋体" w:cs="宋体"/>
          <w:color w:val="auto"/>
          <w:kern w:val="1"/>
          <w:lang w:val="en-US" w:eastAsia="zh-CN"/>
        </w:rPr>
      </w:pPr>
      <w:r>
        <w:rPr>
          <w:rFonts w:hint="eastAsia" w:ascii="宋体" w:hAnsi="宋体" w:cs="宋体"/>
          <w:color w:val="auto"/>
          <w:kern w:val="1"/>
        </w:rPr>
        <w:t>联系人：</w:t>
      </w:r>
      <w:r>
        <w:rPr>
          <w:rFonts w:hint="eastAsia" w:ascii="宋体" w:hAnsi="宋体" w:cs="宋体"/>
          <w:color w:val="auto"/>
          <w:kern w:val="1"/>
          <w:lang w:val="en-US" w:eastAsia="zh-CN"/>
        </w:rPr>
        <w:t xml:space="preserve"> 何佳、陈珊</w:t>
      </w:r>
    </w:p>
    <w:p>
      <w:pPr>
        <w:spacing w:line="400" w:lineRule="exact"/>
        <w:ind w:firstLine="424" w:firstLineChars="202"/>
        <w:rPr>
          <w:rFonts w:hint="default" w:ascii="宋体" w:hAnsi="宋体" w:cs="宋体"/>
          <w:color w:val="auto"/>
          <w:kern w:val="1"/>
          <w:lang w:val="en-US" w:eastAsia="zh-CN"/>
        </w:rPr>
      </w:pPr>
      <w:r>
        <w:rPr>
          <w:rFonts w:hint="eastAsia" w:ascii="宋体" w:hAnsi="宋体" w:cs="宋体"/>
          <w:color w:val="auto"/>
          <w:kern w:val="1"/>
        </w:rPr>
        <w:t>电  话：</w:t>
      </w:r>
      <w:r>
        <w:rPr>
          <w:rFonts w:hint="eastAsia" w:ascii="宋体" w:hAnsi="宋体" w:cs="宋体"/>
          <w:color w:val="auto"/>
          <w:kern w:val="1"/>
          <w:lang w:val="en-US" w:eastAsia="zh-CN"/>
        </w:rPr>
        <w:t xml:space="preserve"> 0731-85226831</w:t>
      </w:r>
    </w:p>
    <w:p>
      <w:pPr>
        <w:pStyle w:val="45"/>
        <w:rPr>
          <w:rFonts w:hint="eastAsia"/>
          <w:color w:val="auto"/>
          <w:lang w:eastAsia="zh-CN"/>
        </w:rPr>
      </w:pP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监管部门：本项目接受</w:t>
      </w:r>
      <w:r>
        <w:rPr>
          <w:rFonts w:hint="eastAsia" w:ascii="宋体" w:hAnsi="宋体" w:cs="宋体"/>
          <w:color w:val="auto"/>
          <w:szCs w:val="21"/>
          <w:lang w:eastAsia="zh-CN"/>
        </w:rPr>
        <w:t>湖南智谷投资发展集团有限公司</w:t>
      </w:r>
      <w:r>
        <w:rPr>
          <w:rFonts w:hint="eastAsia" w:ascii="宋体" w:hAnsi="宋体" w:cs="宋体"/>
          <w:color w:val="auto"/>
          <w:szCs w:val="21"/>
        </w:rPr>
        <w:t>审计监察中心监督</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电    话：</w:t>
      </w:r>
      <w:r>
        <w:rPr>
          <w:rFonts w:hint="eastAsia" w:ascii="宋体" w:hAnsi="宋体" w:cs="宋体"/>
          <w:color w:val="auto"/>
          <w:szCs w:val="21"/>
          <w:lang w:val="en-US" w:eastAsia="zh-CN"/>
        </w:rPr>
        <w:t>张</w:t>
      </w:r>
      <w:r>
        <w:rPr>
          <w:rFonts w:hint="eastAsia" w:ascii="宋体" w:hAnsi="宋体" w:cs="宋体"/>
          <w:color w:val="auto"/>
          <w:szCs w:val="21"/>
        </w:rPr>
        <w:t>先生</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联 系 人：0731-85581812</w:t>
      </w:r>
    </w:p>
    <w:p>
      <w:pPr>
        <w:spacing w:line="360" w:lineRule="auto"/>
        <w:ind w:firstLine="643" w:firstLineChars="200"/>
        <w:jc w:val="left"/>
        <w:rPr>
          <w:rFonts w:hAnsi="宋体" w:cs="宋体"/>
          <w:b/>
          <w:color w:val="auto"/>
          <w:sz w:val="32"/>
          <w:szCs w:val="32"/>
        </w:rPr>
      </w:pPr>
    </w:p>
    <w:p>
      <w:pPr>
        <w:pStyle w:val="24"/>
        <w:spacing w:line="360" w:lineRule="auto"/>
        <w:ind w:firstLine="643" w:firstLineChars="200"/>
        <w:jc w:val="center"/>
        <w:rPr>
          <w:rFonts w:hAnsi="宋体" w:cs="宋体"/>
          <w:b/>
          <w:color w:val="auto"/>
          <w:sz w:val="32"/>
          <w:szCs w:val="32"/>
        </w:rPr>
        <w:sectPr>
          <w:headerReference r:id="rId5" w:type="first"/>
          <w:footerReference r:id="rId7" w:type="first"/>
          <w:footerReference r:id="rId6" w:type="default"/>
          <w:pgSz w:w="11906" w:h="16838"/>
          <w:pgMar w:top="1361" w:right="1361" w:bottom="1361" w:left="1361" w:header="851" w:footer="992" w:gutter="0"/>
          <w:pgNumType w:start="1"/>
          <w:cols w:space="0" w:num="1"/>
          <w:titlePg/>
          <w:docGrid w:type="lines" w:linePitch="312" w:charSpace="0"/>
        </w:sectPr>
      </w:pPr>
    </w:p>
    <w:p>
      <w:pPr>
        <w:pStyle w:val="24"/>
        <w:jc w:val="center"/>
        <w:rPr>
          <w:rFonts w:hAnsi="宋体" w:cs="宋体"/>
          <w:b/>
          <w:color w:val="auto"/>
          <w:sz w:val="32"/>
          <w:szCs w:val="32"/>
        </w:rPr>
      </w:pPr>
      <w:r>
        <w:rPr>
          <w:rFonts w:hint="eastAsia" w:hAnsi="宋体" w:cs="宋体"/>
          <w:b/>
          <w:color w:val="auto"/>
          <w:sz w:val="32"/>
          <w:szCs w:val="32"/>
        </w:rPr>
        <w:t>第二章 磋商须知</w:t>
      </w:r>
    </w:p>
    <w:p>
      <w:pPr>
        <w:pStyle w:val="24"/>
        <w:rPr>
          <w:rFonts w:hAnsi="宋体" w:cs="宋体"/>
          <w:b/>
          <w:color w:val="auto"/>
          <w:sz w:val="24"/>
          <w:szCs w:val="24"/>
        </w:rPr>
      </w:pPr>
      <w:r>
        <w:rPr>
          <w:rFonts w:hint="eastAsia" w:hAnsi="宋体" w:cs="宋体"/>
          <w:b/>
          <w:color w:val="auto"/>
          <w:sz w:val="24"/>
          <w:szCs w:val="24"/>
        </w:rPr>
        <w:t>磋商须知前附表</w:t>
      </w:r>
    </w:p>
    <w:p>
      <w:pPr>
        <w:pStyle w:val="24"/>
        <w:rPr>
          <w:rFonts w:hAnsi="宋体" w:cs="宋体"/>
          <w:color w:val="auto"/>
        </w:rPr>
      </w:pPr>
      <w:r>
        <w:rPr>
          <w:rFonts w:hint="eastAsia" w:hAnsi="宋体" w:cs="宋体"/>
          <w:color w:val="auto"/>
        </w:rPr>
        <w:t>注： 请在方框□内划√选择，在“条款号”内限选一项。（本项目采用的条款用“■”标示）</w:t>
      </w:r>
    </w:p>
    <w:tbl>
      <w:tblPr>
        <w:tblStyle w:val="46"/>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076"/>
        <w:gridCol w:w="5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条款号</w:t>
            </w:r>
          </w:p>
        </w:tc>
        <w:tc>
          <w:tcPr>
            <w:tcW w:w="110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条款名称</w:t>
            </w:r>
          </w:p>
        </w:tc>
        <w:tc>
          <w:tcPr>
            <w:tcW w:w="2899"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w:t>
            </w:r>
          </w:p>
        </w:tc>
        <w:tc>
          <w:tcPr>
            <w:tcW w:w="2899" w:type="pct"/>
            <w:vAlign w:val="center"/>
          </w:tcPr>
          <w:p>
            <w:pPr>
              <w:spacing w:line="320" w:lineRule="exact"/>
              <w:rPr>
                <w:rFonts w:hint="eastAsia" w:ascii="宋体" w:hAnsi="宋体" w:eastAsia="宋体" w:cs="宋体"/>
                <w:color w:val="auto"/>
                <w:szCs w:val="21"/>
                <w:lang w:eastAsia="zh-CN"/>
              </w:rPr>
            </w:pPr>
            <w:r>
              <w:rPr>
                <w:rFonts w:hint="eastAsia" w:ascii="宋体" w:hAnsi="宋体" w:cs="宋体"/>
                <w:color w:val="auto"/>
                <w:szCs w:val="21"/>
                <w:lang w:eastAsia="zh-CN"/>
              </w:rPr>
              <w:t>2024年度消纳场机械设备租赁及洗车工劳务外包服务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采购人</w:t>
            </w:r>
          </w:p>
        </w:tc>
        <w:tc>
          <w:tcPr>
            <w:tcW w:w="2899" w:type="pct"/>
            <w:vAlign w:val="center"/>
          </w:tcPr>
          <w:p>
            <w:pPr>
              <w:adjustRightInd w:val="0"/>
              <w:snapToGrid w:val="0"/>
              <w:spacing w:line="32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湖南智谷投资发展集团有限公司</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地  址：湖南省长沙市岳麓区学士街道学士路336号检验检测产业园A-1栋23楼</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王先生</w:t>
            </w:r>
          </w:p>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rPr>
              <w:t>0731-88096759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采购代理机构</w:t>
            </w:r>
          </w:p>
        </w:tc>
        <w:tc>
          <w:tcPr>
            <w:tcW w:w="2899" w:type="pct"/>
            <w:vAlign w:val="center"/>
          </w:tcPr>
          <w:p>
            <w:pPr>
              <w:pStyle w:val="24"/>
              <w:spacing w:line="320" w:lineRule="exact"/>
              <w:jc w:val="left"/>
              <w:rPr>
                <w:rFonts w:hint="eastAsia" w:hAnsi="宋体" w:eastAsia="宋体" w:cs="宋体"/>
                <w:color w:val="auto"/>
                <w:lang w:eastAsia="zh-CN"/>
              </w:rPr>
            </w:pPr>
            <w:r>
              <w:rPr>
                <w:rFonts w:hint="eastAsia" w:hAnsi="宋体" w:cs="宋体"/>
                <w:color w:val="auto"/>
              </w:rPr>
              <w:t>名    称：</w:t>
            </w:r>
            <w:r>
              <w:rPr>
                <w:rFonts w:hint="eastAsia" w:hAnsi="宋体" w:cs="宋体"/>
                <w:color w:val="auto"/>
                <w:lang w:eastAsia="zh-CN"/>
              </w:rPr>
              <w:t>湖南新泉工程咨询有限公司</w:t>
            </w:r>
          </w:p>
          <w:p>
            <w:pPr>
              <w:spacing w:line="400" w:lineRule="exact"/>
              <w:rPr>
                <w:rFonts w:hint="eastAsia" w:hAnsi="宋体" w:cs="宋体"/>
                <w:color w:val="auto"/>
                <w:lang w:eastAsia="zh-CN"/>
              </w:rPr>
            </w:pPr>
            <w:r>
              <w:rPr>
                <w:rFonts w:hint="eastAsia" w:hAnsi="宋体" w:cs="宋体"/>
                <w:color w:val="auto"/>
              </w:rPr>
              <w:t>地    址：</w:t>
            </w:r>
            <w:r>
              <w:rPr>
                <w:rFonts w:hint="eastAsia" w:hAnsi="宋体" w:cs="宋体"/>
                <w:color w:val="auto"/>
                <w:lang w:eastAsia="zh-CN"/>
              </w:rPr>
              <w:t>长沙市岳麓区潇湘南路一段208号柏宁地王广场北栋5层5002室</w:t>
            </w:r>
          </w:p>
          <w:p>
            <w:pPr>
              <w:spacing w:line="40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联系人：</w:t>
            </w:r>
            <w:r>
              <w:rPr>
                <w:rFonts w:hint="eastAsia" w:ascii="宋体" w:hAnsi="宋体" w:eastAsia="宋体" w:cs="宋体"/>
                <w:color w:val="auto"/>
                <w:szCs w:val="21"/>
                <w:lang w:val="en-US" w:eastAsia="zh-CN"/>
              </w:rPr>
              <w:t xml:space="preserve"> 何佳、陈珊</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电  话：</w:t>
            </w:r>
            <w:r>
              <w:rPr>
                <w:rFonts w:hint="eastAsia" w:ascii="宋体" w:hAnsi="宋体" w:eastAsia="宋体" w:cs="宋体"/>
                <w:color w:val="auto"/>
                <w:szCs w:val="21"/>
                <w:lang w:val="en-US" w:eastAsia="zh-CN"/>
              </w:rPr>
              <w:t xml:space="preserve"> 0731-85226831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第二章第2.3款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color w:val="auto"/>
                <w:kern w:val="0"/>
                <w:szCs w:val="21"/>
              </w:rPr>
              <w:t>供应商的</w:t>
            </w:r>
            <w:r>
              <w:rPr>
                <w:rFonts w:hint="eastAsia" w:ascii="宋体" w:hAnsi="宋体" w:cs="宋体"/>
                <w:color w:val="auto"/>
                <w:szCs w:val="21"/>
              </w:rPr>
              <w:t>邀请方式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发布公告</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从省级以上财政部门建立的供应商库中随机抽取</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第二章第3.1款</w:t>
            </w:r>
          </w:p>
        </w:tc>
        <w:tc>
          <w:tcPr>
            <w:tcW w:w="1105" w:type="pct"/>
            <w:vAlign w:val="center"/>
          </w:tcPr>
          <w:p>
            <w:pPr>
              <w:adjustRightInd w:val="0"/>
              <w:snapToGrid w:val="0"/>
              <w:spacing w:line="320" w:lineRule="exact"/>
              <w:jc w:val="center"/>
              <w:rPr>
                <w:rFonts w:ascii="宋体" w:hAnsi="宋体" w:cs="宋体"/>
                <w:color w:val="auto"/>
                <w:kern w:val="0"/>
                <w:szCs w:val="21"/>
              </w:rPr>
            </w:pPr>
            <w:r>
              <w:rPr>
                <w:rFonts w:hint="eastAsia" w:ascii="宋体" w:hAnsi="宋体" w:cs="宋体"/>
                <w:bCs/>
                <w:color w:val="auto"/>
                <w:szCs w:val="21"/>
                <w:highlight w:val="none"/>
              </w:rPr>
              <w:t>供应商</w:t>
            </w:r>
            <w:r>
              <w:rPr>
                <w:rFonts w:hint="eastAsia" w:ascii="宋体" w:hAnsi="宋体" w:cs="宋体"/>
                <w:color w:val="auto"/>
                <w:szCs w:val="21"/>
                <w:highlight w:val="none"/>
              </w:rPr>
              <w:t>资格条件</w:t>
            </w:r>
          </w:p>
        </w:tc>
        <w:tc>
          <w:tcPr>
            <w:tcW w:w="2899" w:type="pct"/>
            <w:vAlign w:val="center"/>
          </w:tcPr>
          <w:p>
            <w:pPr>
              <w:spacing w:line="32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详见磋商公告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联合体形式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不接受</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pacing w:val="-6"/>
                <w:szCs w:val="21"/>
              </w:rPr>
              <w:t>对联合体各方的要求</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本项目不接受联合体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第二章第7.1款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现场勘察</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采购人不组织</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采购人组织，时间：</w:t>
            </w:r>
            <w:r>
              <w:rPr>
                <w:rFonts w:hint="eastAsia" w:ascii="宋体" w:hAnsi="宋体" w:cs="宋体"/>
                <w:color w:val="auto"/>
                <w:szCs w:val="21"/>
                <w:u w:val="single"/>
              </w:rPr>
              <w:t xml:space="preserve">   </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联系人：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第二章第8.1款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采购进口产品</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政府采购强制采购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第二章第9.2款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政府采购优先采购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spacing w:line="320" w:lineRule="exact"/>
              <w:rPr>
                <w:rFonts w:ascii="宋体" w:hAnsi="宋体" w:cs="宋体"/>
                <w:color w:val="auto"/>
                <w:szCs w:val="21"/>
              </w:rPr>
            </w:pPr>
            <w:r>
              <w:rPr>
                <w:rFonts w:hint="eastAsia" w:ascii="宋体" w:hAnsi="宋体" w:cs="宋体"/>
                <w:color w:val="auto"/>
                <w:szCs w:val="21"/>
              </w:rPr>
              <w:t>第二章第9.6款</w:t>
            </w:r>
          </w:p>
        </w:tc>
        <w:tc>
          <w:tcPr>
            <w:tcW w:w="1105" w:type="pct"/>
            <w:tcBorders>
              <w:top w:val="single" w:color="auto" w:sz="4" w:space="0"/>
              <w:bottom w:val="single" w:color="auto" w:sz="4" w:space="0"/>
            </w:tcBorders>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政府采购支持中小企业融资</w:t>
            </w:r>
          </w:p>
        </w:tc>
        <w:tc>
          <w:tcPr>
            <w:tcW w:w="2899" w:type="pct"/>
            <w:tcBorders>
              <w:top w:val="single" w:color="auto" w:sz="4" w:space="0"/>
              <w:bottom w:val="single" w:color="auto" w:sz="4" w:space="0"/>
            </w:tcBorders>
          </w:tcPr>
          <w:p>
            <w:pPr>
              <w:adjustRightInd w:val="0"/>
              <w:snapToGrid w:val="0"/>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spacing w:line="320" w:lineRule="exact"/>
              <w:rPr>
                <w:rFonts w:ascii="宋体" w:hAnsi="宋体" w:cs="宋体"/>
                <w:color w:val="auto"/>
                <w:szCs w:val="21"/>
              </w:rPr>
            </w:pPr>
          </w:p>
        </w:tc>
        <w:tc>
          <w:tcPr>
            <w:tcW w:w="1105" w:type="pct"/>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政府采购信用担保</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第二章第10.2款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磋商文件的可能实质性变动内容</w:t>
            </w:r>
          </w:p>
        </w:tc>
        <w:tc>
          <w:tcPr>
            <w:tcW w:w="2899" w:type="pct"/>
            <w:vAlign w:val="center"/>
          </w:tcPr>
          <w:p>
            <w:pPr>
              <w:adjustRightInd w:val="0"/>
              <w:snapToGrid w:val="0"/>
              <w:spacing w:line="320" w:lineRule="exact"/>
              <w:jc w:val="left"/>
              <w:rPr>
                <w:rFonts w:ascii="宋体" w:hAnsi="宋体" w:cs="宋体"/>
                <w:color w:val="auto"/>
                <w:szCs w:val="21"/>
              </w:rPr>
            </w:pPr>
            <w:r>
              <w:rPr>
                <w:rFonts w:hint="eastAsia" w:ascii="宋体" w:hAnsi="宋体" w:cs="宋体"/>
                <w:color w:val="auto"/>
                <w:szCs w:val="21"/>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提供磋商文件期限</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15</w:t>
            </w:r>
            <w:r>
              <w:rPr>
                <w:rFonts w:hint="eastAsia" w:ascii="宋体" w:hAnsi="宋体" w:cs="宋体"/>
                <w:color w:val="auto"/>
                <w:szCs w:val="21"/>
                <w:highlight w:val="none"/>
              </w:rPr>
              <w:t>日起至</w:t>
            </w:r>
            <w:r>
              <w:rPr>
                <w:rFonts w:hint="eastAsia" w:ascii="宋体" w:hAnsi="宋体" w:cs="宋体"/>
                <w:color w:val="auto"/>
                <w:szCs w:val="21"/>
                <w:highlight w:val="none"/>
                <w:u w:val="single"/>
                <w:lang w:val="en-US" w:eastAsia="zh-CN"/>
              </w:rPr>
              <w:t xml:space="preserve">2024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22</w:t>
            </w:r>
            <w:r>
              <w:rPr>
                <w:rFonts w:hint="eastAsia" w:ascii="宋体" w:hAnsi="宋体" w:cs="宋体"/>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领取或购买磋商文件时应提供的资料</w:t>
            </w:r>
          </w:p>
        </w:tc>
        <w:tc>
          <w:tcPr>
            <w:tcW w:w="2899" w:type="pct"/>
            <w:vAlign w:val="center"/>
          </w:tcPr>
          <w:p>
            <w:pPr>
              <w:adjustRightInd w:val="0"/>
              <w:snapToGrid w:val="0"/>
              <w:spacing w:line="320" w:lineRule="exact"/>
              <w:jc w:val="left"/>
              <w:rPr>
                <w:rFonts w:ascii="宋体" w:hAnsi="宋体" w:cs="宋体"/>
                <w:color w:val="auto"/>
                <w:szCs w:val="21"/>
                <w:u w:val="single"/>
              </w:rPr>
            </w:pPr>
            <w:r>
              <w:rPr>
                <w:rFonts w:hint="eastAsia" w:ascii="宋体" w:hAnsi="宋体" w:cs="宋体"/>
                <w:color w:val="auto"/>
                <w:szCs w:val="21"/>
              </w:rPr>
              <w:t>法定代表人身份证明或授权委托书(附法定代表人身份证明)、个人身份证等原件到</w:t>
            </w:r>
            <w:r>
              <w:rPr>
                <w:rFonts w:hint="eastAsia" w:ascii="宋体" w:hAnsi="宋体" w:cs="宋体"/>
                <w:color w:val="auto"/>
                <w:szCs w:val="21"/>
                <w:u w:val="single"/>
                <w:lang w:eastAsia="zh-CN"/>
              </w:rPr>
              <w:t>湖南新泉工程咨询有限公司（长沙市岳麓区潇湘南路一段208号柏宁地王广场北栋5层5002室）</w:t>
            </w:r>
            <w:r>
              <w:rPr>
                <w:rFonts w:hint="eastAsia" w:ascii="宋体" w:hAnsi="宋体" w:cs="宋体"/>
                <w:color w:val="auto"/>
                <w:szCs w:val="21"/>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提交首次响应文件的截止时间</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04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26</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采购项目预算</w:t>
            </w:r>
          </w:p>
        </w:tc>
        <w:tc>
          <w:tcPr>
            <w:tcW w:w="2899" w:type="pct"/>
            <w:vAlign w:val="center"/>
          </w:tcPr>
          <w:p>
            <w:pPr>
              <w:adjustRightInd w:val="0"/>
              <w:snapToGrid w:val="0"/>
              <w:spacing w:line="320" w:lineRule="exact"/>
              <w:jc w:val="left"/>
              <w:rPr>
                <w:rFonts w:hint="eastAsia" w:ascii="宋体" w:hAnsi="宋体" w:eastAsia="宋体" w:cs="宋体"/>
                <w:color w:val="auto"/>
                <w:szCs w:val="21"/>
                <w:lang w:val="en-US" w:eastAsia="zh-CN"/>
              </w:rPr>
            </w:pPr>
            <w:r>
              <w:rPr>
                <w:rFonts w:hint="eastAsia" w:ascii="宋体" w:hAnsi="宋体" w:eastAsia="宋体" w:cs="宋体"/>
                <w:color w:val="auto"/>
                <w:szCs w:val="21"/>
              </w:rPr>
              <w:t>最高限价：</w:t>
            </w:r>
            <w:r>
              <w:rPr>
                <w:rFonts w:hint="eastAsia" w:ascii="宋体" w:hAnsi="宋体" w:eastAsia="宋体" w:cs="宋体"/>
                <w:color w:val="auto"/>
                <w:szCs w:val="21"/>
                <w:lang w:val="en-US" w:eastAsia="zh-CN"/>
              </w:rPr>
              <w:t>1980000.00</w:t>
            </w:r>
            <w:r>
              <w:rPr>
                <w:rFonts w:hint="eastAsia" w:ascii="宋体" w:hAnsi="宋体" w:eastAsia="宋体" w:cs="宋体"/>
                <w:color w:val="auto"/>
                <w:szCs w:val="21"/>
              </w:rPr>
              <w:t>元。</w:t>
            </w:r>
            <w:r>
              <w:rPr>
                <w:rFonts w:hint="eastAsia" w:ascii="宋体" w:hAnsi="宋体" w:eastAsia="宋体" w:cs="宋体"/>
                <w:color w:val="auto"/>
                <w:szCs w:val="21"/>
                <w:lang w:val="en-US" w:eastAsia="zh-CN"/>
              </w:rPr>
              <w:t>其中：</w:t>
            </w:r>
          </w:p>
          <w:p>
            <w:pPr>
              <w:adjustRightInd w:val="0"/>
              <w:snapToGrid w:val="0"/>
              <w:spacing w:line="320" w:lineRule="exact"/>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1.消纳场机械设备租赁</w:t>
            </w:r>
            <w:r>
              <w:rPr>
                <w:rFonts w:hint="eastAsia" w:ascii="宋体" w:hAnsi="宋体" w:cs="宋体"/>
                <w:color w:val="auto"/>
                <w:szCs w:val="21"/>
                <w:lang w:val="en-US" w:eastAsia="zh-CN"/>
              </w:rPr>
              <w:t>上限单价</w:t>
            </w:r>
            <w:r>
              <w:rPr>
                <w:rFonts w:hint="eastAsia" w:ascii="宋体" w:hAnsi="宋体" w:eastAsia="宋体" w:cs="宋体"/>
                <w:color w:val="auto"/>
                <w:szCs w:val="21"/>
                <w:lang w:val="en-US" w:eastAsia="zh-CN"/>
              </w:rPr>
              <w:t>：挖掘机(斗容量1立方米及以上)2400元/台班，推土机(D85)2800元/台班，推土机(山推160)2200元/台班，</w:t>
            </w:r>
            <w:r>
              <w:rPr>
                <w:rFonts w:hint="eastAsia" w:ascii="宋体" w:hAnsi="宋体" w:cs="宋体"/>
                <w:color w:val="auto"/>
                <w:szCs w:val="21"/>
                <w:lang w:val="en-US" w:eastAsia="zh-CN"/>
              </w:rPr>
              <w:t>洒</w:t>
            </w:r>
            <w:r>
              <w:rPr>
                <w:rFonts w:hint="eastAsia" w:ascii="宋体" w:hAnsi="宋体" w:eastAsia="宋体" w:cs="宋体"/>
                <w:color w:val="auto"/>
                <w:szCs w:val="21"/>
                <w:lang w:val="en-US" w:eastAsia="zh-CN"/>
              </w:rPr>
              <w:t>水车(10m3)1200元/台班包干计取；</w:t>
            </w:r>
          </w:p>
          <w:p>
            <w:pPr>
              <w:adjustRightInd w:val="0"/>
              <w:snapToGrid w:val="0"/>
              <w:spacing w:line="320" w:lineRule="exact"/>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2.洗车工劳务外包服务</w:t>
            </w:r>
            <w:r>
              <w:rPr>
                <w:rFonts w:hint="eastAsia" w:ascii="宋体" w:hAnsi="宋体" w:cs="宋体"/>
                <w:color w:val="auto"/>
                <w:szCs w:val="21"/>
                <w:lang w:val="en-US" w:eastAsia="zh-CN"/>
              </w:rPr>
              <w:t>上限单价：</w:t>
            </w:r>
            <w:r>
              <w:rPr>
                <w:rFonts w:hint="eastAsia" w:ascii="宋体" w:hAnsi="宋体" w:eastAsia="宋体" w:cs="宋体"/>
                <w:color w:val="auto"/>
                <w:szCs w:val="21"/>
                <w:lang w:val="en-US" w:eastAsia="zh-CN"/>
              </w:rPr>
              <w:t>260元/工日计取(夜间工作)</w:t>
            </w:r>
            <w:r>
              <w:rPr>
                <w:rFonts w:hint="eastAsia" w:ascii="宋体" w:hAnsi="宋体" w:cs="宋体"/>
                <w:color w:val="auto"/>
                <w:szCs w:val="21"/>
                <w:lang w:val="en-US" w:eastAsia="zh-CN"/>
              </w:rPr>
              <w:t>；</w:t>
            </w:r>
          </w:p>
          <w:p>
            <w:pPr>
              <w:adjustRightInd w:val="0"/>
              <w:snapToGrid w:val="0"/>
              <w:spacing w:line="320" w:lineRule="exact"/>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w:t>
            </w:r>
            <w:r>
              <w:rPr>
                <w:rFonts w:hint="eastAsia" w:ascii="宋体" w:hAnsi="宋体" w:cs="宋体"/>
                <w:color w:val="auto"/>
                <w:szCs w:val="21"/>
                <w:lang w:val="en-US" w:eastAsia="zh-CN"/>
              </w:rPr>
              <w:t>本项目最终</w:t>
            </w:r>
            <w:r>
              <w:rPr>
                <w:rFonts w:hint="eastAsia" w:ascii="宋体" w:hAnsi="宋体" w:eastAsia="宋体" w:cs="宋体"/>
                <w:color w:val="auto"/>
                <w:szCs w:val="21"/>
                <w:lang w:val="en-US" w:eastAsia="zh-CN"/>
              </w:rPr>
              <w:t>结算费用按实际使用机械设备台班、洗车工工日数量及中标单价进行计算，最终结算总价</w:t>
            </w:r>
            <w:r>
              <w:rPr>
                <w:rFonts w:hint="eastAsia" w:ascii="宋体" w:hAnsi="宋体" w:cs="宋体"/>
                <w:color w:val="auto"/>
                <w:szCs w:val="21"/>
                <w:lang w:val="en-US" w:eastAsia="zh-CN"/>
              </w:rPr>
              <w:t>不超过198万元且</w:t>
            </w:r>
            <w:r>
              <w:rPr>
                <w:rFonts w:hint="eastAsia" w:ascii="宋体" w:hAnsi="宋体" w:eastAsia="宋体" w:cs="宋体"/>
                <w:color w:val="auto"/>
                <w:szCs w:val="21"/>
                <w:lang w:val="en-US" w:eastAsia="zh-CN"/>
              </w:rPr>
              <w:t>按消纳土方数量不超2元/</w:t>
            </w:r>
            <w:r>
              <w:rPr>
                <w:rFonts w:hint="eastAsia" w:ascii="宋体" w:hAnsi="宋体" w:cs="宋体"/>
                <w:color w:val="auto"/>
                <w:szCs w:val="21"/>
                <w:lang w:val="en-US" w:eastAsia="zh-CN"/>
              </w:rPr>
              <w:t>m³</w:t>
            </w:r>
            <w:r>
              <w:rPr>
                <w:rFonts w:hint="eastAsia" w:ascii="宋体" w:hAnsi="宋体" w:eastAsia="宋体" w:cs="宋体"/>
                <w:color w:val="auto"/>
                <w:szCs w:val="21"/>
                <w:lang w:val="en-US" w:eastAsia="zh-CN"/>
              </w:rPr>
              <w:t>(含9%机械设备增值税</w:t>
            </w:r>
            <w:r>
              <w:rPr>
                <w:rFonts w:hint="eastAsia" w:ascii="宋体" w:hAnsi="宋体" w:cs="宋体"/>
                <w:color w:val="auto"/>
                <w:szCs w:val="21"/>
                <w:lang w:val="en-US" w:eastAsia="zh-CN"/>
              </w:rPr>
              <w:t>、6%洗车工服务</w:t>
            </w:r>
            <w:r>
              <w:rPr>
                <w:rFonts w:hint="eastAsia" w:ascii="宋体" w:hAnsi="宋体" w:eastAsia="宋体" w:cs="宋体"/>
                <w:color w:val="auto"/>
                <w:szCs w:val="21"/>
                <w:lang w:val="en-US" w:eastAsia="zh-CN"/>
              </w:rPr>
              <w:t>增值税)</w:t>
            </w:r>
            <w:r>
              <w:rPr>
                <w:rFonts w:hint="eastAsia" w:ascii="宋体" w:hAnsi="宋体" w:cs="宋体"/>
                <w:color w:val="auto"/>
                <w:szCs w:val="21"/>
                <w:lang w:val="en-US" w:eastAsia="zh-CN"/>
              </w:rPr>
              <w:t>；</w:t>
            </w:r>
          </w:p>
          <w:p>
            <w:pPr>
              <w:adjustRightInd w:val="0"/>
              <w:snapToGrid w:val="0"/>
              <w:spacing w:line="320" w:lineRule="exact"/>
              <w:jc w:val="left"/>
              <w:rPr>
                <w:rFonts w:ascii="宋体" w:hAnsi="宋体" w:cs="宋体"/>
                <w:color w:val="auto"/>
                <w:szCs w:val="21"/>
              </w:rPr>
            </w:pPr>
            <w:r>
              <w:rPr>
                <w:rFonts w:hint="eastAsia" w:ascii="宋体" w:hAnsi="宋体" w:cs="宋体"/>
                <w:color w:val="auto"/>
                <w:szCs w:val="21"/>
                <w:lang w:val="en-US" w:eastAsia="zh-CN"/>
              </w:rPr>
              <w:t>4.本项目各投标单价、投标总价均</w:t>
            </w:r>
            <w:r>
              <w:rPr>
                <w:rFonts w:hint="eastAsia" w:ascii="宋体" w:hAnsi="宋体" w:eastAsia="宋体" w:cs="宋体"/>
                <w:color w:val="auto"/>
                <w:szCs w:val="21"/>
                <w:lang w:val="en-US" w:eastAsia="zh-CN"/>
              </w:rPr>
              <w:t>不能超过</w:t>
            </w:r>
            <w:r>
              <w:rPr>
                <w:rFonts w:hint="eastAsia" w:ascii="宋体" w:hAnsi="宋体" w:cs="宋体"/>
                <w:color w:val="auto"/>
                <w:szCs w:val="21"/>
                <w:lang w:val="en-US" w:eastAsia="zh-CN"/>
              </w:rPr>
              <w:t>以上公示的上限单价和最高限价</w:t>
            </w:r>
            <w:r>
              <w:rPr>
                <w:rFonts w:hint="eastAsia" w:ascii="宋体" w:hAnsi="宋体" w:eastAsia="宋体" w:cs="宋体"/>
                <w:color w:val="auto"/>
                <w:szCs w:val="21"/>
                <w:lang w:val="en-US" w:eastAsia="zh-CN"/>
              </w:rPr>
              <w:t>，否则视为无效投标</w:t>
            </w:r>
            <w:r>
              <w:rPr>
                <w:rFonts w:hint="eastAsia" w:ascii="宋体" w:hAnsi="宋体" w:cs="宋体"/>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第二章第17.3款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非制造商的证明文件</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要求提供：（证明文件复印件须加盖供应商单位公章，否则视为无效响应）</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第二章第18.1款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样品提供及样品提交的时间、地点</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第二章第19.1款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磋商保证金</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r>
              <w:rPr>
                <w:rFonts w:hint="eastAsia" w:ascii="宋体" w:hAnsi="宋体" w:cs="宋体"/>
                <w:bCs/>
                <w:color w:val="auto"/>
                <w:szCs w:val="21"/>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第二章第20.1款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bCs/>
                <w:color w:val="auto"/>
                <w:szCs w:val="21"/>
              </w:rPr>
              <w:t>响应文件有效期</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color w:val="auto"/>
                <w:szCs w:val="21"/>
                <w:u w:val="single"/>
              </w:rPr>
              <w:t xml:space="preserve"> 90 </w:t>
            </w:r>
            <w:r>
              <w:rPr>
                <w:rFonts w:hint="eastAsia" w:ascii="宋体" w:hAnsi="宋体" w:cs="宋体"/>
                <w:color w:val="auto"/>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bCs/>
                <w:color w:val="auto"/>
                <w:szCs w:val="21"/>
              </w:rPr>
              <w:t>响应</w:t>
            </w:r>
            <w:r>
              <w:rPr>
                <w:rFonts w:hint="eastAsia" w:ascii="宋体" w:hAnsi="宋体" w:cs="宋体"/>
                <w:color w:val="auto"/>
                <w:szCs w:val="21"/>
              </w:rPr>
              <w:t>文件副本份数</w:t>
            </w:r>
          </w:p>
        </w:tc>
        <w:tc>
          <w:tcPr>
            <w:tcW w:w="2899" w:type="pct"/>
            <w:vAlign w:val="center"/>
          </w:tcPr>
          <w:p>
            <w:pPr>
              <w:adjustRightInd w:val="0"/>
              <w:snapToGrid w:val="0"/>
              <w:spacing w:line="320" w:lineRule="exact"/>
              <w:rPr>
                <w:rFonts w:ascii="宋体" w:hAnsi="宋体" w:cs="宋体"/>
                <w:color w:val="auto"/>
                <w:szCs w:val="21"/>
                <w:u w:val="single"/>
              </w:rPr>
            </w:pPr>
            <w:r>
              <w:rPr>
                <w:rFonts w:hint="eastAsia" w:ascii="宋体" w:hAnsi="宋体" w:cs="宋体"/>
                <w:color w:val="auto"/>
                <w:szCs w:val="21"/>
                <w:u w:val="single"/>
              </w:rPr>
              <w:t xml:space="preserve"> 叁 </w:t>
            </w:r>
            <w:r>
              <w:rPr>
                <w:rFonts w:hint="eastAsia" w:ascii="宋体" w:hAnsi="宋体" w:cs="宋体"/>
                <w:color w:val="auto"/>
                <w:szCs w:val="21"/>
              </w:rPr>
              <w:t>份（正本一份，副本两份），电子文件</w:t>
            </w:r>
            <w:r>
              <w:rPr>
                <w:rFonts w:hint="eastAsia" w:ascii="宋体" w:hAnsi="宋体" w:cs="宋体"/>
                <w:color w:val="auto"/>
                <w:szCs w:val="21"/>
                <w:lang w:val="en-US" w:eastAsia="zh-CN"/>
              </w:rPr>
              <w:t>一</w:t>
            </w:r>
            <w:r>
              <w:rPr>
                <w:rFonts w:hint="eastAsia" w:ascii="宋体" w:hAnsi="宋体" w:cs="宋体"/>
                <w:color w:val="auto"/>
                <w:szCs w:val="21"/>
              </w:rPr>
              <w:t>份（U盘密封包装，与投标文件一起封存。</w:t>
            </w:r>
            <w:r>
              <w:rPr>
                <w:rFonts w:hint="eastAsia" w:ascii="宋体" w:hAnsi="宋体" w:cs="宋体"/>
                <w:b/>
                <w:bCs/>
                <w:color w:val="auto"/>
                <w:szCs w:val="21"/>
              </w:rPr>
              <w:t>电子文件应当为投标文件正本签字盖章后的彩色扫描件版本，格式为JPG或PDF</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color w:val="auto"/>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封套上应载明的信息</w:t>
            </w:r>
          </w:p>
        </w:tc>
        <w:tc>
          <w:tcPr>
            <w:tcW w:w="2899" w:type="pct"/>
            <w:vAlign w:val="center"/>
          </w:tcPr>
          <w:p>
            <w:pPr>
              <w:adjustRightInd w:val="0"/>
              <w:snapToGrid w:val="0"/>
              <w:spacing w:line="400" w:lineRule="exact"/>
              <w:rPr>
                <w:rFonts w:ascii="宋体" w:hAnsi="宋体" w:cs="宋体"/>
                <w:color w:val="auto"/>
                <w:szCs w:val="21"/>
              </w:rPr>
            </w:pPr>
            <w:r>
              <w:rPr>
                <w:rFonts w:hint="eastAsia" w:ascii="宋体" w:hAnsi="宋体" w:cs="宋体"/>
                <w:color w:val="auto"/>
                <w:szCs w:val="21"/>
                <w:u w:val="single"/>
                <w:lang w:eastAsia="zh-CN"/>
              </w:rPr>
              <w:t>2024年度消纳场机械设备租赁及洗车工劳务外包服务</w:t>
            </w:r>
            <w:r>
              <w:rPr>
                <w:rFonts w:hint="eastAsia" w:ascii="宋体" w:hAnsi="宋体" w:cs="宋体"/>
                <w:color w:val="auto"/>
                <w:szCs w:val="21"/>
              </w:rPr>
              <w:t>响应文件</w:t>
            </w:r>
          </w:p>
          <w:p>
            <w:pPr>
              <w:adjustRightInd w:val="0"/>
              <w:snapToGrid w:val="0"/>
              <w:spacing w:line="400" w:lineRule="exact"/>
              <w:rPr>
                <w:rFonts w:ascii="宋体" w:hAnsi="宋体" w:cs="宋体"/>
                <w:color w:val="auto"/>
                <w:szCs w:val="21"/>
                <w:u w:val="single"/>
              </w:rPr>
            </w:pPr>
            <w:r>
              <w:rPr>
                <w:rFonts w:hint="eastAsia" w:ascii="宋体" w:hAnsi="宋体" w:cs="宋体"/>
                <w:color w:val="auto"/>
                <w:szCs w:val="21"/>
              </w:rPr>
              <w:t>委托代理编号：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在</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日（星期</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第二章第24.1款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响应文件的递交地点</w:t>
            </w:r>
          </w:p>
        </w:tc>
        <w:tc>
          <w:tcPr>
            <w:tcW w:w="2899" w:type="pct"/>
            <w:vAlign w:val="center"/>
          </w:tcPr>
          <w:p>
            <w:pPr>
              <w:adjustRightInd w:val="0"/>
              <w:snapToGrid w:val="0"/>
              <w:spacing w:line="320" w:lineRule="exact"/>
              <w:rPr>
                <w:rFonts w:hint="eastAsia" w:ascii="宋体" w:hAnsi="宋体" w:eastAsia="宋体" w:cs="宋体"/>
                <w:bCs/>
                <w:color w:val="auto"/>
                <w:szCs w:val="21"/>
                <w:lang w:eastAsia="zh-CN"/>
              </w:rPr>
            </w:pPr>
            <w:r>
              <w:rPr>
                <w:rFonts w:hint="eastAsia" w:ascii="宋体" w:hAnsi="宋体" w:cs="宋体"/>
                <w:bCs/>
                <w:color w:val="auto"/>
                <w:szCs w:val="21"/>
                <w:lang w:eastAsia="zh-CN"/>
              </w:rPr>
              <w:t>湖南新泉工程咨询有限公司（长沙市岳麓区潇湘南路一段208号柏宁地王广场北栋5层5002室）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bCs/>
                <w:color w:val="auto"/>
                <w:szCs w:val="21"/>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第二章第31.2款</w:t>
            </w:r>
          </w:p>
        </w:tc>
        <w:tc>
          <w:tcPr>
            <w:tcW w:w="1105"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评审因素和标准</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b/>
                <w:color w:val="auto"/>
                <w:szCs w:val="21"/>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技术、商务、价格</w:t>
            </w:r>
            <w:r>
              <w:rPr>
                <w:rFonts w:hint="eastAsia" w:ascii="宋体" w:hAnsi="宋体" w:cs="宋体"/>
                <w:color w:val="auto"/>
                <w:kern w:val="0"/>
                <w:szCs w:val="21"/>
              </w:rPr>
              <w:t>得分或总得分</w:t>
            </w:r>
            <w:r>
              <w:rPr>
                <w:rFonts w:hint="eastAsia" w:ascii="宋体" w:hAnsi="宋体" w:cs="宋体"/>
                <w:color w:val="auto"/>
                <w:szCs w:val="21"/>
              </w:rPr>
              <w:t>调整</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第二章第31.4款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多处或部分获得政府采购政策优惠的计算方法</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第二章第37.1款、</w:t>
            </w:r>
          </w:p>
        </w:tc>
        <w:tc>
          <w:tcPr>
            <w:tcW w:w="1105" w:type="pct"/>
            <w:vAlign w:val="center"/>
          </w:tcPr>
          <w:p>
            <w:pPr>
              <w:pStyle w:val="62"/>
              <w:spacing w:line="320" w:lineRule="exact"/>
              <w:ind w:firstLine="0" w:firstLineChars="0"/>
              <w:jc w:val="center"/>
              <w:rPr>
                <w:rFonts w:ascii="宋体" w:hAnsi="宋体" w:cs="宋体"/>
                <w:color w:val="auto"/>
                <w:szCs w:val="21"/>
              </w:rPr>
            </w:pPr>
            <w:r>
              <w:rPr>
                <w:rFonts w:hint="eastAsia" w:ascii="宋体" w:hAnsi="宋体" w:cs="宋体"/>
                <w:color w:val="auto"/>
                <w:szCs w:val="21"/>
              </w:rPr>
              <w:t>发布媒体</w:t>
            </w:r>
          </w:p>
        </w:tc>
        <w:tc>
          <w:tcPr>
            <w:tcW w:w="2899" w:type="pct"/>
            <w:vAlign w:val="center"/>
          </w:tcPr>
          <w:p>
            <w:pPr>
              <w:pStyle w:val="62"/>
              <w:wordWrap w:val="0"/>
              <w:spacing w:line="320" w:lineRule="exact"/>
              <w:ind w:firstLine="0" w:firstLineChars="0"/>
              <w:jc w:val="left"/>
              <w:rPr>
                <w:rFonts w:ascii="宋体" w:hAnsi="宋体" w:cs="宋体"/>
                <w:color w:val="auto"/>
                <w:szCs w:val="21"/>
              </w:rPr>
            </w:pPr>
            <w:r>
              <w:rPr>
                <w:rFonts w:hint="eastAsia" w:ascii="宋体" w:hAnsi="宋体" w:cs="宋体"/>
                <w:color w:val="auto"/>
                <w:szCs w:val="21"/>
              </w:rPr>
              <w:t>中国湖南长沙市政府采购网（http://changs.ccgp-hunan.gov.cn）、</w:t>
            </w:r>
            <w:r>
              <w:rPr>
                <w:rFonts w:hint="eastAsia" w:ascii="宋体" w:hAnsi="宋体" w:cs="宋体"/>
                <w:color w:val="auto"/>
                <w:szCs w:val="21"/>
                <w:lang w:eastAsia="zh-CN"/>
              </w:rPr>
              <w:t>湖南</w:t>
            </w:r>
            <w:r>
              <w:rPr>
                <w:rFonts w:hint="eastAsia" w:ascii="宋体" w:hAnsi="宋体" w:cs="宋体"/>
                <w:color w:val="auto"/>
                <w:szCs w:val="21"/>
                <w:lang w:val="en-US" w:eastAsia="zh-CN"/>
              </w:rPr>
              <w:t>智谷投资发展集团有限</w:t>
            </w:r>
            <w:r>
              <w:rPr>
                <w:rFonts w:hint="eastAsia" w:ascii="宋体" w:hAnsi="宋体" w:cs="宋体"/>
                <w:color w:val="auto"/>
                <w:szCs w:val="21"/>
                <w:lang w:eastAsia="zh-CN"/>
              </w:rPr>
              <w:t>公司</w:t>
            </w:r>
            <w:r>
              <w:rPr>
                <w:rFonts w:hint="eastAsia" w:ascii="宋体" w:hAnsi="宋体" w:cs="宋体"/>
                <w:color w:val="auto"/>
                <w:szCs w:val="21"/>
              </w:rPr>
              <w:t>（www.hnzhigu.cn）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第二章第39.3款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履约担保</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要求提供，履约担保的金额为：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第二章第41.1款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采购代理服务费</w:t>
            </w:r>
          </w:p>
        </w:tc>
        <w:tc>
          <w:tcPr>
            <w:tcW w:w="2899" w:type="pct"/>
            <w:vAlign w:val="center"/>
          </w:tcPr>
          <w:p>
            <w:pPr>
              <w:adjustRightInd w:val="0"/>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经采购人同意，本项目采购代理服务费由中标人在领取中标通知书时参照计价格【2002】1980号文的规定向采购代理机构一次性缴纳。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第二章第42.1款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其它规定</w:t>
            </w:r>
          </w:p>
        </w:tc>
        <w:tc>
          <w:tcPr>
            <w:tcW w:w="2899" w:type="pct"/>
            <w:vAlign w:val="center"/>
          </w:tcPr>
          <w:p>
            <w:pPr>
              <w:pStyle w:val="24"/>
              <w:spacing w:line="320" w:lineRule="exact"/>
              <w:jc w:val="left"/>
              <w:rPr>
                <w:rFonts w:hAnsi="宋体" w:cs="宋体"/>
                <w:color w:val="auto"/>
              </w:rPr>
            </w:pPr>
            <w:r>
              <w:rPr>
                <w:rFonts w:hint="eastAsia" w:hAnsi="宋体" w:cs="宋体"/>
                <w:color w:val="auto"/>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spacing w:line="320" w:lineRule="exact"/>
              <w:jc w:val="left"/>
              <w:rPr>
                <w:rFonts w:hAnsi="宋体" w:cs="宋体"/>
                <w:color w:val="auto"/>
              </w:rPr>
            </w:pPr>
            <w:r>
              <w:rPr>
                <w:rFonts w:hint="eastAsia" w:hAnsi="宋体" w:cs="宋体"/>
                <w:color w:val="auto"/>
              </w:rPr>
              <w:t>（1）信用信息查询的查询渠道：“信用中国”网站（www.creditchina.gov.cn）、中国政府采购网（www.ccgp.gov.cn）。</w:t>
            </w:r>
          </w:p>
          <w:p>
            <w:pPr>
              <w:pStyle w:val="24"/>
              <w:spacing w:line="320" w:lineRule="exact"/>
              <w:jc w:val="left"/>
              <w:rPr>
                <w:rFonts w:hAnsi="宋体" w:cs="宋体"/>
                <w:color w:val="auto"/>
              </w:rPr>
            </w:pPr>
            <w:r>
              <w:rPr>
                <w:rFonts w:hint="eastAsia" w:hAnsi="宋体" w:cs="宋体"/>
                <w:color w:val="auto"/>
              </w:rPr>
              <w:t>（2）信用信息查询的截止时点：至本项目提交首次响应文件截止时间止。</w:t>
            </w:r>
          </w:p>
          <w:p>
            <w:pPr>
              <w:pStyle w:val="24"/>
              <w:spacing w:line="320" w:lineRule="exact"/>
              <w:jc w:val="left"/>
              <w:rPr>
                <w:rFonts w:hAnsi="宋体" w:cs="宋体"/>
                <w:color w:val="auto"/>
              </w:rPr>
            </w:pPr>
            <w:r>
              <w:rPr>
                <w:rFonts w:hint="eastAsia" w:hAnsi="宋体" w:cs="宋体"/>
                <w:color w:val="auto"/>
              </w:rPr>
              <w:t>（3）信用信息查询记录的具体方式：采购人或采购代理机构在开启首次响应文件时在规定的查询渠道进行查询。</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（4）信用信息查询记录证据留存的具体方式：查询记录的网上打印件。</w:t>
            </w:r>
          </w:p>
        </w:tc>
      </w:tr>
    </w:tbl>
    <w:p>
      <w:pPr>
        <w:adjustRightInd w:val="0"/>
        <w:snapToGrid w:val="0"/>
        <w:spacing w:line="360" w:lineRule="auto"/>
        <w:rPr>
          <w:rFonts w:ascii="宋体" w:hAnsi="宋体" w:cs="宋体"/>
          <w:color w:val="auto"/>
          <w:kern w:val="0"/>
          <w:szCs w:val="21"/>
        </w:rPr>
        <w:sectPr>
          <w:pgSz w:w="11906" w:h="16838"/>
          <w:pgMar w:top="1361" w:right="1361" w:bottom="1440" w:left="1361" w:header="851" w:footer="992" w:gutter="0"/>
          <w:cols w:space="720" w:num="1"/>
          <w:docGrid w:type="lines" w:linePitch="312" w:charSpace="0"/>
        </w:sectPr>
      </w:pPr>
      <w:r>
        <w:rPr>
          <w:rFonts w:hint="eastAsia" w:ascii="宋体" w:hAnsi="宋体" w:cs="宋体"/>
          <w:b/>
          <w:bCs/>
          <w:color w:val="auto"/>
          <w:szCs w:val="21"/>
        </w:rPr>
        <w:br w:type="page"/>
      </w:r>
    </w:p>
    <w:p>
      <w:pPr>
        <w:rPr>
          <w:rFonts w:ascii="宋体" w:hAnsi="宋体" w:cs="宋体"/>
          <w:b/>
          <w:color w:val="auto"/>
          <w:szCs w:val="21"/>
        </w:rPr>
      </w:pPr>
      <w:r>
        <w:rPr>
          <w:rFonts w:hint="eastAsia" w:ascii="宋体" w:hAnsi="宋体" w:cs="宋体"/>
          <w:b/>
          <w:bCs/>
          <w:color w:val="auto"/>
          <w:szCs w:val="21"/>
        </w:rPr>
        <w:t>附页1</w:t>
      </w:r>
    </w:p>
    <w:p>
      <w:pPr>
        <w:spacing w:line="320" w:lineRule="exact"/>
        <w:ind w:firstLine="280" w:firstLineChars="100"/>
        <w:jc w:val="center"/>
        <w:rPr>
          <w:rFonts w:ascii="宋体" w:hAnsi="宋体" w:cs="宋体"/>
          <w:b/>
          <w:color w:val="auto"/>
          <w:sz w:val="28"/>
          <w:szCs w:val="28"/>
          <w:highlight w:val="yellow"/>
        </w:rPr>
      </w:pPr>
      <w:r>
        <w:rPr>
          <w:rFonts w:hint="eastAsia" w:ascii="宋体" w:hAnsi="宋体" w:cs="宋体"/>
          <w:b/>
          <w:color w:val="auto"/>
          <w:sz w:val="28"/>
          <w:szCs w:val="28"/>
          <w:highlight w:val="none"/>
        </w:rPr>
        <w:t>评审因素和标准</w:t>
      </w:r>
    </w:p>
    <w:tbl>
      <w:tblPr>
        <w:tblStyle w:val="46"/>
        <w:tblpPr w:leftFromText="180" w:rightFromText="180" w:vertAnchor="text" w:horzAnchor="page" w:tblpX="1364" w:tblpY="298"/>
        <w:tblOverlap w:val="never"/>
        <w:tblW w:w="95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1"/>
        <w:gridCol w:w="1051"/>
        <w:gridCol w:w="1152"/>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51" w:type="dxa"/>
            <w:tcBorders>
              <w:top w:val="single" w:color="auto" w:sz="12" w:space="0"/>
              <w:left w:val="single" w:color="auto" w:sz="12" w:space="0"/>
              <w:bottom w:val="single" w:color="auto" w:sz="6" w:space="0"/>
              <w:right w:val="single" w:color="auto" w:sz="6" w:space="0"/>
            </w:tcBorders>
            <w:vAlign w:val="center"/>
          </w:tcPr>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51" w:type="dxa"/>
            <w:tcBorders>
              <w:top w:val="single" w:color="auto" w:sz="12" w:space="0"/>
              <w:left w:val="single" w:color="auto" w:sz="6" w:space="0"/>
              <w:bottom w:val="single" w:color="auto" w:sz="6" w:space="0"/>
              <w:right w:val="single" w:color="auto" w:sz="6" w:space="0"/>
            </w:tcBorders>
            <w:vAlign w:val="center"/>
          </w:tcPr>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w:t>
            </w:r>
          </w:p>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因素</w:t>
            </w:r>
          </w:p>
        </w:tc>
        <w:tc>
          <w:tcPr>
            <w:tcW w:w="7408"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trPr>
        <w:tc>
          <w:tcPr>
            <w:tcW w:w="1051" w:type="dxa"/>
            <w:vMerge w:val="restart"/>
            <w:tcBorders>
              <w:top w:val="single" w:color="auto" w:sz="6"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51" w:type="dxa"/>
            <w:vMerge w:val="restart"/>
            <w:tcBorders>
              <w:top w:val="single" w:color="auto" w:sz="6" w:space="0"/>
              <w:left w:val="single" w:color="auto" w:sz="6"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技术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技术</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40</w:t>
            </w:r>
            <w:r>
              <w:rPr>
                <w:rFonts w:hint="eastAsia" w:ascii="宋体" w:hAnsi="宋体" w:eastAsia="宋体" w:cs="宋体"/>
                <w:color w:val="auto"/>
                <w:szCs w:val="21"/>
                <w:highlight w:val="none"/>
              </w:rPr>
              <w:t>分</w:t>
            </w:r>
          </w:p>
        </w:tc>
        <w:tc>
          <w:tcPr>
            <w:tcW w:w="1152" w:type="dxa"/>
            <w:tcBorders>
              <w:top w:val="single" w:color="auto" w:sz="6" w:space="0"/>
              <w:left w:val="single" w:color="auto" w:sz="4" w:space="0"/>
              <w:bottom w:val="single" w:color="auto" w:sz="6" w:space="0"/>
              <w:right w:val="single" w:color="auto" w:sz="4" w:space="0"/>
            </w:tcBorders>
            <w:vAlign w:val="center"/>
          </w:tcPr>
          <w:p>
            <w:pPr>
              <w:spacing w:line="276" w:lineRule="auto"/>
              <w:jc w:val="center"/>
              <w:rPr>
                <w:rFonts w:hint="eastAsia" w:ascii="宋体" w:hAnsi="宋体" w:cs="宋体"/>
                <w:color w:val="auto"/>
                <w:highlight w:val="none"/>
              </w:rPr>
            </w:pPr>
            <w:r>
              <w:rPr>
                <w:rFonts w:hint="eastAsia" w:ascii="宋体" w:hAnsi="宋体" w:cs="宋体"/>
                <w:color w:val="auto"/>
                <w:highlight w:val="none"/>
              </w:rPr>
              <w:t>整体服务方案</w:t>
            </w:r>
          </w:p>
          <w:p>
            <w:pPr>
              <w:spacing w:line="276" w:lineRule="auto"/>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20分</w:t>
            </w:r>
            <w:r>
              <w:rPr>
                <w:rFonts w:hint="eastAsia" w:ascii="宋体" w:hAnsi="宋体" w:cs="宋体"/>
                <w:color w:val="auto"/>
                <w:highlight w:val="none"/>
                <w:lang w:eastAsia="zh-CN"/>
              </w:rPr>
              <w:t>）</w:t>
            </w:r>
          </w:p>
        </w:tc>
        <w:tc>
          <w:tcPr>
            <w:tcW w:w="6256" w:type="dxa"/>
            <w:tcBorders>
              <w:top w:val="single" w:color="auto" w:sz="6" w:space="0"/>
              <w:left w:val="single" w:color="auto" w:sz="4" w:space="0"/>
              <w:bottom w:val="single" w:color="auto" w:sz="4" w:space="0"/>
              <w:right w:val="single" w:color="auto" w:sz="12" w:space="0"/>
            </w:tcBorders>
            <w:vAlign w:val="center"/>
          </w:tcPr>
          <w:p>
            <w:pPr>
              <w:spacing w:line="276" w:lineRule="auto"/>
              <w:jc w:val="left"/>
              <w:rPr>
                <w:rFonts w:hint="eastAsia" w:asciiTheme="minorHAnsi" w:hAnsiTheme="minorHAnsi" w:eastAsiaTheme="minorEastAsia" w:cstheme="minorBidi"/>
                <w:color w:val="auto"/>
                <w:kern w:val="2"/>
                <w:sz w:val="21"/>
                <w:szCs w:val="24"/>
                <w:highlight w:val="none"/>
                <w:lang w:val="en-US" w:eastAsia="zh-CN" w:bidi="ar-SA"/>
              </w:rPr>
            </w:pPr>
            <w:r>
              <w:rPr>
                <w:rFonts w:hint="eastAsia" w:ascii="宋体" w:hAnsi="宋体" w:cs="宋体"/>
                <w:color w:val="auto"/>
                <w:highlight w:val="none"/>
              </w:rPr>
              <w:t>针对本项目</w:t>
            </w:r>
            <w:r>
              <w:rPr>
                <w:rFonts w:ascii="宋体" w:hAnsi="宋体" w:cs="宋体"/>
                <w:color w:val="auto"/>
                <w:szCs w:val="24"/>
                <w:highlight w:val="none"/>
              </w:rPr>
              <w:t>实地情况</w:t>
            </w:r>
            <w:r>
              <w:rPr>
                <w:rFonts w:hint="eastAsia" w:ascii="宋体" w:hAnsi="宋体" w:cs="宋体"/>
                <w:color w:val="auto"/>
                <w:highlight w:val="none"/>
              </w:rPr>
              <w:t>提供服务实施方案，包含但不限于服务进度安排、</w:t>
            </w:r>
            <w:r>
              <w:rPr>
                <w:rFonts w:hint="eastAsia" w:ascii="宋体" w:hAnsi="宋体" w:cs="宋体"/>
                <w:color w:val="auto"/>
                <w:highlight w:val="none"/>
                <w:lang w:val="en-US" w:eastAsia="zh-CN"/>
              </w:rPr>
              <w:t>对外协调（含施工环境协调措施）、</w:t>
            </w:r>
            <w:r>
              <w:rPr>
                <w:rFonts w:hint="eastAsia" w:ascii="宋体" w:hAnsi="宋体" w:cs="宋体"/>
                <w:color w:val="auto"/>
                <w:highlight w:val="none"/>
              </w:rPr>
              <w:t>内部管理制度、各岗位工作职责、人员安排配置、</w:t>
            </w:r>
            <w:r>
              <w:rPr>
                <w:rFonts w:ascii="宋体" w:hAnsi="宋体" w:cs="宋体"/>
                <w:color w:val="auto"/>
                <w:szCs w:val="24"/>
                <w:highlight w:val="none"/>
              </w:rPr>
              <w:t>环境管理体系及措施</w:t>
            </w:r>
            <w:r>
              <w:rPr>
                <w:rFonts w:hint="eastAsia" w:ascii="宋体" w:hAnsi="宋体" w:cs="宋体"/>
                <w:color w:val="auto"/>
                <w:szCs w:val="24"/>
                <w:highlight w:val="none"/>
                <w:lang w:eastAsia="zh-CN"/>
              </w:rPr>
              <w:t>、</w:t>
            </w:r>
            <w:r>
              <w:rPr>
                <w:rFonts w:ascii="宋体" w:hAnsi="宋体" w:cs="宋体"/>
                <w:color w:val="auto"/>
                <w:szCs w:val="24"/>
                <w:highlight w:val="none"/>
              </w:rPr>
              <w:t>现场秩序维护管理方案及措施</w:t>
            </w:r>
            <w:r>
              <w:rPr>
                <w:rFonts w:hint="eastAsia" w:ascii="宋体" w:hAnsi="宋体" w:cs="宋体"/>
                <w:color w:val="auto"/>
                <w:szCs w:val="24"/>
                <w:highlight w:val="none"/>
              </w:rPr>
              <w:t>、安全管理</w:t>
            </w:r>
            <w:r>
              <w:rPr>
                <w:rFonts w:hint="eastAsia" w:ascii="宋体" w:hAnsi="宋体" w:cs="宋体"/>
                <w:color w:val="auto"/>
                <w:highlight w:val="none"/>
              </w:rPr>
              <w:t>等方案内容完整详细、完全符合采购要求、各要求内容合理可行的计2</w:t>
            </w:r>
            <w:r>
              <w:rPr>
                <w:rFonts w:hint="eastAsia" w:ascii="宋体" w:hAnsi="宋体" w:cs="宋体"/>
                <w:color w:val="auto"/>
                <w:highlight w:val="none"/>
                <w:lang w:val="en-US" w:eastAsia="zh-CN"/>
              </w:rPr>
              <w:t>0</w:t>
            </w:r>
            <w:r>
              <w:rPr>
                <w:rFonts w:hint="eastAsia" w:ascii="宋体" w:hAnsi="宋体" w:cs="宋体"/>
                <w:color w:val="auto"/>
                <w:highlight w:val="none"/>
              </w:rPr>
              <w:t>分；</w:t>
            </w:r>
            <w:r>
              <w:rPr>
                <w:rFonts w:ascii="宋体" w:hAnsi="宋体" w:cs="宋体"/>
                <w:color w:val="auto"/>
                <w:szCs w:val="22"/>
                <w:highlight w:val="none"/>
              </w:rPr>
              <w:t>有缺漏项、欠合理、</w:t>
            </w:r>
            <w:r>
              <w:rPr>
                <w:rFonts w:hint="eastAsia" w:ascii="宋体" w:hAnsi="宋体" w:cs="宋体"/>
                <w:color w:val="auto"/>
                <w:szCs w:val="22"/>
                <w:highlight w:val="none"/>
              </w:rPr>
              <w:t>欠完善、</w:t>
            </w:r>
            <w:r>
              <w:rPr>
                <w:rFonts w:ascii="宋体" w:hAnsi="宋体" w:cs="宋体"/>
                <w:color w:val="auto"/>
                <w:szCs w:val="22"/>
                <w:highlight w:val="none"/>
              </w:rPr>
              <w:t>理解不透彻、针对性不强的每处扣</w:t>
            </w:r>
            <w:r>
              <w:rPr>
                <w:rFonts w:hint="eastAsia" w:ascii="宋体" w:hAnsi="宋体" w:cs="宋体"/>
                <w:color w:val="auto"/>
                <w:szCs w:val="22"/>
                <w:highlight w:val="none"/>
                <w:lang w:val="en-US" w:eastAsia="zh-CN"/>
              </w:rPr>
              <w:t>4</w:t>
            </w:r>
            <w:r>
              <w:rPr>
                <w:rFonts w:ascii="宋体" w:hAnsi="宋体" w:cs="宋体"/>
                <w:color w:val="auto"/>
                <w:szCs w:val="22"/>
                <w:highlight w:val="none"/>
              </w:rPr>
              <w:t>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pStyle w:val="305"/>
              <w:spacing w:line="360" w:lineRule="auto"/>
              <w:jc w:val="center"/>
              <w:rPr>
                <w:rFonts w:hint="eastAsia" w:ascii="宋体" w:hAnsi="宋体" w:eastAsia="宋体" w:cs="Times New Roman"/>
                <w:color w:val="auto"/>
                <w:sz w:val="24"/>
                <w:szCs w:val="24"/>
                <w:highlight w:val="none"/>
                <w:lang w:val="en-US" w:eastAsia="zh-CN" w:bidi="ar-SA"/>
              </w:rPr>
            </w:pPr>
            <w:r>
              <w:rPr>
                <w:rFonts w:hint="eastAsia" w:ascii="宋体" w:hAnsi="宋体" w:cs="宋体"/>
                <w:color w:val="auto"/>
                <w:sz w:val="21"/>
                <w:highlight w:val="none"/>
              </w:rPr>
              <w:t>机械设备</w:t>
            </w:r>
            <w:r>
              <w:rPr>
                <w:rFonts w:ascii="宋体" w:hAnsi="宋体" w:cs="宋体"/>
                <w:color w:val="auto"/>
                <w:sz w:val="21"/>
                <w:highlight w:val="none"/>
              </w:rPr>
              <w:t>管理方案</w:t>
            </w:r>
            <w:r>
              <w:rPr>
                <w:rFonts w:hint="eastAsia" w:ascii="宋体" w:hAnsi="宋体" w:cs="宋体"/>
                <w:color w:val="auto"/>
                <w:sz w:val="21"/>
                <w:highlight w:val="none"/>
                <w:lang w:eastAsia="zh-CN"/>
              </w:rPr>
              <w:t>（</w:t>
            </w:r>
            <w:r>
              <w:rPr>
                <w:rFonts w:hint="eastAsia" w:ascii="宋体" w:hAnsi="宋体" w:cs="宋体"/>
                <w:color w:val="auto"/>
                <w:sz w:val="21"/>
                <w:highlight w:val="none"/>
                <w:lang w:val="en-US" w:eastAsia="zh-CN"/>
              </w:rPr>
              <w:t>10分</w:t>
            </w:r>
            <w:r>
              <w:rPr>
                <w:rFonts w:hint="eastAsia" w:ascii="宋体" w:hAnsi="宋体" w:cs="宋体"/>
                <w:color w:val="auto"/>
                <w:sz w:val="21"/>
                <w:highlight w:val="none"/>
                <w:lang w:eastAsia="zh-CN"/>
              </w:rPr>
              <w:t>）</w:t>
            </w:r>
          </w:p>
        </w:tc>
        <w:tc>
          <w:tcPr>
            <w:tcW w:w="6256" w:type="dxa"/>
            <w:tcBorders>
              <w:top w:val="single" w:color="auto" w:sz="6" w:space="0"/>
              <w:left w:val="single" w:color="auto" w:sz="4" w:space="0"/>
              <w:bottom w:val="single" w:color="auto" w:sz="4" w:space="0"/>
              <w:right w:val="single" w:color="auto" w:sz="12" w:space="0"/>
            </w:tcBorders>
            <w:vAlign w:val="center"/>
          </w:tcPr>
          <w:p>
            <w:pPr>
              <w:spacing w:line="276" w:lineRule="auto"/>
              <w:jc w:val="left"/>
              <w:rPr>
                <w:rFonts w:hint="eastAsia" w:ascii="宋体" w:hAnsi="宋体" w:cs="宋体" w:eastAsiaTheme="minorEastAsia"/>
                <w:color w:val="auto"/>
                <w:kern w:val="2"/>
                <w:sz w:val="21"/>
                <w:szCs w:val="24"/>
                <w:highlight w:val="none"/>
                <w:lang w:val="en-US" w:eastAsia="zh-CN" w:bidi="ar-SA"/>
              </w:rPr>
            </w:pPr>
            <w:r>
              <w:rPr>
                <w:rFonts w:hint="eastAsia" w:ascii="宋体" w:hAnsi="宋体" w:cs="宋体"/>
                <w:color w:val="auto"/>
                <w:highlight w:val="none"/>
              </w:rPr>
              <w:t>针对本项目提供机械设备管理方案，包括但不限于配置方案、机械设备日常维修保养、</w:t>
            </w:r>
            <w:r>
              <w:rPr>
                <w:rFonts w:ascii="宋体" w:hAnsi="宋体" w:cs="宋体"/>
                <w:color w:val="auto"/>
                <w:highlight w:val="none"/>
              </w:rPr>
              <w:t>安全管理</w:t>
            </w:r>
            <w:r>
              <w:rPr>
                <w:rFonts w:hint="eastAsia" w:ascii="宋体" w:hAnsi="宋体" w:cs="宋体"/>
                <w:color w:val="auto"/>
                <w:highlight w:val="none"/>
              </w:rPr>
              <w:t>等</w:t>
            </w:r>
            <w:r>
              <w:rPr>
                <w:rFonts w:hint="eastAsia" w:ascii="宋体" w:hAnsi="宋体" w:cs="宋体"/>
                <w:color w:val="auto"/>
                <w:highlight w:val="none"/>
                <w:lang w:eastAsia="zh-CN"/>
              </w:rPr>
              <w:t>，</w:t>
            </w:r>
            <w:r>
              <w:rPr>
                <w:rFonts w:ascii="宋体" w:hAnsi="宋体" w:cs="宋体"/>
                <w:color w:val="auto"/>
                <w:highlight w:val="none"/>
              </w:rPr>
              <w:t>措施完整、符合采购要求、针对性强的计</w:t>
            </w:r>
            <w:r>
              <w:rPr>
                <w:rFonts w:hint="eastAsia" w:ascii="宋体" w:hAnsi="宋体" w:cs="宋体"/>
                <w:color w:val="auto"/>
                <w:highlight w:val="none"/>
                <w:lang w:val="en-US" w:eastAsia="zh-CN"/>
              </w:rPr>
              <w:t>10</w:t>
            </w:r>
            <w:r>
              <w:rPr>
                <w:rFonts w:ascii="宋体" w:hAnsi="宋体" w:cs="宋体"/>
                <w:color w:val="auto"/>
                <w:highlight w:val="none"/>
              </w:rPr>
              <w:t>分；</w:t>
            </w:r>
            <w:r>
              <w:rPr>
                <w:rFonts w:ascii="宋体" w:hAnsi="宋体" w:cs="宋体"/>
                <w:color w:val="auto"/>
                <w:szCs w:val="22"/>
                <w:highlight w:val="none"/>
              </w:rPr>
              <w:t>有缺漏项、欠合理、</w:t>
            </w:r>
            <w:r>
              <w:rPr>
                <w:rFonts w:hint="eastAsia" w:ascii="宋体" w:hAnsi="宋体" w:cs="宋体"/>
                <w:color w:val="auto"/>
                <w:szCs w:val="22"/>
                <w:highlight w:val="none"/>
              </w:rPr>
              <w:t>欠完善、</w:t>
            </w:r>
            <w:r>
              <w:rPr>
                <w:rFonts w:ascii="宋体" w:hAnsi="宋体" w:cs="宋体"/>
                <w:color w:val="auto"/>
                <w:szCs w:val="22"/>
                <w:highlight w:val="none"/>
              </w:rPr>
              <w:t>理解不透彻、针对性不强的每处扣</w:t>
            </w:r>
            <w:r>
              <w:rPr>
                <w:rFonts w:hint="eastAsia" w:ascii="宋体" w:hAnsi="宋体" w:cs="宋体"/>
                <w:color w:val="auto"/>
                <w:szCs w:val="22"/>
                <w:highlight w:val="none"/>
                <w:lang w:val="en-US" w:eastAsia="zh-CN"/>
              </w:rPr>
              <w:t>2</w:t>
            </w:r>
            <w:r>
              <w:rPr>
                <w:rFonts w:ascii="宋体" w:hAnsi="宋体" w:cs="宋体"/>
                <w:color w:val="auto"/>
                <w:szCs w:val="22"/>
                <w:highlight w:val="none"/>
              </w:rPr>
              <w:t>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pStyle w:val="305"/>
              <w:spacing w:line="360" w:lineRule="auto"/>
              <w:jc w:val="center"/>
              <w:rPr>
                <w:rFonts w:hint="eastAsia" w:ascii="宋体" w:hAnsi="宋体" w:eastAsia="宋体" w:cs="Times New Roman"/>
                <w:color w:val="auto"/>
                <w:sz w:val="24"/>
                <w:szCs w:val="24"/>
                <w:highlight w:val="none"/>
                <w:lang w:val="en-US" w:eastAsia="zh-CN" w:bidi="ar-SA"/>
              </w:rPr>
            </w:pPr>
            <w:r>
              <w:rPr>
                <w:rFonts w:ascii="宋体" w:hAnsi="宋体" w:cs="宋体"/>
                <w:color w:val="auto"/>
                <w:sz w:val="21"/>
                <w:highlight w:val="none"/>
              </w:rPr>
              <w:t>应急</w:t>
            </w:r>
            <w:r>
              <w:rPr>
                <w:rFonts w:hint="eastAsia" w:ascii="宋体" w:hAnsi="宋体" w:cs="宋体"/>
                <w:color w:val="auto"/>
                <w:sz w:val="21"/>
                <w:highlight w:val="none"/>
              </w:rPr>
              <w:t>方案</w:t>
            </w:r>
            <w:r>
              <w:rPr>
                <w:rFonts w:hint="eastAsia" w:ascii="宋体" w:hAnsi="宋体" w:cs="宋体"/>
                <w:color w:val="auto"/>
                <w:sz w:val="21"/>
                <w:highlight w:val="none"/>
                <w:lang w:eastAsia="zh-CN"/>
              </w:rPr>
              <w:t>（</w:t>
            </w:r>
            <w:r>
              <w:rPr>
                <w:rFonts w:hint="eastAsia" w:ascii="宋体" w:hAnsi="宋体" w:cs="宋体"/>
                <w:color w:val="auto"/>
                <w:sz w:val="21"/>
                <w:highlight w:val="none"/>
                <w:lang w:val="en-US" w:eastAsia="zh-CN"/>
              </w:rPr>
              <w:t>10分</w:t>
            </w:r>
            <w:r>
              <w:rPr>
                <w:rFonts w:hint="eastAsia" w:ascii="宋体" w:hAnsi="宋体" w:cs="宋体"/>
                <w:color w:val="auto"/>
                <w:sz w:val="21"/>
                <w:highlight w:val="none"/>
                <w:lang w:eastAsia="zh-CN"/>
              </w:rPr>
              <w:t>）</w:t>
            </w:r>
          </w:p>
        </w:tc>
        <w:tc>
          <w:tcPr>
            <w:tcW w:w="6256" w:type="dxa"/>
            <w:tcBorders>
              <w:top w:val="single" w:color="auto" w:sz="6" w:space="0"/>
              <w:left w:val="single" w:color="auto" w:sz="4" w:space="0"/>
              <w:bottom w:val="single" w:color="auto" w:sz="4" w:space="0"/>
              <w:right w:val="single" w:color="auto" w:sz="12" w:space="0"/>
            </w:tcBorders>
            <w:vAlign w:val="center"/>
          </w:tcPr>
          <w:p>
            <w:pPr>
              <w:spacing w:line="276" w:lineRule="auto"/>
              <w:jc w:val="left"/>
              <w:rPr>
                <w:rFonts w:hint="eastAsia" w:ascii="宋体" w:hAnsi="宋体" w:cs="宋体" w:eastAsiaTheme="minorEastAsia"/>
                <w:color w:val="auto"/>
                <w:kern w:val="2"/>
                <w:sz w:val="21"/>
                <w:szCs w:val="24"/>
                <w:highlight w:val="none"/>
                <w:lang w:val="en-US" w:eastAsia="zh-CN" w:bidi="ar-SA"/>
              </w:rPr>
            </w:pPr>
            <w:r>
              <w:rPr>
                <w:rFonts w:hint="eastAsia" w:ascii="宋体" w:hAnsi="宋体" w:cs="宋体"/>
                <w:color w:val="auto"/>
                <w:highlight w:val="none"/>
              </w:rPr>
              <w:t>针对本项目提供</w:t>
            </w:r>
            <w:r>
              <w:rPr>
                <w:rFonts w:ascii="宋体" w:hAnsi="宋体" w:cs="宋体"/>
                <w:color w:val="auto"/>
                <w:highlight w:val="none"/>
              </w:rPr>
              <w:t>应急</w:t>
            </w:r>
            <w:r>
              <w:rPr>
                <w:rFonts w:hint="eastAsia" w:ascii="宋体" w:hAnsi="宋体" w:cs="宋体"/>
                <w:color w:val="auto"/>
                <w:highlight w:val="none"/>
              </w:rPr>
              <w:t>方案，包括但不限于设备故障排险、重大或突发事件应急保障等。设备故障排险措施详细、重大或突发事件应急保障措施完整可行、针对性强的计10分；</w:t>
            </w:r>
            <w:r>
              <w:rPr>
                <w:rFonts w:ascii="宋体" w:hAnsi="宋体" w:cs="宋体"/>
                <w:color w:val="auto"/>
                <w:szCs w:val="22"/>
                <w:highlight w:val="none"/>
              </w:rPr>
              <w:t>有缺漏项、欠合理、</w:t>
            </w:r>
            <w:r>
              <w:rPr>
                <w:rFonts w:hint="eastAsia" w:ascii="宋体" w:hAnsi="宋体" w:cs="宋体"/>
                <w:color w:val="auto"/>
                <w:szCs w:val="22"/>
                <w:highlight w:val="none"/>
              </w:rPr>
              <w:t>欠完善、</w:t>
            </w:r>
            <w:r>
              <w:rPr>
                <w:rFonts w:ascii="宋体" w:hAnsi="宋体" w:cs="宋体"/>
                <w:color w:val="auto"/>
                <w:szCs w:val="22"/>
                <w:highlight w:val="none"/>
              </w:rPr>
              <w:t>理解不透彻、针对性不强的每处扣</w:t>
            </w:r>
            <w:r>
              <w:rPr>
                <w:rFonts w:hint="eastAsia" w:ascii="宋体" w:hAnsi="宋体" w:cs="宋体"/>
                <w:color w:val="auto"/>
                <w:szCs w:val="22"/>
                <w:highlight w:val="none"/>
                <w:lang w:val="en-US" w:eastAsia="zh-CN"/>
              </w:rPr>
              <w:t>2</w:t>
            </w:r>
            <w:r>
              <w:rPr>
                <w:rFonts w:ascii="宋体" w:hAnsi="宋体" w:cs="宋体"/>
                <w:color w:val="auto"/>
                <w:szCs w:val="22"/>
                <w:highlight w:val="none"/>
              </w:rPr>
              <w:t>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51" w:type="dxa"/>
            <w:vMerge w:val="restart"/>
            <w:tcBorders>
              <w:top w:val="single" w:color="auto" w:sz="4"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51" w:type="dxa"/>
            <w:vMerge w:val="restart"/>
            <w:tcBorders>
              <w:top w:val="single" w:color="auto" w:sz="4" w:space="0"/>
              <w:left w:val="single" w:color="auto" w:sz="6"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商务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商务</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none"/>
                <w:lang w:val="en-US" w:eastAsia="zh-CN"/>
              </w:rPr>
              <w:t>30</w:t>
            </w:r>
            <w:r>
              <w:rPr>
                <w:rFonts w:hint="eastAsia" w:ascii="宋体" w:hAnsi="宋体" w:eastAsia="宋体" w:cs="宋体"/>
                <w:color w:val="auto"/>
                <w:szCs w:val="21"/>
                <w:highlight w:val="none"/>
              </w:rPr>
              <w:t>分</w:t>
            </w:r>
          </w:p>
        </w:tc>
        <w:tc>
          <w:tcPr>
            <w:tcW w:w="1152" w:type="dxa"/>
            <w:tcBorders>
              <w:top w:val="single" w:color="auto" w:sz="4" w:space="0"/>
              <w:left w:val="single" w:color="auto" w:sz="6" w:space="0"/>
              <w:bottom w:val="single" w:color="auto" w:sz="6" w:space="0"/>
              <w:right w:val="single" w:color="auto" w:sz="4" w:space="0"/>
            </w:tcBorders>
            <w:vAlign w:val="center"/>
          </w:tcPr>
          <w:p>
            <w:pPr>
              <w:spacing w:line="276"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类似业绩</w:t>
            </w:r>
            <w:r>
              <w:rPr>
                <w:rFonts w:hint="eastAsia" w:ascii="宋体" w:hAnsi="宋体" w:cs="宋体"/>
                <w:color w:val="auto"/>
                <w:highlight w:val="none"/>
                <w:lang w:val="en-US" w:eastAsia="zh-CN"/>
              </w:rPr>
              <w:t>（</w:t>
            </w:r>
            <w:r>
              <w:rPr>
                <w:rFonts w:ascii="宋体" w:hAnsi="宋体" w:cs="宋体"/>
                <w:color w:val="auto"/>
                <w:szCs w:val="24"/>
                <w:highlight w:val="none"/>
              </w:rPr>
              <w:t>工程类机械租赁</w:t>
            </w:r>
            <w:r>
              <w:rPr>
                <w:rFonts w:hint="eastAsia" w:ascii="宋体" w:hAnsi="宋体" w:cs="宋体"/>
                <w:color w:val="auto"/>
                <w:szCs w:val="24"/>
                <w:highlight w:val="none"/>
                <w:lang w:val="en-US" w:eastAsia="zh-CN"/>
              </w:rPr>
              <w:t>和</w:t>
            </w:r>
            <w:r>
              <w:rPr>
                <w:rFonts w:ascii="宋体" w:hAnsi="宋体" w:cs="宋体"/>
                <w:color w:val="auto"/>
                <w:szCs w:val="24"/>
                <w:highlight w:val="none"/>
              </w:rPr>
              <w:t>劳务服务</w:t>
            </w:r>
            <w:r>
              <w:rPr>
                <w:rFonts w:hint="eastAsia" w:ascii="宋体" w:hAnsi="宋体" w:cs="宋体"/>
                <w:color w:val="auto"/>
                <w:highlight w:val="none"/>
                <w:lang w:val="en-US" w:eastAsia="zh-CN"/>
              </w:rPr>
              <w:t>）</w:t>
            </w:r>
          </w:p>
          <w:p>
            <w:pPr>
              <w:spacing w:line="276"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分）</w:t>
            </w:r>
          </w:p>
        </w:tc>
        <w:tc>
          <w:tcPr>
            <w:tcW w:w="6256" w:type="dxa"/>
            <w:tcBorders>
              <w:top w:val="single" w:color="auto" w:sz="4" w:space="0"/>
              <w:left w:val="single" w:color="auto" w:sz="4" w:space="0"/>
              <w:bottom w:val="single" w:color="auto" w:sz="4" w:space="0"/>
              <w:right w:val="single" w:color="auto" w:sz="12" w:space="0"/>
            </w:tcBorders>
            <w:vAlign w:val="center"/>
          </w:tcPr>
          <w:p>
            <w:pPr>
              <w:spacing w:line="276" w:lineRule="auto"/>
              <w:jc w:val="left"/>
              <w:rPr>
                <w:rFonts w:hint="eastAsia" w:ascii="宋体" w:hAnsi="宋体" w:cs="宋体"/>
                <w:color w:val="auto"/>
                <w:highlight w:val="none"/>
              </w:rPr>
            </w:pPr>
            <w:r>
              <w:rPr>
                <w:rFonts w:ascii="宋体" w:hAnsi="宋体" w:cs="宋体"/>
                <w:color w:val="auto"/>
                <w:szCs w:val="24"/>
                <w:highlight w:val="none"/>
              </w:rPr>
              <w:t>提供</w:t>
            </w:r>
            <w:r>
              <w:rPr>
                <w:rFonts w:hint="eastAsia" w:ascii="宋体" w:hAnsi="宋体" w:cs="宋体"/>
                <w:color w:val="auto"/>
                <w:szCs w:val="24"/>
                <w:highlight w:val="none"/>
                <w:lang w:val="en-US" w:eastAsia="zh-CN"/>
              </w:rPr>
              <w:t>近三年</w:t>
            </w:r>
            <w:r>
              <w:rPr>
                <w:rFonts w:hint="eastAsia" w:ascii="宋体" w:hAnsi="宋体" w:cs="宋体"/>
                <w:color w:val="auto"/>
                <w:highlight w:val="none"/>
                <w:lang w:val="en-US" w:eastAsia="zh-CN"/>
              </w:rPr>
              <w:t>（投标截止时间前36个月为有效）</w:t>
            </w:r>
            <w:r>
              <w:rPr>
                <w:rFonts w:ascii="宋体" w:hAnsi="宋体" w:cs="宋体"/>
                <w:color w:val="auto"/>
                <w:szCs w:val="24"/>
                <w:highlight w:val="none"/>
              </w:rPr>
              <w:t>工程类机械租赁</w:t>
            </w:r>
            <w:r>
              <w:rPr>
                <w:rFonts w:hint="eastAsia" w:ascii="宋体" w:hAnsi="宋体" w:cs="宋体"/>
                <w:color w:val="auto"/>
                <w:szCs w:val="24"/>
                <w:highlight w:val="none"/>
                <w:lang w:val="en-US" w:eastAsia="zh-CN"/>
              </w:rPr>
              <w:t>和</w:t>
            </w:r>
            <w:r>
              <w:rPr>
                <w:rFonts w:ascii="宋体" w:hAnsi="宋体" w:cs="宋体"/>
                <w:color w:val="auto"/>
                <w:szCs w:val="24"/>
                <w:highlight w:val="none"/>
              </w:rPr>
              <w:t>劳务服务项目业绩，每提供一个业绩计</w:t>
            </w:r>
            <w:r>
              <w:rPr>
                <w:rFonts w:hint="eastAsia" w:ascii="宋体" w:hAnsi="宋体" w:cs="宋体"/>
                <w:color w:val="auto"/>
                <w:szCs w:val="24"/>
                <w:highlight w:val="none"/>
                <w:lang w:val="en-US" w:eastAsia="zh-CN"/>
              </w:rPr>
              <w:t>3</w:t>
            </w:r>
            <w:r>
              <w:rPr>
                <w:rFonts w:ascii="宋体" w:hAnsi="宋体" w:cs="宋体"/>
                <w:color w:val="auto"/>
                <w:szCs w:val="24"/>
                <w:highlight w:val="none"/>
              </w:rPr>
              <w:t>分，最多计1</w:t>
            </w:r>
            <w:r>
              <w:rPr>
                <w:rFonts w:hint="eastAsia" w:ascii="宋体" w:hAnsi="宋体" w:cs="宋体"/>
                <w:color w:val="auto"/>
                <w:szCs w:val="24"/>
                <w:highlight w:val="none"/>
                <w:lang w:val="en-US" w:eastAsia="zh-CN"/>
              </w:rPr>
              <w:t>5</w:t>
            </w:r>
            <w:r>
              <w:rPr>
                <w:rFonts w:ascii="宋体" w:hAnsi="宋体" w:cs="宋体"/>
                <w:color w:val="auto"/>
                <w:szCs w:val="24"/>
                <w:highlight w:val="none"/>
              </w:rPr>
              <w:t>分。</w:t>
            </w:r>
          </w:p>
          <w:p>
            <w:pPr>
              <w:numPr>
                <w:ilvl w:val="0"/>
                <w:numId w:val="0"/>
              </w:numPr>
              <w:spacing w:line="276" w:lineRule="auto"/>
              <w:jc w:val="left"/>
              <w:rPr>
                <w:rFonts w:hint="eastAsia" w:ascii="宋体" w:hAnsi="宋体" w:cs="宋体"/>
                <w:color w:val="auto"/>
                <w:szCs w:val="24"/>
                <w:highlight w:val="none"/>
                <w:lang w:eastAsia="zh-CN"/>
              </w:rPr>
            </w:pPr>
            <w:r>
              <w:rPr>
                <w:rFonts w:hint="eastAsia" w:ascii="宋体" w:hAnsi="宋体" w:cs="宋体"/>
                <w:color w:val="auto"/>
                <w:highlight w:val="none"/>
                <w:lang w:val="en-US" w:eastAsia="zh-CN"/>
              </w:rPr>
              <w:t>注：1.类似业绩必须同时包含</w:t>
            </w:r>
            <w:r>
              <w:rPr>
                <w:rFonts w:ascii="宋体" w:hAnsi="宋体" w:cs="宋体"/>
                <w:color w:val="auto"/>
                <w:szCs w:val="24"/>
                <w:highlight w:val="none"/>
              </w:rPr>
              <w:t>工程类机械租赁</w:t>
            </w:r>
            <w:r>
              <w:rPr>
                <w:rFonts w:hint="eastAsia" w:ascii="宋体" w:hAnsi="宋体" w:cs="宋体"/>
                <w:color w:val="auto"/>
                <w:szCs w:val="24"/>
                <w:highlight w:val="none"/>
                <w:lang w:val="en-US" w:eastAsia="zh-CN"/>
              </w:rPr>
              <w:t>和</w:t>
            </w:r>
            <w:r>
              <w:rPr>
                <w:rFonts w:ascii="宋体" w:hAnsi="宋体" w:cs="宋体"/>
                <w:color w:val="auto"/>
                <w:szCs w:val="24"/>
                <w:highlight w:val="none"/>
              </w:rPr>
              <w:t>劳务服务</w:t>
            </w:r>
            <w:r>
              <w:rPr>
                <w:rFonts w:hint="eastAsia" w:ascii="宋体" w:hAnsi="宋体" w:cs="宋体"/>
                <w:color w:val="auto"/>
                <w:szCs w:val="24"/>
                <w:highlight w:val="none"/>
                <w:lang w:val="en-US" w:eastAsia="zh-CN"/>
              </w:rPr>
              <w:t>相关内容</w:t>
            </w:r>
            <w:r>
              <w:rPr>
                <w:rFonts w:hint="eastAsia" w:ascii="宋体" w:hAnsi="宋体" w:cs="宋体"/>
                <w:color w:val="auto"/>
                <w:szCs w:val="24"/>
                <w:highlight w:val="none"/>
                <w:lang w:eastAsia="zh-CN"/>
              </w:rPr>
              <w:t>；</w:t>
            </w:r>
          </w:p>
          <w:p>
            <w:pPr>
              <w:numPr>
                <w:ilvl w:val="0"/>
                <w:numId w:val="0"/>
              </w:numPr>
              <w:spacing w:line="276" w:lineRule="auto"/>
              <w:jc w:val="left"/>
              <w:rPr>
                <w:rFonts w:hint="eastAsia" w:ascii="宋体" w:hAnsi="宋体" w:cs="宋体" w:eastAsiaTheme="minorEastAsia"/>
                <w:color w:val="auto"/>
                <w:kern w:val="2"/>
                <w:sz w:val="21"/>
                <w:szCs w:val="24"/>
                <w:highlight w:val="none"/>
                <w:lang w:val="en-US" w:eastAsia="zh-CN" w:bidi="ar-SA"/>
              </w:rPr>
            </w:pPr>
            <w:r>
              <w:rPr>
                <w:rFonts w:hint="eastAsia" w:ascii="宋体" w:hAnsi="宋体" w:cs="宋体"/>
                <w:color w:val="auto"/>
                <w:szCs w:val="24"/>
                <w:highlight w:val="none"/>
                <w:lang w:val="en-US" w:eastAsia="zh-CN"/>
              </w:rPr>
              <w:t>2.</w:t>
            </w:r>
            <w:r>
              <w:rPr>
                <w:rFonts w:hint="eastAsia" w:ascii="宋体" w:hAnsi="宋体" w:cs="宋体"/>
                <w:color w:val="auto"/>
                <w:highlight w:val="none"/>
                <w:lang w:val="en-US" w:eastAsia="zh-CN"/>
              </w:rPr>
              <w:t>类似业绩</w:t>
            </w:r>
            <w:r>
              <w:rPr>
                <w:rFonts w:hint="eastAsia" w:ascii="宋体" w:hAnsi="宋体" w:cs="宋体"/>
                <w:color w:val="auto"/>
                <w:highlight w:val="none"/>
              </w:rPr>
              <w:t>需提供合同</w:t>
            </w:r>
            <w:r>
              <w:rPr>
                <w:rFonts w:hint="eastAsia" w:ascii="宋体" w:hAnsi="宋体" w:cs="宋体"/>
                <w:color w:val="auto"/>
                <w:highlight w:val="none"/>
                <w:lang w:val="en-US" w:eastAsia="zh-CN"/>
              </w:rPr>
              <w:t>复印</w:t>
            </w:r>
            <w:r>
              <w:rPr>
                <w:rFonts w:hint="eastAsia" w:ascii="宋体" w:hAnsi="宋体" w:cs="宋体"/>
                <w:color w:val="auto"/>
                <w:highlight w:val="none"/>
              </w:rPr>
              <w:t>件</w:t>
            </w:r>
            <w:r>
              <w:rPr>
                <w:rFonts w:hint="eastAsia" w:ascii="宋体" w:hAnsi="宋体" w:eastAsia="宋体" w:cs="宋体"/>
                <w:color w:val="auto"/>
                <w:highlight w:val="none"/>
                <w:lang w:val="en-US" w:eastAsia="zh-CN"/>
              </w:rPr>
              <w:t>（时间以合同签订时间为准）</w:t>
            </w:r>
            <w:r>
              <w:rPr>
                <w:rFonts w:hint="eastAsia" w:ascii="宋体" w:hAnsi="宋体" w:cs="宋体"/>
                <w:color w:val="auto"/>
                <w:highlight w:val="none"/>
              </w:rPr>
              <w:t>并加盖供应商</w:t>
            </w:r>
            <w:r>
              <w:rPr>
                <w:rFonts w:hint="eastAsia" w:ascii="宋体" w:hAnsi="宋体" w:cs="宋体"/>
                <w:color w:val="auto"/>
                <w:highlight w:val="none"/>
                <w:lang w:val="en-US" w:eastAsia="zh-CN"/>
              </w:rPr>
              <w:t>公</w:t>
            </w:r>
            <w:r>
              <w:rPr>
                <w:rFonts w:hint="eastAsia" w:ascii="宋体" w:hAnsi="宋体" w:cs="宋体"/>
                <w:color w:val="auto"/>
                <w:highlight w:val="none"/>
              </w:rPr>
              <w:t>章，否则不计分</w:t>
            </w:r>
            <w:r>
              <w:rPr>
                <w:rFonts w:hint="eastAsia" w:ascii="宋体" w:hAnsi="宋体" w:cs="宋体"/>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spacing w:line="276"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类似业绩</w:t>
            </w:r>
            <w:r>
              <w:rPr>
                <w:rFonts w:hint="eastAsia" w:ascii="宋体" w:hAnsi="宋体" w:cs="宋体"/>
                <w:color w:val="auto"/>
                <w:highlight w:val="none"/>
                <w:lang w:val="en-US" w:eastAsia="zh-CN"/>
              </w:rPr>
              <w:t>（</w:t>
            </w:r>
            <w:r>
              <w:rPr>
                <w:rFonts w:hint="eastAsia" w:ascii="宋体" w:hAnsi="宋体" w:cs="宋体"/>
                <w:color w:val="auto"/>
                <w:szCs w:val="24"/>
                <w:highlight w:val="none"/>
              </w:rPr>
              <w:t>渣土</w:t>
            </w:r>
            <w:r>
              <w:rPr>
                <w:rFonts w:hint="eastAsia" w:ascii="宋体" w:hAnsi="宋体" w:cs="宋体"/>
                <w:color w:val="auto"/>
                <w:szCs w:val="24"/>
                <w:highlight w:val="none"/>
                <w:lang w:val="en-US" w:eastAsia="zh-CN"/>
              </w:rPr>
              <w:t>回填</w:t>
            </w:r>
            <w:r>
              <w:rPr>
                <w:rFonts w:hint="eastAsia" w:ascii="宋体" w:hAnsi="宋体" w:cs="宋体"/>
                <w:color w:val="auto"/>
                <w:szCs w:val="24"/>
                <w:highlight w:val="none"/>
              </w:rPr>
              <w:t>场运营或土方施工</w:t>
            </w:r>
            <w:r>
              <w:rPr>
                <w:rFonts w:hint="eastAsia" w:ascii="宋体" w:hAnsi="宋体" w:cs="宋体"/>
                <w:color w:val="auto"/>
                <w:highlight w:val="none"/>
                <w:lang w:val="en-US" w:eastAsia="zh-CN"/>
              </w:rPr>
              <w:t>）</w:t>
            </w:r>
          </w:p>
          <w:p>
            <w:pPr>
              <w:spacing w:line="276"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分）</w:t>
            </w:r>
          </w:p>
        </w:tc>
        <w:tc>
          <w:tcPr>
            <w:tcW w:w="6256" w:type="dxa"/>
            <w:tcBorders>
              <w:top w:val="single" w:color="auto" w:sz="4" w:space="0"/>
              <w:left w:val="single" w:color="auto" w:sz="4" w:space="0"/>
              <w:bottom w:val="single" w:color="auto" w:sz="4" w:space="0"/>
              <w:right w:val="single" w:color="auto" w:sz="12" w:space="0"/>
            </w:tcBorders>
            <w:vAlign w:val="center"/>
          </w:tcPr>
          <w:p>
            <w:pPr>
              <w:spacing w:line="276" w:lineRule="auto"/>
              <w:jc w:val="left"/>
              <w:rPr>
                <w:rFonts w:hint="default" w:ascii="宋体" w:hAnsi="宋体" w:cs="宋体"/>
                <w:color w:val="auto"/>
                <w:highlight w:val="none"/>
                <w:lang w:val="en-US" w:eastAsia="zh-CN"/>
              </w:rPr>
            </w:pPr>
            <w:r>
              <w:rPr>
                <w:rFonts w:hint="eastAsia" w:ascii="宋体" w:hAnsi="宋体" w:cs="宋体"/>
                <w:color w:val="auto"/>
                <w:szCs w:val="24"/>
                <w:highlight w:val="none"/>
              </w:rPr>
              <w:t>提供近三年</w:t>
            </w:r>
            <w:r>
              <w:rPr>
                <w:rFonts w:hint="eastAsia" w:ascii="宋体" w:hAnsi="宋体" w:cs="宋体"/>
                <w:color w:val="auto"/>
                <w:highlight w:val="none"/>
                <w:lang w:val="en-US" w:eastAsia="zh-CN"/>
              </w:rPr>
              <w:t>（投标截止时间前36个月为有效）</w:t>
            </w:r>
            <w:r>
              <w:rPr>
                <w:rFonts w:hint="eastAsia" w:ascii="宋体" w:hAnsi="宋体" w:cs="宋体"/>
                <w:color w:val="auto"/>
                <w:szCs w:val="24"/>
                <w:highlight w:val="none"/>
              </w:rPr>
              <w:t>不少于</w:t>
            </w:r>
            <w:r>
              <w:rPr>
                <w:rFonts w:hint="eastAsia" w:ascii="宋体" w:hAnsi="宋体" w:cs="宋体"/>
                <w:color w:val="auto"/>
                <w:szCs w:val="24"/>
                <w:highlight w:val="none"/>
                <w:lang w:val="en-US" w:eastAsia="zh-CN"/>
              </w:rPr>
              <w:t>10</w:t>
            </w:r>
            <w:r>
              <w:rPr>
                <w:rFonts w:hint="eastAsia" w:ascii="宋体" w:hAnsi="宋体" w:cs="宋体"/>
                <w:color w:val="auto"/>
                <w:szCs w:val="24"/>
                <w:highlight w:val="none"/>
              </w:rPr>
              <w:t>万方的渣土</w:t>
            </w:r>
            <w:r>
              <w:rPr>
                <w:rFonts w:hint="eastAsia" w:ascii="宋体" w:hAnsi="宋体" w:cs="宋体"/>
                <w:color w:val="auto"/>
                <w:szCs w:val="24"/>
                <w:highlight w:val="none"/>
                <w:lang w:val="en-US" w:eastAsia="zh-CN"/>
              </w:rPr>
              <w:t>回填</w:t>
            </w:r>
            <w:r>
              <w:rPr>
                <w:rFonts w:hint="eastAsia" w:ascii="宋体" w:hAnsi="宋体" w:cs="宋体"/>
                <w:color w:val="auto"/>
                <w:szCs w:val="24"/>
                <w:highlight w:val="none"/>
              </w:rPr>
              <w:t>场运营或土方施工的项目业绩，每提供一个业绩计</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分，最多计</w:t>
            </w:r>
            <w:r>
              <w:rPr>
                <w:rFonts w:hint="eastAsia" w:ascii="宋体" w:hAnsi="宋体" w:cs="宋体"/>
                <w:color w:val="auto"/>
                <w:szCs w:val="24"/>
                <w:highlight w:val="none"/>
                <w:lang w:val="en-US" w:eastAsia="zh-CN"/>
              </w:rPr>
              <w:t>15</w:t>
            </w:r>
            <w:r>
              <w:rPr>
                <w:rFonts w:hint="eastAsia" w:ascii="宋体" w:hAnsi="宋体" w:cs="宋体"/>
                <w:color w:val="auto"/>
                <w:szCs w:val="24"/>
                <w:highlight w:val="none"/>
              </w:rPr>
              <w:t>分。</w:t>
            </w:r>
          </w:p>
          <w:p>
            <w:pPr>
              <w:spacing w:line="276" w:lineRule="auto"/>
              <w:jc w:val="left"/>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注：类似业绩</w:t>
            </w:r>
            <w:r>
              <w:rPr>
                <w:rFonts w:hint="eastAsia" w:ascii="宋体" w:hAnsi="宋体" w:cs="宋体"/>
                <w:color w:val="auto"/>
                <w:highlight w:val="none"/>
              </w:rPr>
              <w:t>需提供合同</w:t>
            </w:r>
            <w:r>
              <w:rPr>
                <w:rFonts w:hint="eastAsia" w:ascii="宋体" w:hAnsi="宋体" w:cs="宋体"/>
                <w:color w:val="auto"/>
                <w:highlight w:val="none"/>
                <w:lang w:val="en-US" w:eastAsia="zh-CN"/>
              </w:rPr>
              <w:t>复印</w:t>
            </w:r>
            <w:r>
              <w:rPr>
                <w:rFonts w:hint="eastAsia" w:ascii="宋体" w:hAnsi="宋体" w:cs="宋体"/>
                <w:color w:val="auto"/>
                <w:highlight w:val="none"/>
              </w:rPr>
              <w:t>件</w:t>
            </w:r>
            <w:r>
              <w:rPr>
                <w:rFonts w:hint="eastAsia" w:ascii="宋体" w:hAnsi="宋体" w:eastAsia="宋体" w:cs="宋体"/>
                <w:color w:val="auto"/>
                <w:highlight w:val="none"/>
                <w:lang w:val="en-US" w:eastAsia="zh-CN"/>
              </w:rPr>
              <w:t>（时间以合同签订时间为准）</w:t>
            </w:r>
            <w:r>
              <w:rPr>
                <w:rFonts w:hint="eastAsia" w:ascii="宋体" w:hAnsi="宋体" w:cs="宋体"/>
                <w:color w:val="auto"/>
                <w:highlight w:val="none"/>
              </w:rPr>
              <w:t>并加盖供应商</w:t>
            </w:r>
            <w:r>
              <w:rPr>
                <w:rFonts w:hint="eastAsia" w:ascii="宋体" w:hAnsi="宋体" w:cs="宋体"/>
                <w:color w:val="auto"/>
                <w:highlight w:val="none"/>
                <w:lang w:val="en-US" w:eastAsia="zh-CN"/>
              </w:rPr>
              <w:t>公</w:t>
            </w:r>
            <w:r>
              <w:rPr>
                <w:rFonts w:hint="eastAsia" w:ascii="宋体" w:hAnsi="宋体" w:cs="宋体"/>
                <w:color w:val="auto"/>
                <w:highlight w:val="none"/>
              </w:rPr>
              <w:t>章，否则不计分</w:t>
            </w:r>
            <w:r>
              <w:rPr>
                <w:rFonts w:hint="eastAsia" w:ascii="宋体" w:hAnsi="宋体" w:cs="宋体"/>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51"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3</w:t>
            </w: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磋商报价</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w:t>
            </w:r>
          </w:p>
        </w:tc>
        <w:tc>
          <w:tcPr>
            <w:tcW w:w="7408" w:type="dxa"/>
            <w:gridSpan w:val="2"/>
            <w:tcBorders>
              <w:top w:val="single" w:color="auto" w:sz="6" w:space="0"/>
              <w:left w:val="single" w:color="auto" w:sz="6" w:space="0"/>
              <w:bottom w:val="single" w:color="auto" w:sz="12" w:space="0"/>
              <w:right w:val="single" w:color="auto" w:sz="12" w:space="0"/>
            </w:tcBorders>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1、满足磋商文件要求且最后报价最低的供应商的价格为磋商基准价，其价格分为满分。其他供应商的价格分统一按照下列公式计算：</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磋商报价得分=（磋商基准价/最后磋商报价）×价格权值×100；</w:t>
            </w:r>
          </w:p>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2、价格评审过程中，不得去掉最后报价中的最高报价和最低报价。</w:t>
            </w:r>
          </w:p>
        </w:tc>
      </w:tr>
    </w:tbl>
    <w:p>
      <w:pPr>
        <w:adjustRightInd w:val="0"/>
        <w:snapToGrid w:val="0"/>
        <w:spacing w:line="312" w:lineRule="auto"/>
        <w:rPr>
          <w:rFonts w:hint="eastAsia" w:ascii="宋体" w:hAnsi="宋体" w:eastAsia="宋体" w:cs="宋体"/>
          <w:bCs/>
          <w:color w:val="auto"/>
          <w:sz w:val="20"/>
          <w:szCs w:val="20"/>
        </w:rPr>
      </w:pP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cs="宋体"/>
          <w:b/>
          <w:bCs/>
          <w:color w:val="auto"/>
          <w:sz w:val="24"/>
        </w:rPr>
      </w:pPr>
      <w:r>
        <w:rPr>
          <w:rFonts w:hint="eastAsia" w:ascii="宋体" w:hAnsi="宋体" w:cs="宋体"/>
          <w:color w:val="auto"/>
          <w:highlight w:val="none"/>
          <w:lang w:val="en-US" w:eastAsia="zh-CN"/>
        </w:rPr>
        <w:t>注：供应商参与政府采购应提供真实有效的证明材料，应当诚信守法、公平竞争。如有以提供虚假材料（包括但不限于虚假技术参数响应、虚假制造商产品彩页、虚假业绩、虚假证书等）、隐瞒失信信息等谋取中标的行为，一经发现，将报相关监管部门严肃查处。</w:t>
      </w: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ascii="宋体" w:hAnsi="宋体" w:cs="宋体"/>
          <w:b/>
          <w:bCs/>
          <w:color w:val="auto"/>
          <w:sz w:val="24"/>
        </w:rPr>
      </w:pPr>
      <w:r>
        <w:rPr>
          <w:rFonts w:hint="eastAsia" w:ascii="宋体" w:hAnsi="宋体" w:cs="宋体"/>
          <w:b/>
          <w:bCs/>
          <w:color w:val="auto"/>
          <w:sz w:val="24"/>
        </w:rPr>
        <w:t>磋商须知正文</w:t>
      </w:r>
    </w:p>
    <w:p>
      <w:pPr>
        <w:adjustRightInd w:val="0"/>
        <w:snapToGrid w:val="0"/>
        <w:spacing w:line="360" w:lineRule="auto"/>
        <w:rPr>
          <w:rFonts w:ascii="宋体" w:hAnsi="宋体" w:cs="宋体"/>
          <w:color w:val="auto"/>
          <w:sz w:val="24"/>
        </w:rPr>
      </w:pPr>
      <w:r>
        <w:rPr>
          <w:rFonts w:hint="eastAsia" w:ascii="宋体" w:hAnsi="宋体" w:cs="宋体"/>
          <w:color w:val="auto"/>
          <w:sz w:val="24"/>
        </w:rPr>
        <w:t>一、说明</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1.适用范围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 本磋商文件仅适用于磋商须知前附表(以下简称</w:t>
      </w:r>
      <w:r>
        <w:rPr>
          <w:rFonts w:hint="eastAsia" w:ascii="宋体" w:hAnsi="宋体" w:cs="宋体"/>
          <w:b/>
          <w:color w:val="auto"/>
          <w:szCs w:val="21"/>
        </w:rPr>
        <w:t>磋商须知前附表)</w:t>
      </w:r>
      <w:r>
        <w:rPr>
          <w:rFonts w:hint="eastAsia" w:ascii="宋体" w:hAnsi="宋体" w:cs="宋体"/>
          <w:color w:val="auto"/>
          <w:szCs w:val="21"/>
        </w:rPr>
        <w:t>中所叙述的采购项目。</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2.定义</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2.1 “采购人”是指依法进行采购的国家机关、事业单位、团体组织。本次采购的采购人名称、地址、电话、联系人见</w:t>
      </w:r>
      <w:r>
        <w:rPr>
          <w:rFonts w:hint="eastAsia" w:ascii="宋体" w:hAnsi="宋体" w:cs="宋体"/>
          <w:b/>
          <w:color w:val="auto"/>
          <w:szCs w:val="21"/>
        </w:rPr>
        <w:t>磋商须知前附表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2.2 “采购代理机构”是指接受采购人委托，代理采购项目的集中采购机构和其它采购代理机构。本次采购的采购代理机构名称、地址、电话、联系人见</w:t>
      </w:r>
      <w:r>
        <w:rPr>
          <w:rFonts w:hint="eastAsia" w:ascii="宋体" w:hAnsi="宋体" w:cs="宋体"/>
          <w:b/>
          <w:color w:val="auto"/>
          <w:szCs w:val="21"/>
        </w:rPr>
        <w:t>磋商须知前附表。</w:t>
      </w:r>
    </w:p>
    <w:p>
      <w:pPr>
        <w:adjustRightInd w:val="0"/>
        <w:snapToGrid w:val="0"/>
        <w:spacing w:line="360" w:lineRule="auto"/>
        <w:ind w:firstLine="420" w:firstLineChars="200"/>
        <w:rPr>
          <w:rFonts w:ascii="宋体" w:hAnsi="宋体" w:cs="宋体"/>
          <w:bCs/>
          <w:color w:val="auto"/>
          <w:kern w:val="36"/>
          <w:szCs w:val="21"/>
        </w:rPr>
      </w:pPr>
      <w:r>
        <w:rPr>
          <w:rFonts w:hint="eastAsia" w:ascii="宋体" w:hAnsi="宋体" w:cs="宋体"/>
          <w:color w:val="auto"/>
          <w:szCs w:val="21"/>
        </w:rPr>
        <w:t>2.3 “供应商”是指响应磋商文件要求、参加竞争性磋商采购的法人、其它组织或者自然人。本次采购项目</w:t>
      </w:r>
      <w:r>
        <w:rPr>
          <w:rFonts w:hint="eastAsia" w:ascii="宋体" w:hAnsi="宋体" w:cs="宋体"/>
          <w:color w:val="auto"/>
          <w:kern w:val="0"/>
          <w:szCs w:val="21"/>
        </w:rPr>
        <w:t>邀请</w:t>
      </w:r>
      <w:r>
        <w:rPr>
          <w:rFonts w:hint="eastAsia" w:ascii="宋体" w:hAnsi="宋体" w:cs="宋体"/>
          <w:color w:val="auto"/>
          <w:szCs w:val="21"/>
        </w:rPr>
        <w:t>的</w:t>
      </w:r>
      <w:r>
        <w:rPr>
          <w:rFonts w:hint="eastAsia" w:ascii="宋体" w:hAnsi="宋体" w:cs="宋体"/>
          <w:color w:val="auto"/>
          <w:kern w:val="0"/>
          <w:szCs w:val="21"/>
        </w:rPr>
        <w:t>供应商通过</w:t>
      </w:r>
      <w:r>
        <w:rPr>
          <w:rFonts w:hint="eastAsia" w:ascii="宋体" w:hAnsi="宋体" w:cs="宋体"/>
          <w:b/>
          <w:color w:val="auto"/>
          <w:szCs w:val="21"/>
        </w:rPr>
        <w:t>磋商须知前附表</w:t>
      </w:r>
      <w:r>
        <w:rPr>
          <w:rFonts w:hint="eastAsia" w:ascii="宋体" w:hAnsi="宋体" w:cs="宋体"/>
          <w:color w:val="auto"/>
          <w:szCs w:val="21"/>
        </w:rPr>
        <w:t>所述方式</w:t>
      </w:r>
      <w:r>
        <w:rPr>
          <w:rFonts w:hint="eastAsia" w:ascii="宋体" w:hAnsi="宋体" w:cs="宋体"/>
          <w:color w:val="auto"/>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2.4 “磋商小组”是指</w:t>
      </w:r>
      <w:r>
        <w:rPr>
          <w:rFonts w:hint="eastAsia" w:ascii="宋体" w:hAnsi="宋体" w:cs="宋体"/>
          <w:color w:val="auto"/>
          <w:kern w:val="0"/>
          <w:szCs w:val="21"/>
        </w:rPr>
        <w:t>依据财政部</w:t>
      </w:r>
      <w:r>
        <w:rPr>
          <w:rFonts w:hint="eastAsia" w:ascii="宋体" w:hAnsi="宋体" w:cs="宋体"/>
          <w:bCs/>
          <w:color w:val="auto"/>
          <w:kern w:val="36"/>
          <w:szCs w:val="21"/>
        </w:rPr>
        <w:t>《政府采购竞争性磋商采购方式管理暂行办法》有关规定组建，依法依规</w:t>
      </w:r>
      <w:r>
        <w:rPr>
          <w:rFonts w:hint="eastAsia" w:ascii="宋体" w:hAnsi="宋体" w:cs="宋体"/>
          <w:color w:val="auto"/>
          <w:kern w:val="0"/>
          <w:szCs w:val="21"/>
        </w:rPr>
        <w:t>履行其职责和义务的机构。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2.5 “货物”是指各种形态和种类的物品，包括原资料、燃料、设备、产品等，详见《政府采购品目分类目录》(</w:t>
      </w:r>
      <w:r>
        <w:rPr>
          <w:rStyle w:val="50"/>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 “工程”是指建设工程，包括建筑物和构筑物的新建、改建、扩建、装修、拆除、修缮等，详见《政府采购品目分类目录》(</w:t>
      </w:r>
      <w:r>
        <w:rPr>
          <w:rStyle w:val="50"/>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 “服务”是指除货物和工程以外的其它政府采购对象，详见《政府采购品目分类目录》(</w:t>
      </w:r>
      <w:r>
        <w:rPr>
          <w:rStyle w:val="50"/>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3.供应商的资格要求</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 供应商应当符合</w:t>
      </w:r>
      <w:r>
        <w:rPr>
          <w:rFonts w:hint="eastAsia" w:ascii="宋体" w:hAnsi="宋体" w:cs="宋体"/>
          <w:b/>
          <w:color w:val="auto"/>
          <w:szCs w:val="21"/>
        </w:rPr>
        <w:t>磋商须知前附表</w:t>
      </w:r>
      <w:r>
        <w:rPr>
          <w:rFonts w:hint="eastAsia" w:ascii="宋体" w:hAnsi="宋体" w:cs="宋体"/>
          <w:color w:val="auto"/>
          <w:szCs w:val="21"/>
        </w:rPr>
        <w:t>中规定的资格条件要求。</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3.2供应商</w:t>
      </w:r>
      <w:r>
        <w:rPr>
          <w:rFonts w:hint="eastAsia" w:ascii="宋体" w:hAnsi="宋体" w:cs="宋体"/>
          <w:color w:val="auto"/>
        </w:rPr>
        <w:t>为联合体形式的</w:t>
      </w:r>
      <w:r>
        <w:rPr>
          <w:rFonts w:hint="eastAsia" w:ascii="宋体" w:hAnsi="宋体" w:cs="宋体"/>
          <w:color w:val="auto"/>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3.3 供应商不得存在下列情形之一：</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（l）与采购人、采购代理机构存在</w:t>
      </w:r>
      <w:r>
        <w:rPr>
          <w:rFonts w:hint="eastAsia" w:ascii="宋体" w:hAnsi="宋体" w:cs="宋体"/>
          <w:bCs/>
          <w:color w:val="auto"/>
          <w:szCs w:val="21"/>
        </w:rPr>
        <w:t>隶属关系或者其它利害关系</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bCs/>
          <w:color w:val="auto"/>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color w:val="auto"/>
          <w:szCs w:val="21"/>
        </w:rPr>
        <w:t>财政部门认定的其它重大违法记录。</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 xml:space="preserve">4.参与磋商的费用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 无论磋商的结果如何，供应商应自行承担所有与竞争性磋商采购活动有关的全部费用。</w:t>
      </w:r>
    </w:p>
    <w:p>
      <w:pPr>
        <w:pStyle w:val="24"/>
        <w:adjustRightInd w:val="0"/>
        <w:snapToGrid w:val="0"/>
        <w:spacing w:line="360" w:lineRule="auto"/>
        <w:rPr>
          <w:rFonts w:hAnsi="宋体" w:cs="宋体"/>
          <w:b/>
          <w:bCs/>
          <w:color w:val="auto"/>
        </w:rPr>
      </w:pPr>
      <w:r>
        <w:rPr>
          <w:rFonts w:hint="eastAsia" w:hAnsi="宋体" w:cs="宋体"/>
          <w:b/>
          <w:color w:val="auto"/>
        </w:rPr>
        <w:t>5．</w:t>
      </w:r>
      <w:r>
        <w:rPr>
          <w:rFonts w:hint="eastAsia" w:hAnsi="宋体" w:cs="宋体"/>
          <w:b/>
          <w:bCs/>
          <w:color w:val="auto"/>
        </w:rPr>
        <w:t>授权委托</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color w:val="auto"/>
        </w:rPr>
      </w:pPr>
      <w:r>
        <w:rPr>
          <w:rFonts w:hint="eastAsia" w:hAnsi="宋体" w:cs="宋体"/>
          <w:b/>
          <w:color w:val="auto"/>
        </w:rPr>
        <w:t>6．联合体形式</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6.1除</w:t>
      </w:r>
      <w:r>
        <w:rPr>
          <w:rFonts w:hint="eastAsia" w:hAnsi="宋体" w:cs="宋体"/>
          <w:b/>
          <w:color w:val="auto"/>
        </w:rPr>
        <w:t>磋商须知前附表</w:t>
      </w:r>
      <w:r>
        <w:rPr>
          <w:rFonts w:hint="eastAsia" w:hAnsi="宋体" w:cs="宋体"/>
          <w:color w:val="auto"/>
        </w:rPr>
        <w:t>中另有规定，本次谈判采购不接受为联合体形式的供应商。</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6.2供应商</w:t>
      </w:r>
      <w:r>
        <w:rPr>
          <w:rFonts w:hint="eastAsia" w:ascii="宋体" w:hAnsi="宋体" w:cs="宋体"/>
          <w:color w:val="auto"/>
        </w:rPr>
        <w:t>为联合体形式的</w:t>
      </w:r>
      <w:r>
        <w:rPr>
          <w:rFonts w:hint="eastAsia" w:ascii="宋体" w:hAnsi="宋体" w:cs="宋体"/>
          <w:color w:val="auto"/>
          <w:szCs w:val="21"/>
        </w:rPr>
        <w:t>，除应符合本章第3条规定外，还应遵守以下规定：</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（2）联合体各方均应当符合本章第3.1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规定的供应商基本资格条件；</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rPr>
        <w:t>除</w:t>
      </w:r>
      <w:r>
        <w:rPr>
          <w:rFonts w:hint="eastAsia" w:ascii="宋体" w:hAnsi="宋体" w:cs="宋体"/>
          <w:b/>
          <w:color w:val="auto"/>
        </w:rPr>
        <w:t>磋商须知前附表</w:t>
      </w:r>
      <w:r>
        <w:rPr>
          <w:rFonts w:hint="eastAsia" w:ascii="宋体" w:hAnsi="宋体" w:cs="宋体"/>
          <w:color w:val="auto"/>
        </w:rPr>
        <w:t>中另有规定，</w:t>
      </w:r>
      <w:r>
        <w:rPr>
          <w:rFonts w:hint="eastAsia" w:ascii="宋体" w:hAnsi="宋体" w:cs="宋体"/>
          <w:color w:val="auto"/>
          <w:szCs w:val="21"/>
        </w:rPr>
        <w:t>联合体双方应当符合本章第3.1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规定的供应商特定资格条件；</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szCs w:val="21"/>
        </w:rPr>
        <w:t>（4）</w:t>
      </w:r>
      <w:r>
        <w:rPr>
          <w:rFonts w:hint="eastAsia" w:ascii="宋体" w:hAnsi="宋体" w:cs="宋体"/>
          <w:color w:val="auto"/>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7.现场勘察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7.1供应商应按</w:t>
      </w:r>
      <w:r>
        <w:rPr>
          <w:rFonts w:hint="eastAsia" w:ascii="宋体" w:hAnsi="宋体" w:cs="宋体"/>
          <w:b/>
          <w:color w:val="auto"/>
        </w:rPr>
        <w:t>磋商须知前附表</w:t>
      </w:r>
      <w:r>
        <w:rPr>
          <w:rFonts w:hint="eastAsia" w:ascii="宋体" w:hAnsi="宋体" w:cs="宋体"/>
          <w:color w:val="auto"/>
        </w:rPr>
        <w:t>中规定</w:t>
      </w:r>
      <w:r>
        <w:rPr>
          <w:rFonts w:hint="eastAsia" w:ascii="宋体" w:hAnsi="宋体" w:cs="宋体"/>
          <w:color w:val="auto"/>
          <w:szCs w:val="21"/>
        </w:rPr>
        <w:t>对采购项目现场和周围环境的现场考察。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8.采购进口产品</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8.1除</w:t>
      </w:r>
      <w:r>
        <w:rPr>
          <w:rFonts w:hint="eastAsia" w:ascii="宋体" w:hAnsi="宋体" w:cs="宋体"/>
          <w:b/>
          <w:color w:val="auto"/>
          <w:szCs w:val="21"/>
        </w:rPr>
        <w:t>磋商文件前附表</w:t>
      </w:r>
      <w:r>
        <w:rPr>
          <w:rFonts w:hint="eastAsia" w:ascii="宋体" w:hAnsi="宋体" w:cs="宋体"/>
          <w:color w:val="auto"/>
          <w:szCs w:val="21"/>
        </w:rPr>
        <w:t>另有规定外，本项目</w:t>
      </w:r>
      <w:r>
        <w:rPr>
          <w:rFonts w:hint="eastAsia" w:ascii="宋体" w:hAnsi="宋体" w:cs="宋体"/>
          <w:color w:val="auto"/>
          <w:kern w:val="0"/>
          <w:szCs w:val="21"/>
        </w:rPr>
        <w:t>拒绝进口产品参加</w:t>
      </w:r>
      <w:r>
        <w:rPr>
          <w:rFonts w:hint="eastAsia" w:ascii="宋体" w:hAnsi="宋体" w:cs="宋体"/>
          <w:color w:val="auto"/>
          <w:szCs w:val="21"/>
        </w:rPr>
        <w:t>竞争性磋商采购活动</w:t>
      </w:r>
      <w:r>
        <w:rPr>
          <w:rFonts w:hint="eastAsia" w:ascii="宋体" w:hAnsi="宋体" w:cs="宋体"/>
          <w:color w:val="auto"/>
          <w:kern w:val="0"/>
          <w:szCs w:val="21"/>
        </w:rPr>
        <w:t>。</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8.2</w:t>
      </w:r>
      <w:r>
        <w:rPr>
          <w:rFonts w:hint="eastAsia" w:ascii="宋体" w:hAnsi="宋体" w:cs="宋体"/>
          <w:color w:val="auto"/>
          <w:szCs w:val="21"/>
        </w:rPr>
        <w:t>本章第7.1</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同意购买进口产品的，</w:t>
      </w:r>
      <w:r>
        <w:rPr>
          <w:rFonts w:hint="eastAsia" w:ascii="宋体" w:hAnsi="宋体" w:cs="宋体"/>
          <w:color w:val="auto"/>
          <w:szCs w:val="21"/>
        </w:rPr>
        <w:t>本项目</w:t>
      </w:r>
      <w:r>
        <w:rPr>
          <w:rFonts w:hint="eastAsia" w:ascii="宋体" w:hAnsi="宋体" w:cs="宋体"/>
          <w:color w:val="auto"/>
          <w:kern w:val="0"/>
          <w:szCs w:val="21"/>
          <w:lang w:val="zh-CN"/>
        </w:rPr>
        <w:t>采购活动</w:t>
      </w:r>
      <w:r>
        <w:rPr>
          <w:rFonts w:hint="eastAsia" w:ascii="宋体" w:hAnsi="宋体" w:cs="宋体"/>
          <w:color w:val="auto"/>
          <w:kern w:val="0"/>
          <w:szCs w:val="21"/>
        </w:rPr>
        <w:t>不限制满足</w:t>
      </w:r>
      <w:r>
        <w:rPr>
          <w:rFonts w:hint="eastAsia" w:ascii="宋体" w:hAnsi="宋体" w:cs="宋体"/>
          <w:color w:val="auto"/>
          <w:szCs w:val="21"/>
        </w:rPr>
        <w:t>磋商文件要求</w:t>
      </w:r>
      <w:r>
        <w:rPr>
          <w:rFonts w:hint="eastAsia" w:ascii="宋体" w:hAnsi="宋体" w:cs="宋体"/>
          <w:color w:val="auto"/>
          <w:kern w:val="0"/>
          <w:szCs w:val="21"/>
        </w:rPr>
        <w:t>的国内产品参与</w:t>
      </w:r>
      <w:r>
        <w:rPr>
          <w:rFonts w:hint="eastAsia" w:ascii="宋体" w:hAnsi="宋体" w:cs="宋体"/>
          <w:color w:val="auto"/>
          <w:szCs w:val="21"/>
        </w:rPr>
        <w:t>竞争性磋商</w:t>
      </w:r>
      <w:r>
        <w:rPr>
          <w:rFonts w:hint="eastAsia" w:ascii="宋体" w:hAnsi="宋体" w:cs="宋体"/>
          <w:color w:val="auto"/>
          <w:kern w:val="0"/>
          <w:szCs w:val="21"/>
        </w:rPr>
        <w:t>。</w:t>
      </w:r>
    </w:p>
    <w:p>
      <w:pPr>
        <w:adjustRightInd w:val="0"/>
        <w:snapToGrid w:val="0"/>
        <w:spacing w:line="360" w:lineRule="auto"/>
        <w:jc w:val="left"/>
        <w:rPr>
          <w:rFonts w:ascii="宋体" w:hAnsi="宋体" w:cs="宋体"/>
          <w:b/>
          <w:color w:val="auto"/>
          <w:szCs w:val="21"/>
        </w:rPr>
      </w:pPr>
      <w:r>
        <w:rPr>
          <w:rFonts w:hint="eastAsia" w:ascii="宋体" w:hAnsi="宋体" w:cs="宋体"/>
          <w:b/>
          <w:bCs/>
          <w:color w:val="auto"/>
          <w:szCs w:val="21"/>
        </w:rPr>
        <w:t>9.</w:t>
      </w:r>
      <w:r>
        <w:rPr>
          <w:rFonts w:hint="eastAsia" w:ascii="宋体" w:hAnsi="宋体" w:cs="宋体"/>
          <w:b/>
          <w:color w:val="auto"/>
          <w:szCs w:val="21"/>
        </w:rPr>
        <w:t xml:space="preserve"> 政府采购政策支持（本项目不适用）</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二、磋商文件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10．磋商文件的组成</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10.1 磋商文件由下列文件组成：</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第一章 磋商邀请</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第二章 磋商须知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第三章 采购合同格式条款</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第四章 采购需求</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第五章 响应文件组成</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10.2</w:t>
      </w:r>
      <w:r>
        <w:rPr>
          <w:rFonts w:hint="eastAsia" w:hAnsi="宋体" w:cs="宋体"/>
          <w:color w:val="auto"/>
          <w:kern w:val="0"/>
        </w:rPr>
        <w:t>磋商小组根据与供应商磋商情况可能实质性变动的内容，包括采购需求中的技术、服务要求以及合同条款，</w:t>
      </w:r>
      <w:r>
        <w:rPr>
          <w:rFonts w:hint="eastAsia" w:hAnsi="宋体" w:cs="宋体"/>
          <w:color w:val="auto"/>
        </w:rPr>
        <w:t>在</w:t>
      </w:r>
      <w:r>
        <w:rPr>
          <w:rFonts w:hint="eastAsia" w:hAnsi="宋体" w:cs="宋体"/>
          <w:b/>
          <w:color w:val="auto"/>
        </w:rPr>
        <w:t>磋商须知前附表</w:t>
      </w:r>
      <w:r>
        <w:rPr>
          <w:rFonts w:hint="eastAsia" w:hAnsi="宋体" w:cs="宋体"/>
          <w:color w:val="auto"/>
        </w:rPr>
        <w:t>中明确。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10.3</w:t>
      </w:r>
      <w:r>
        <w:rPr>
          <w:rFonts w:hint="eastAsia" w:ascii="宋体" w:hAnsi="宋体" w:cs="宋体"/>
          <w:color w:val="auto"/>
          <w:szCs w:val="21"/>
        </w:rPr>
        <w:t>供应商应仔细阅读</w:t>
      </w:r>
      <w:r>
        <w:rPr>
          <w:rFonts w:hint="eastAsia" w:ascii="宋体" w:hAnsi="宋体" w:cs="宋体"/>
          <w:bCs/>
          <w:color w:val="auto"/>
          <w:szCs w:val="21"/>
        </w:rPr>
        <w:t>磋商</w:t>
      </w:r>
      <w:r>
        <w:rPr>
          <w:rFonts w:hint="eastAsia" w:ascii="宋体" w:hAnsi="宋体" w:cs="宋体"/>
          <w:color w:val="auto"/>
          <w:szCs w:val="21"/>
        </w:rPr>
        <w:t>文件的全部内容，按照</w:t>
      </w:r>
      <w:r>
        <w:rPr>
          <w:rFonts w:hint="eastAsia" w:ascii="宋体" w:hAnsi="宋体" w:cs="宋体"/>
          <w:bCs/>
          <w:color w:val="auto"/>
          <w:szCs w:val="21"/>
        </w:rPr>
        <w:t>磋商</w:t>
      </w:r>
      <w:r>
        <w:rPr>
          <w:rFonts w:hint="eastAsia" w:ascii="宋体" w:hAnsi="宋体" w:cs="宋体"/>
          <w:color w:val="auto"/>
          <w:szCs w:val="21"/>
        </w:rPr>
        <w:t>文件要求编制响应文件。任何对</w:t>
      </w:r>
      <w:r>
        <w:rPr>
          <w:rFonts w:hint="eastAsia" w:ascii="宋体" w:hAnsi="宋体" w:cs="宋体"/>
          <w:bCs/>
          <w:color w:val="auto"/>
          <w:szCs w:val="21"/>
        </w:rPr>
        <w:t>磋商</w:t>
      </w:r>
      <w:r>
        <w:rPr>
          <w:rFonts w:hint="eastAsia" w:ascii="宋体" w:hAnsi="宋体" w:cs="宋体"/>
          <w:color w:val="auto"/>
          <w:szCs w:val="21"/>
        </w:rPr>
        <w:t>文件的忽略或误解不能作为响应文件存在缺陷或瑕疵的理由，其风险由供应商承担。</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11.</w:t>
      </w:r>
      <w:r>
        <w:rPr>
          <w:rFonts w:hint="eastAsia" w:ascii="宋体" w:hAnsi="宋体" w:cs="宋体"/>
          <w:b/>
          <w:color w:val="auto"/>
        </w:rPr>
        <w:t xml:space="preserve"> </w:t>
      </w:r>
      <w:r>
        <w:rPr>
          <w:rFonts w:hint="eastAsia" w:ascii="宋体" w:hAnsi="宋体" w:cs="宋体"/>
          <w:b/>
          <w:color w:val="auto"/>
          <w:szCs w:val="21"/>
        </w:rPr>
        <w:t>磋商文件的提供期限</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11.1磋商文件的提供期限自开始发出之日起不得少于五个工作日。具体提供期限见</w:t>
      </w:r>
      <w:r>
        <w:rPr>
          <w:rFonts w:hint="eastAsia" w:ascii="宋体" w:hAnsi="宋体" w:cs="宋体"/>
          <w:b/>
          <w:color w:val="auto"/>
          <w:szCs w:val="21"/>
        </w:rPr>
        <w:t>磋商文件前附表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11.2供应商应持</w:t>
      </w:r>
      <w:r>
        <w:rPr>
          <w:rFonts w:hint="eastAsia" w:ascii="宋体" w:hAnsi="宋体" w:cs="宋体"/>
          <w:b/>
          <w:color w:val="auto"/>
          <w:szCs w:val="21"/>
        </w:rPr>
        <w:t>磋商文件前附表</w:t>
      </w:r>
      <w:r>
        <w:rPr>
          <w:rFonts w:hint="eastAsia" w:ascii="宋体" w:hAnsi="宋体" w:cs="宋体"/>
          <w:color w:val="auto"/>
          <w:szCs w:val="21"/>
        </w:rPr>
        <w:t>规定的资料领取或购买磋商文件。</w:t>
      </w:r>
    </w:p>
    <w:p>
      <w:pPr>
        <w:pStyle w:val="24"/>
        <w:adjustRightInd w:val="0"/>
        <w:snapToGrid w:val="0"/>
        <w:spacing w:line="360" w:lineRule="auto"/>
        <w:rPr>
          <w:rFonts w:hAnsi="宋体" w:cs="宋体"/>
          <w:color w:val="auto"/>
        </w:rPr>
      </w:pPr>
      <w:r>
        <w:rPr>
          <w:rFonts w:hint="eastAsia" w:hAnsi="宋体" w:cs="宋体"/>
          <w:b/>
          <w:color w:val="auto"/>
        </w:rPr>
        <w:t>12.</w:t>
      </w:r>
      <w:r>
        <w:rPr>
          <w:rFonts w:hint="eastAsia" w:hAnsi="宋体" w:cs="宋体"/>
          <w:b/>
          <w:color w:val="auto"/>
          <w:kern w:val="0"/>
        </w:rPr>
        <w:t>提交首次响应文件</w:t>
      </w:r>
      <w:r>
        <w:rPr>
          <w:rFonts w:hint="eastAsia" w:hAnsi="宋体" w:cs="宋体"/>
          <w:b/>
          <w:color w:val="auto"/>
        </w:rPr>
        <w:t>的</w:t>
      </w:r>
      <w:r>
        <w:rPr>
          <w:rFonts w:hint="eastAsia" w:hAnsi="宋体" w:cs="宋体"/>
          <w:b/>
          <w:color w:val="auto"/>
          <w:kern w:val="0"/>
        </w:rPr>
        <w:t>截止</w:t>
      </w:r>
      <w:r>
        <w:rPr>
          <w:rFonts w:hint="eastAsia" w:hAnsi="宋体" w:cs="宋体"/>
          <w:b/>
          <w:color w:val="auto"/>
        </w:rPr>
        <w:t>时间</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12.1</w:t>
      </w:r>
      <w:r>
        <w:rPr>
          <w:rFonts w:hint="eastAsia" w:hAnsi="宋体" w:cs="宋体"/>
          <w:color w:val="auto"/>
          <w:kern w:val="0"/>
        </w:rPr>
        <w:t>供应商提交首次响应文件截止</w:t>
      </w:r>
      <w:r>
        <w:rPr>
          <w:rFonts w:hint="eastAsia" w:hAnsi="宋体" w:cs="宋体"/>
          <w:color w:val="auto"/>
        </w:rPr>
        <w:t>时间见</w:t>
      </w:r>
      <w:r>
        <w:rPr>
          <w:rFonts w:hint="eastAsia" w:hAnsi="宋体" w:cs="宋体"/>
          <w:b/>
          <w:color w:val="auto"/>
        </w:rPr>
        <w:t>磋商须知前附表</w:t>
      </w:r>
      <w:r>
        <w:rPr>
          <w:rFonts w:hint="eastAsia" w:hAnsi="宋体" w:cs="宋体"/>
          <w:color w:val="auto"/>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13.磋商文件的澄清</w:t>
      </w:r>
      <w:r>
        <w:rPr>
          <w:rFonts w:hint="eastAsia" w:ascii="宋体" w:hAnsi="宋体" w:cs="宋体"/>
          <w:b/>
          <w:color w:val="auto"/>
          <w:kern w:val="0"/>
          <w:szCs w:val="21"/>
          <w:lang w:val="zh-CN"/>
        </w:rPr>
        <w:t>或者</w:t>
      </w:r>
      <w:r>
        <w:rPr>
          <w:rFonts w:hint="eastAsia" w:ascii="宋体" w:hAnsi="宋体" w:cs="宋体"/>
          <w:b/>
          <w:bCs/>
          <w:color w:val="auto"/>
          <w:szCs w:val="21"/>
        </w:rPr>
        <w:t>修改</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13.1在</w:t>
      </w:r>
      <w:r>
        <w:rPr>
          <w:rFonts w:hint="eastAsia" w:ascii="宋体" w:hAnsi="宋体" w:cs="宋体"/>
          <w:color w:val="auto"/>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13.2</w:t>
      </w:r>
      <w:r>
        <w:rPr>
          <w:rFonts w:hint="eastAsia" w:ascii="宋体" w:hAnsi="宋体" w:cs="宋体"/>
          <w:color w:val="auto"/>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13.2</w:t>
      </w:r>
      <w:r>
        <w:rPr>
          <w:rFonts w:hint="eastAsia" w:hAnsi="宋体" w:cs="宋体"/>
          <w:color w:val="auto"/>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三、响应文件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14.一般要求</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 xml:space="preserve">14.2 </w:t>
      </w:r>
      <w:r>
        <w:rPr>
          <w:rFonts w:hint="eastAsia" w:ascii="宋体" w:hAnsi="宋体" w:cs="宋体"/>
          <w:color w:val="auto"/>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color w:val="auto"/>
        </w:rPr>
      </w:pPr>
      <w:r>
        <w:rPr>
          <w:rFonts w:hint="eastAsia" w:hAnsi="宋体" w:cs="宋体"/>
          <w:bCs/>
          <w:color w:val="auto"/>
        </w:rPr>
        <w:t xml:space="preserve">14.3 </w:t>
      </w:r>
      <w:r>
        <w:rPr>
          <w:rFonts w:hint="eastAsia" w:hAnsi="宋体" w:cs="宋体"/>
          <w:color w:val="auto"/>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14.4 响应文件应采用书面形式，电报、传真、电子邮件形式的响应文件概不接受。</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14.5 供应商应按磋商文件中提供的响应文件格式填写。</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15.</w:t>
      </w:r>
      <w:r>
        <w:rPr>
          <w:rFonts w:hint="eastAsia" w:ascii="宋体" w:hAnsi="宋体" w:cs="宋体"/>
          <w:b/>
          <w:color w:val="auto"/>
          <w:szCs w:val="21"/>
        </w:rPr>
        <w:t>响应文件</w:t>
      </w:r>
      <w:r>
        <w:rPr>
          <w:rFonts w:hint="eastAsia" w:ascii="宋体" w:hAnsi="宋体" w:cs="宋体"/>
          <w:b/>
          <w:bCs/>
          <w:color w:val="auto"/>
          <w:szCs w:val="21"/>
        </w:rPr>
        <w:t>的组成</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rPr>
        <w:t>15.1 响应文件包括下列内容：</w:t>
      </w:r>
      <w:r>
        <w:rPr>
          <w:rFonts w:hint="eastAsia" w:ascii="宋体" w:hAnsi="宋体" w:cs="宋体"/>
          <w:color w:val="auto"/>
          <w:szCs w:val="21"/>
        </w:rPr>
        <w:t xml:space="preserve"> </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（1）磋商响应声明</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（2）供应商的资格证明文件</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（3）服务方案说明</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4</w:t>
      </w:r>
      <w:r>
        <w:rPr>
          <w:rFonts w:hint="eastAsia" w:hAnsi="宋体" w:cs="宋体"/>
          <w:color w:val="auto"/>
        </w:rPr>
        <w:t>）技术/商务响应与偏离表</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5</w:t>
      </w:r>
      <w:r>
        <w:rPr>
          <w:rFonts w:hint="eastAsia" w:hAnsi="宋体" w:cs="宋体"/>
          <w:color w:val="auto"/>
        </w:rPr>
        <w:t>）报价一览表及分项价格表</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6</w:t>
      </w:r>
      <w:r>
        <w:rPr>
          <w:rFonts w:hint="eastAsia" w:hAnsi="宋体" w:cs="宋体"/>
          <w:color w:val="auto"/>
        </w:rPr>
        <w:t>）供应商认为需提供的其它资料</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7</w:t>
      </w:r>
      <w:r>
        <w:rPr>
          <w:rFonts w:hint="eastAsia" w:hAnsi="宋体" w:cs="宋体"/>
          <w:color w:val="auto"/>
        </w:rPr>
        <w:t>）最后报价</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15.2在磋商过程中，</w:t>
      </w:r>
      <w:r>
        <w:rPr>
          <w:rFonts w:hint="eastAsia" w:ascii="宋体" w:hAnsi="宋体" w:cs="宋体"/>
          <w:color w:val="auto"/>
          <w:szCs w:val="21"/>
        </w:rPr>
        <w:t>供应商</w:t>
      </w:r>
      <w:r>
        <w:rPr>
          <w:rFonts w:hint="eastAsia" w:ascii="宋体" w:hAnsi="宋体" w:cs="宋体"/>
          <w:color w:val="auto"/>
        </w:rPr>
        <w:t>根据</w:t>
      </w:r>
      <w:r>
        <w:rPr>
          <w:rFonts w:hint="eastAsia" w:ascii="宋体" w:hAnsi="宋体" w:cs="宋体"/>
          <w:color w:val="auto"/>
          <w:kern w:val="0"/>
          <w:szCs w:val="21"/>
        </w:rPr>
        <w:t>磋商小组</w:t>
      </w:r>
      <w:r>
        <w:rPr>
          <w:rFonts w:hint="eastAsia" w:ascii="宋体" w:hAnsi="宋体" w:cs="宋体"/>
          <w:bCs/>
          <w:color w:val="auto"/>
          <w:szCs w:val="21"/>
        </w:rPr>
        <w:t>书面形式要求</w:t>
      </w:r>
      <w:r>
        <w:rPr>
          <w:rFonts w:hint="eastAsia" w:ascii="宋体" w:hAnsi="宋体" w:cs="宋体"/>
          <w:color w:val="auto"/>
          <w:kern w:val="0"/>
          <w:szCs w:val="21"/>
        </w:rPr>
        <w:t>提交的</w:t>
      </w:r>
      <w:r>
        <w:rPr>
          <w:rFonts w:hint="eastAsia" w:ascii="宋体" w:hAnsi="宋体" w:cs="宋体"/>
          <w:color w:val="auto"/>
        </w:rPr>
        <w:t>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w:t>
      </w:r>
      <w:r>
        <w:rPr>
          <w:rFonts w:hint="eastAsia" w:ascii="宋体" w:hAnsi="宋体" w:cs="宋体"/>
          <w:color w:val="auto"/>
        </w:rPr>
        <w:t>最后报价)是</w:t>
      </w:r>
      <w:r>
        <w:rPr>
          <w:rFonts w:hint="eastAsia" w:ascii="宋体" w:hAnsi="宋体" w:cs="宋体"/>
          <w:color w:val="auto"/>
          <w:szCs w:val="21"/>
        </w:rPr>
        <w:t>响应文件</w:t>
      </w:r>
      <w:r>
        <w:rPr>
          <w:rFonts w:hint="eastAsia" w:ascii="宋体" w:hAnsi="宋体" w:cs="宋体"/>
          <w:color w:val="auto"/>
        </w:rPr>
        <w:t>的有效组成部分。</w:t>
      </w:r>
    </w:p>
    <w:p>
      <w:pPr>
        <w:adjustRightInd w:val="0"/>
        <w:snapToGrid w:val="0"/>
        <w:spacing w:line="360" w:lineRule="auto"/>
        <w:ind w:firstLine="420" w:firstLineChars="200"/>
        <w:rPr>
          <w:rFonts w:ascii="宋体" w:hAnsi="宋体" w:cs="宋体"/>
          <w:b/>
          <w:color w:val="auto"/>
        </w:rPr>
      </w:pPr>
      <w:r>
        <w:rPr>
          <w:rFonts w:hint="eastAsia" w:ascii="宋体" w:hAnsi="宋体" w:cs="宋体"/>
          <w:color w:val="auto"/>
        </w:rPr>
        <w:t>15.3</w:t>
      </w:r>
      <w:r>
        <w:rPr>
          <w:rFonts w:hint="eastAsia" w:ascii="宋体" w:hAnsi="宋体" w:cs="宋体"/>
          <w:color w:val="auto"/>
          <w:kern w:val="0"/>
          <w:szCs w:val="21"/>
        </w:rPr>
        <w:t>磋商文件规定可能发生实质性变动的，供应商应当在</w:t>
      </w:r>
      <w:r>
        <w:rPr>
          <w:rFonts w:hint="eastAsia" w:ascii="宋体" w:hAnsi="宋体" w:cs="宋体"/>
          <w:color w:val="auto"/>
        </w:rPr>
        <w:t>《技术/商务响应与偏离表》中对应内容注明。</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15.4</w:t>
      </w:r>
      <w:r>
        <w:rPr>
          <w:rFonts w:hint="eastAsia" w:ascii="宋体" w:hAnsi="宋体" w:cs="宋体"/>
          <w:color w:val="auto"/>
          <w:szCs w:val="21"/>
        </w:rPr>
        <w:t>根据《政府采购法》第四十二条的规定，供应商无论成交与否，其响应文件不予退还。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16.报价</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16.1采购项目预算或其计算方法见</w:t>
      </w:r>
      <w:r>
        <w:rPr>
          <w:rFonts w:hint="eastAsia" w:hAnsi="宋体" w:cs="宋体"/>
          <w:b/>
          <w:color w:val="auto"/>
        </w:rPr>
        <w:t>磋商须知前附表</w:t>
      </w:r>
      <w:r>
        <w:rPr>
          <w:rFonts w:hint="eastAsia" w:hAnsi="宋体" w:cs="宋体"/>
          <w:color w:val="auto"/>
        </w:rPr>
        <w:t>。</w:t>
      </w:r>
    </w:p>
    <w:p>
      <w:pPr>
        <w:pStyle w:val="173"/>
        <w:adjustRightInd w:val="0"/>
        <w:snapToGrid w:val="0"/>
        <w:spacing w:line="360" w:lineRule="auto"/>
        <w:ind w:firstLine="420" w:firstLineChars="200"/>
        <w:rPr>
          <w:rFonts w:ascii="宋体" w:hAnsi="宋体" w:cs="宋体"/>
          <w:color w:val="auto"/>
        </w:rPr>
      </w:pPr>
      <w:r>
        <w:rPr>
          <w:rFonts w:hint="eastAsia" w:ascii="宋体" w:hAnsi="宋体" w:cs="宋体"/>
          <w:color w:val="auto"/>
        </w:rPr>
        <w:t>16.2供应商应按第五章 响应文件组成格式填写。</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16.4</w:t>
      </w:r>
      <w:r>
        <w:rPr>
          <w:rFonts w:hint="eastAsia" w:hAnsi="宋体" w:cs="宋体"/>
          <w:color w:val="auto"/>
          <w:kern w:val="0"/>
          <w:lang w:val="zh-CN"/>
        </w:rPr>
        <w:t>供应商</w:t>
      </w:r>
      <w:r>
        <w:rPr>
          <w:rFonts w:hint="eastAsia" w:hAnsi="宋体" w:cs="宋体"/>
          <w:color w:val="auto"/>
        </w:rPr>
        <w:t>的报价不得超过采购项目预算，采购项目预算或其计算方法见</w:t>
      </w:r>
      <w:r>
        <w:rPr>
          <w:rFonts w:hint="eastAsia" w:hAnsi="宋体" w:cs="宋体"/>
          <w:b/>
          <w:color w:val="auto"/>
        </w:rPr>
        <w:t>磋商须知前附表</w:t>
      </w:r>
      <w:r>
        <w:rPr>
          <w:rFonts w:hint="eastAsia" w:hAnsi="宋体" w:cs="宋体"/>
          <w:color w:val="auto"/>
        </w:rPr>
        <w:t>。</w:t>
      </w:r>
    </w:p>
    <w:p>
      <w:pPr>
        <w:pStyle w:val="24"/>
        <w:adjustRightInd w:val="0"/>
        <w:snapToGrid w:val="0"/>
        <w:spacing w:line="360" w:lineRule="auto"/>
        <w:rPr>
          <w:rFonts w:hAnsi="宋体" w:cs="宋体"/>
          <w:b/>
          <w:color w:val="auto"/>
        </w:rPr>
      </w:pPr>
      <w:r>
        <w:rPr>
          <w:rFonts w:hint="eastAsia" w:hAnsi="宋体" w:cs="宋体"/>
          <w:b/>
          <w:color w:val="auto"/>
        </w:rPr>
        <w:t>17.供应商符合磋商文件规定的证明文件</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17.2如果供应商为联合体，则应提交联合体各方资格证明文件、联合体协议。否则，在评审时将其视为无效响应。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17.3 除</w:t>
      </w:r>
      <w:r>
        <w:rPr>
          <w:rFonts w:hint="eastAsia" w:ascii="宋体" w:hAnsi="宋体" w:cs="宋体"/>
          <w:b/>
          <w:color w:val="auto"/>
          <w:szCs w:val="21"/>
        </w:rPr>
        <w:t>磋商须知前附表</w:t>
      </w:r>
      <w:r>
        <w:rPr>
          <w:rFonts w:hint="eastAsia" w:ascii="宋体" w:hAnsi="宋体" w:cs="宋体"/>
          <w:color w:val="auto"/>
          <w:szCs w:val="21"/>
        </w:rPr>
        <w:t>另有规定外，供应商提供的货物及服务不是供应商制造或拥有的，则必须提供经销、或代理采购货物、或采购货物提供售后服务的证明文件。</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18．样品提供</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18.1 </w:t>
      </w:r>
      <w:r>
        <w:rPr>
          <w:rFonts w:hint="eastAsia" w:ascii="宋体" w:hAnsi="宋体" w:cs="宋体"/>
          <w:b/>
          <w:color w:val="auto"/>
        </w:rPr>
        <w:t>磋商须知前附表</w:t>
      </w:r>
      <w:r>
        <w:rPr>
          <w:rFonts w:hint="eastAsia" w:ascii="宋体" w:hAnsi="宋体" w:cs="宋体"/>
          <w:color w:val="auto"/>
          <w:szCs w:val="21"/>
        </w:rPr>
        <w:t>规定</w:t>
      </w:r>
      <w:r>
        <w:rPr>
          <w:rFonts w:hint="eastAsia" w:ascii="宋体" w:hAnsi="宋体" w:cs="宋体"/>
          <w:bCs/>
          <w:color w:val="auto"/>
        </w:rPr>
        <w:t>供应商</w:t>
      </w:r>
      <w:r>
        <w:rPr>
          <w:rFonts w:hint="eastAsia" w:ascii="宋体" w:hAnsi="宋体" w:cs="宋体"/>
          <w:color w:val="auto"/>
          <w:szCs w:val="21"/>
        </w:rPr>
        <w:t>在</w:t>
      </w:r>
      <w:r>
        <w:rPr>
          <w:rFonts w:hint="eastAsia" w:ascii="宋体" w:hAnsi="宋体" w:cs="宋体"/>
          <w:color w:val="auto"/>
        </w:rPr>
        <w:t>磋商</w:t>
      </w:r>
      <w:r>
        <w:rPr>
          <w:rFonts w:hint="eastAsia" w:ascii="宋体" w:hAnsi="宋体" w:cs="宋体"/>
          <w:color w:val="auto"/>
          <w:szCs w:val="21"/>
        </w:rPr>
        <w:t>时提供样品的，</w:t>
      </w:r>
      <w:r>
        <w:rPr>
          <w:rFonts w:hint="eastAsia" w:ascii="宋体" w:hAnsi="宋体" w:cs="宋体"/>
          <w:bCs/>
          <w:color w:val="auto"/>
        </w:rPr>
        <w:t>供应商</w:t>
      </w:r>
      <w:r>
        <w:rPr>
          <w:rFonts w:hint="eastAsia" w:ascii="宋体" w:hAnsi="宋体" w:cs="宋体"/>
          <w:color w:val="auto"/>
          <w:szCs w:val="21"/>
        </w:rPr>
        <w:t>有以下情形之一的，在评审时将其视为无效响应。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（1）未在</w:t>
      </w:r>
      <w:r>
        <w:rPr>
          <w:rFonts w:hint="eastAsia" w:ascii="宋体" w:hAnsi="宋体" w:cs="宋体"/>
          <w:b/>
          <w:color w:val="auto"/>
        </w:rPr>
        <w:t>磋商须知前附表</w:t>
      </w:r>
      <w:r>
        <w:rPr>
          <w:rFonts w:hint="eastAsia" w:ascii="宋体" w:hAnsi="宋体" w:cs="宋体"/>
          <w:color w:val="auto"/>
          <w:szCs w:val="21"/>
        </w:rPr>
        <w:t>规定的提交时间、地点提交的；</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rPr>
        <w:t>供应商</w:t>
      </w:r>
      <w:r>
        <w:rPr>
          <w:rFonts w:hint="eastAsia" w:ascii="宋体" w:hAnsi="宋体" w:cs="宋体"/>
          <w:color w:val="auto"/>
          <w:szCs w:val="21"/>
        </w:rPr>
        <w:t>提供的样品与响应文件中提供样品的型号、规格不一致的。</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19.</w:t>
      </w:r>
      <w:r>
        <w:rPr>
          <w:rFonts w:hint="eastAsia" w:ascii="宋体" w:hAnsi="宋体" w:cs="宋体"/>
          <w:color w:val="auto"/>
        </w:rPr>
        <w:t xml:space="preserve"> </w:t>
      </w:r>
      <w:r>
        <w:rPr>
          <w:rFonts w:hint="eastAsia" w:ascii="宋体" w:hAnsi="宋体" w:cs="宋体"/>
          <w:b/>
          <w:bCs/>
          <w:color w:val="auto"/>
          <w:szCs w:val="21"/>
        </w:rPr>
        <w:t>磋商保证金</w:t>
      </w:r>
    </w:p>
    <w:p>
      <w:pPr>
        <w:pStyle w:val="24"/>
        <w:adjustRightInd w:val="0"/>
        <w:snapToGrid w:val="0"/>
        <w:spacing w:line="360" w:lineRule="auto"/>
        <w:ind w:firstLine="420" w:firstLineChars="200"/>
        <w:rPr>
          <w:rFonts w:hAnsi="宋体" w:cs="宋体"/>
          <w:bCs/>
          <w:color w:val="auto"/>
        </w:rPr>
      </w:pPr>
      <w:r>
        <w:rPr>
          <w:rFonts w:hint="eastAsia" w:hAnsi="宋体" w:cs="宋体"/>
          <w:color w:val="auto"/>
        </w:rPr>
        <w:t>19.1</w:t>
      </w:r>
      <w:r>
        <w:rPr>
          <w:rFonts w:hint="eastAsia" w:hAnsi="宋体" w:cs="宋体"/>
          <w:b/>
          <w:color w:val="auto"/>
        </w:rPr>
        <w:t>磋商须知前附表</w:t>
      </w:r>
      <w:r>
        <w:rPr>
          <w:rFonts w:hint="eastAsia" w:hAnsi="宋体" w:cs="宋体"/>
          <w:color w:val="auto"/>
        </w:rPr>
        <w:t>规定交纳磋商</w:t>
      </w:r>
      <w:r>
        <w:rPr>
          <w:rFonts w:hint="eastAsia" w:hAnsi="宋体" w:cs="宋体"/>
          <w:bCs/>
          <w:color w:val="auto"/>
        </w:rPr>
        <w:t>保证金的</w:t>
      </w:r>
      <w:r>
        <w:rPr>
          <w:rFonts w:hint="eastAsia" w:hAnsi="宋体" w:cs="宋体"/>
          <w:color w:val="auto"/>
        </w:rPr>
        <w:t>，应按</w:t>
      </w:r>
      <w:r>
        <w:rPr>
          <w:rFonts w:hint="eastAsia" w:hAnsi="宋体" w:cs="宋体"/>
          <w:b/>
          <w:color w:val="auto"/>
        </w:rPr>
        <w:t>磋商须知前附表</w:t>
      </w:r>
      <w:r>
        <w:rPr>
          <w:rFonts w:hint="eastAsia" w:hAnsi="宋体" w:cs="宋体"/>
          <w:color w:val="auto"/>
        </w:rPr>
        <w:t>规定的磋商</w:t>
      </w:r>
      <w:r>
        <w:rPr>
          <w:rFonts w:hint="eastAsia" w:hAnsi="宋体" w:cs="宋体"/>
          <w:bCs/>
          <w:color w:val="auto"/>
        </w:rPr>
        <w:t>保证金形式交纳，不得以现金方式交纳</w:t>
      </w:r>
      <w:r>
        <w:rPr>
          <w:rFonts w:hint="eastAsia" w:hAnsi="宋体" w:cs="宋体"/>
          <w:color w:val="auto"/>
        </w:rPr>
        <w:t>，在</w:t>
      </w:r>
      <w:r>
        <w:rPr>
          <w:rFonts w:hint="eastAsia" w:hAnsi="宋体" w:cs="宋体"/>
          <w:color w:val="auto"/>
          <w:kern w:val="0"/>
        </w:rPr>
        <w:t>提交首次响应文件截止时间</w:t>
      </w:r>
      <w:r>
        <w:rPr>
          <w:rFonts w:hint="eastAsia" w:hAnsi="宋体" w:cs="宋体"/>
          <w:color w:val="auto"/>
        </w:rPr>
        <w:t>前，</w:t>
      </w:r>
      <w:r>
        <w:rPr>
          <w:rFonts w:hint="eastAsia" w:hAnsi="宋体" w:cs="宋体"/>
          <w:bCs/>
          <w:color w:val="auto"/>
        </w:rPr>
        <w:t>向采购代理机构交纳不超过</w:t>
      </w:r>
      <w:r>
        <w:rPr>
          <w:rFonts w:hint="eastAsia" w:hAnsi="宋体" w:cs="宋体"/>
          <w:color w:val="auto"/>
          <w:kern w:val="0"/>
          <w:lang w:val="zh-CN"/>
        </w:rPr>
        <w:t>采购项目预算2﹪</w:t>
      </w:r>
      <w:r>
        <w:rPr>
          <w:rFonts w:hint="eastAsia" w:hAnsi="宋体" w:cs="宋体"/>
          <w:bCs/>
          <w:color w:val="auto"/>
        </w:rPr>
        <w:t>的磋商保证金(数额采用四舍五入，计算至元)</w:t>
      </w:r>
      <w:r>
        <w:rPr>
          <w:rFonts w:hint="eastAsia" w:hAnsi="宋体" w:cs="宋体"/>
          <w:color w:val="auto"/>
        </w:rPr>
        <w:t>。磋商</w:t>
      </w:r>
      <w:r>
        <w:rPr>
          <w:rFonts w:hint="eastAsia" w:hAnsi="宋体" w:cs="宋体"/>
          <w:bCs/>
          <w:color w:val="auto"/>
        </w:rPr>
        <w:t>保证金有效期应当与</w:t>
      </w:r>
      <w:r>
        <w:rPr>
          <w:rFonts w:hint="eastAsia" w:hAnsi="宋体" w:cs="宋体"/>
          <w:color w:val="auto"/>
        </w:rPr>
        <w:t>本章第20.1</w:t>
      </w:r>
      <w:r>
        <w:rPr>
          <w:rFonts w:hint="eastAsia" w:hAnsi="宋体" w:cs="宋体"/>
          <w:color w:val="auto"/>
          <w:kern w:val="0"/>
          <w:lang w:val="zh-CN"/>
        </w:rPr>
        <w:t>款</w:t>
      </w:r>
      <w:r>
        <w:rPr>
          <w:rFonts w:hint="eastAsia" w:hAnsi="宋体" w:cs="宋体"/>
          <w:color w:val="auto"/>
        </w:rPr>
        <w:t>规定的</w:t>
      </w:r>
      <w:r>
        <w:rPr>
          <w:rFonts w:hint="eastAsia" w:hAnsi="宋体" w:cs="宋体"/>
          <w:bCs/>
          <w:color w:val="auto"/>
        </w:rPr>
        <w:t>响应文件有效期一致。</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19.2</w:t>
      </w:r>
      <w:r>
        <w:rPr>
          <w:rFonts w:hint="eastAsia" w:ascii="宋体" w:hAnsi="宋体" w:cs="宋体"/>
          <w:color w:val="auto"/>
          <w:kern w:val="0"/>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color w:val="auto"/>
        </w:rPr>
      </w:pPr>
      <w:r>
        <w:rPr>
          <w:rFonts w:hint="eastAsia" w:hAnsi="宋体" w:cs="宋体"/>
          <w:color w:val="auto"/>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 xml:space="preserve">19.5 </w:t>
      </w:r>
      <w:r>
        <w:rPr>
          <w:rFonts w:hint="eastAsia" w:hAnsi="宋体" w:cs="宋体"/>
          <w:color w:val="auto"/>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color w:val="auto"/>
          <w:kern w:val="0"/>
        </w:rPr>
      </w:pPr>
      <w:r>
        <w:rPr>
          <w:rFonts w:hint="eastAsia" w:ascii="宋体" w:hAnsi="宋体" w:cs="宋体"/>
          <w:color w:val="auto"/>
          <w:kern w:val="0"/>
        </w:rPr>
        <w:t>（2）供应商在响应文件中提供虚假资料的；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rPr>
        <w:t>（3）</w:t>
      </w:r>
      <w:r>
        <w:rPr>
          <w:rFonts w:hint="eastAsia" w:ascii="宋体" w:hAnsi="宋体" w:cs="宋体"/>
          <w:color w:val="auto"/>
        </w:rPr>
        <w:t>确定成交结果后，无正当理由放弃成交资格的；</w:t>
      </w:r>
    </w:p>
    <w:p>
      <w:pPr>
        <w:widowControl/>
        <w:adjustRightInd w:val="0"/>
        <w:snapToGrid w:val="0"/>
        <w:spacing w:line="360" w:lineRule="auto"/>
        <w:ind w:firstLine="525" w:firstLineChars="250"/>
        <w:jc w:val="left"/>
        <w:rPr>
          <w:rFonts w:ascii="宋体" w:hAnsi="宋体" w:cs="宋体"/>
          <w:color w:val="auto"/>
          <w:kern w:val="0"/>
          <w:szCs w:val="21"/>
        </w:rPr>
      </w:pPr>
      <w:r>
        <w:rPr>
          <w:rFonts w:hint="eastAsia" w:ascii="宋体" w:hAnsi="宋体" w:cs="宋体"/>
          <w:color w:val="auto"/>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（6）磋商文件规定的其它情形。</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20.</w:t>
      </w:r>
      <w:r>
        <w:rPr>
          <w:rFonts w:hint="eastAsia" w:ascii="宋体" w:hAnsi="宋体" w:cs="宋体"/>
          <w:color w:val="auto"/>
          <w:szCs w:val="21"/>
        </w:rPr>
        <w:t xml:space="preserve"> </w:t>
      </w:r>
      <w:r>
        <w:rPr>
          <w:rFonts w:hint="eastAsia" w:ascii="宋体" w:hAnsi="宋体" w:cs="宋体"/>
          <w:b/>
          <w:color w:val="auto"/>
        </w:rPr>
        <w:t>响应文件</w:t>
      </w:r>
      <w:r>
        <w:rPr>
          <w:rFonts w:hint="eastAsia" w:ascii="宋体" w:hAnsi="宋体" w:cs="宋体"/>
          <w:b/>
          <w:color w:val="auto"/>
          <w:szCs w:val="21"/>
        </w:rPr>
        <w:t>有效期</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20.1响应文件</w:t>
      </w:r>
      <w:r>
        <w:rPr>
          <w:rFonts w:hint="eastAsia" w:ascii="宋体" w:hAnsi="宋体" w:cs="宋体"/>
          <w:color w:val="auto"/>
          <w:szCs w:val="21"/>
        </w:rPr>
        <w:t>有效期见</w:t>
      </w:r>
      <w:r>
        <w:rPr>
          <w:rFonts w:hint="eastAsia" w:ascii="宋体" w:hAnsi="宋体" w:cs="宋体"/>
          <w:b/>
          <w:color w:val="auto"/>
        </w:rPr>
        <w:t>磋商须知前附表</w:t>
      </w:r>
      <w:r>
        <w:rPr>
          <w:rFonts w:hint="eastAsia" w:ascii="宋体" w:hAnsi="宋体" w:cs="宋体"/>
          <w:color w:val="auto"/>
          <w:szCs w:val="21"/>
        </w:rPr>
        <w:t>，在此期间</w:t>
      </w:r>
      <w:r>
        <w:rPr>
          <w:rFonts w:hint="eastAsia" w:ascii="宋体" w:hAnsi="宋体" w:cs="宋体"/>
          <w:color w:val="auto"/>
        </w:rPr>
        <w:t>响应</w:t>
      </w:r>
      <w:r>
        <w:rPr>
          <w:rFonts w:hint="eastAsia" w:ascii="宋体" w:hAnsi="宋体" w:cs="宋体"/>
          <w:color w:val="auto"/>
          <w:szCs w:val="21"/>
        </w:rPr>
        <w:t>文件对供应商具有法律约束力，</w:t>
      </w:r>
      <w:r>
        <w:rPr>
          <w:rFonts w:hint="eastAsia" w:ascii="宋体" w:hAnsi="宋体" w:cs="宋体"/>
          <w:color w:val="auto"/>
        </w:rPr>
        <w:t>从</w:t>
      </w:r>
      <w:r>
        <w:rPr>
          <w:rFonts w:hint="eastAsia" w:ascii="宋体" w:hAnsi="宋体" w:cs="宋体"/>
          <w:color w:val="auto"/>
          <w:kern w:val="0"/>
          <w:szCs w:val="21"/>
        </w:rPr>
        <w:t>提交首次响应文件截止时间</w:t>
      </w:r>
      <w:r>
        <w:rPr>
          <w:rFonts w:hint="eastAsia" w:ascii="宋体" w:hAnsi="宋体" w:cs="宋体"/>
          <w:color w:val="auto"/>
        </w:rPr>
        <w:t>之日起计算。响应文件有效期不足的将被视为无效响应。</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21.响应文件的签署及规定</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21.1响应文件的正本和副本应装订成册，正本一份，副本份数见</w:t>
      </w:r>
      <w:r>
        <w:rPr>
          <w:rFonts w:hint="eastAsia" w:hAnsi="宋体" w:cs="宋体"/>
          <w:b/>
          <w:color w:val="auto"/>
        </w:rPr>
        <w:t>磋商须知前附表</w:t>
      </w:r>
      <w:r>
        <w:rPr>
          <w:rFonts w:hint="eastAsia" w:hAnsi="宋体" w:cs="宋体"/>
          <w:color w:val="auto"/>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21.3 在磋商过程中，供应商按磋商文件规定和磋商小组要求</w:t>
      </w:r>
      <w:r>
        <w:rPr>
          <w:rFonts w:hint="eastAsia" w:hAnsi="宋体" w:cs="宋体"/>
          <w:bCs/>
          <w:color w:val="auto"/>
        </w:rPr>
        <w:t>重</w:t>
      </w:r>
      <w:r>
        <w:rPr>
          <w:rFonts w:hint="eastAsia" w:hAnsi="宋体" w:cs="宋体"/>
          <w:color w:val="auto"/>
          <w:kern w:val="0"/>
        </w:rPr>
        <w:t>新提交的响应文件</w:t>
      </w:r>
      <w:r>
        <w:rPr>
          <w:rFonts w:hint="eastAsia" w:hAnsi="宋体" w:cs="宋体"/>
          <w:color w:val="auto"/>
        </w:rPr>
        <w:t>，一式两份，可打印或用不退色墨水书写，但需经法定代表人或其委托代理人签字，</w:t>
      </w:r>
      <w:r>
        <w:rPr>
          <w:rFonts w:hint="eastAsia" w:hAnsi="宋体" w:cs="宋体"/>
          <w:color w:val="auto"/>
          <w:kern w:val="0"/>
        </w:rPr>
        <w:t>或者加盖供应商单位章</w:t>
      </w:r>
      <w:r>
        <w:rPr>
          <w:rFonts w:hint="eastAsia" w:hAnsi="宋体" w:cs="宋体"/>
          <w:color w:val="auto"/>
        </w:rPr>
        <w:t>。否则，将导致响应文件无效。</w:t>
      </w:r>
    </w:p>
    <w:p>
      <w:pPr>
        <w:adjustRightInd w:val="0"/>
        <w:snapToGrid w:val="0"/>
        <w:spacing w:line="360" w:lineRule="auto"/>
        <w:rPr>
          <w:rFonts w:ascii="宋体" w:hAnsi="宋体" w:cs="宋体"/>
          <w:color w:val="auto"/>
          <w:sz w:val="24"/>
        </w:rPr>
      </w:pPr>
      <w:r>
        <w:rPr>
          <w:rFonts w:hint="eastAsia" w:ascii="宋体" w:hAnsi="宋体" w:cs="宋体"/>
          <w:color w:val="auto"/>
          <w:sz w:val="24"/>
        </w:rPr>
        <w:t>四、响应文件的递交</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22.</w:t>
      </w:r>
      <w:r>
        <w:rPr>
          <w:rFonts w:hint="eastAsia" w:ascii="宋体" w:hAnsi="宋体" w:cs="宋体"/>
          <w:b/>
          <w:color w:val="auto"/>
          <w:szCs w:val="21"/>
        </w:rPr>
        <w:t>响应文件</w:t>
      </w:r>
      <w:r>
        <w:rPr>
          <w:rFonts w:hint="eastAsia" w:ascii="宋体" w:hAnsi="宋体" w:cs="宋体"/>
          <w:b/>
          <w:bCs/>
          <w:color w:val="auto"/>
          <w:szCs w:val="21"/>
        </w:rPr>
        <w:t>的密封和标记</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22.2响应文件封套上应写明的内容见</w:t>
      </w:r>
      <w:r>
        <w:rPr>
          <w:rFonts w:hint="eastAsia" w:ascii="宋体" w:hAnsi="宋体" w:cs="宋体"/>
          <w:b/>
          <w:color w:val="auto"/>
          <w:szCs w:val="21"/>
        </w:rPr>
        <w:t>磋商须知前附表。</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22.3响应文件如果未按上述规定密封和加写标记，采购人或采购代理机构将拒绝接收。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23.响应文件的</w:t>
      </w:r>
      <w:r>
        <w:rPr>
          <w:rFonts w:hint="eastAsia" w:ascii="宋体" w:hAnsi="宋体" w:cs="宋体"/>
          <w:b/>
          <w:color w:val="auto"/>
          <w:kern w:val="0"/>
          <w:szCs w:val="21"/>
          <w:lang w:val="zh-CN"/>
        </w:rPr>
        <w:t>补充、修改或者撤回</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23.1</w:t>
      </w:r>
      <w:r>
        <w:rPr>
          <w:rFonts w:hint="eastAsia" w:hAnsi="宋体" w:cs="宋体"/>
          <w:color w:val="auto"/>
          <w:kern w:val="0"/>
        </w:rPr>
        <w:t>供应商在提交首次响应文件截止时间前，可以对所提交的首次响应文件进行补充、修改或者撤回，并书面通知采购人、采购代理机构。</w:t>
      </w:r>
      <w:r>
        <w:rPr>
          <w:rFonts w:hint="eastAsia" w:hAnsi="宋体" w:cs="宋体"/>
          <w:color w:val="auto"/>
        </w:rPr>
        <w:t>该通知应有供应商法定代表人或其委托代理人签字。</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23.2</w:t>
      </w:r>
      <w:r>
        <w:rPr>
          <w:rFonts w:hint="eastAsia" w:hAnsi="宋体" w:cs="宋体"/>
          <w:color w:val="auto"/>
          <w:kern w:val="0"/>
          <w:lang w:val="zh-CN"/>
        </w:rPr>
        <w:t>补充、修改的内容与响应文件不一致时，以补充、修改的内容为准。</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24.响应文件的递交与接收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24.1 供应商应在</w:t>
      </w:r>
      <w:r>
        <w:rPr>
          <w:rFonts w:hint="eastAsia" w:ascii="宋体" w:hAnsi="宋体" w:cs="宋体"/>
          <w:color w:val="auto"/>
          <w:kern w:val="0"/>
          <w:szCs w:val="21"/>
        </w:rPr>
        <w:t>提交首次响应文件截止时间</w:t>
      </w:r>
      <w:r>
        <w:rPr>
          <w:rFonts w:hint="eastAsia" w:ascii="宋体" w:hAnsi="宋体" w:cs="宋体"/>
          <w:color w:val="auto"/>
          <w:szCs w:val="21"/>
        </w:rPr>
        <w:t>前，将响应文件送达</w:t>
      </w:r>
      <w:r>
        <w:rPr>
          <w:rFonts w:hint="eastAsia" w:ascii="宋体" w:hAnsi="宋体" w:cs="宋体"/>
          <w:b/>
          <w:color w:val="auto"/>
          <w:szCs w:val="21"/>
        </w:rPr>
        <w:t>磋商须知前附表</w:t>
      </w:r>
      <w:r>
        <w:rPr>
          <w:rFonts w:hint="eastAsia" w:ascii="宋体" w:hAnsi="宋体" w:cs="宋体"/>
          <w:color w:val="auto"/>
          <w:szCs w:val="21"/>
        </w:rPr>
        <w:t>中指定的地点。</w:t>
      </w:r>
      <w:r>
        <w:rPr>
          <w:rFonts w:hint="eastAsia" w:ascii="宋体" w:hAnsi="宋体" w:cs="宋体"/>
          <w:color w:val="auto"/>
          <w:kern w:val="0"/>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24.2</w:t>
      </w:r>
      <w:r>
        <w:rPr>
          <w:rFonts w:hint="eastAsia" w:hAnsi="宋体" w:cs="宋体"/>
          <w:color w:val="auto"/>
          <w:kern w:val="0"/>
        </w:rPr>
        <w:t>在提交首次响应文件截止时间后，</w:t>
      </w:r>
      <w:r>
        <w:rPr>
          <w:rFonts w:hint="eastAsia" w:hAnsi="宋体" w:cs="宋体"/>
          <w:color w:val="auto"/>
        </w:rPr>
        <w:t>由</w:t>
      </w:r>
      <w:r>
        <w:rPr>
          <w:rFonts w:hint="eastAsia" w:hAnsi="宋体" w:cs="宋体"/>
          <w:bCs/>
          <w:color w:val="auto"/>
        </w:rPr>
        <w:t>供应商代表</w:t>
      </w:r>
      <w:r>
        <w:rPr>
          <w:rFonts w:hint="eastAsia" w:hAnsi="宋体" w:cs="宋体"/>
          <w:color w:val="auto"/>
        </w:rPr>
        <w:t>当场查验</w:t>
      </w:r>
      <w:r>
        <w:rPr>
          <w:rFonts w:hint="eastAsia" w:hAnsi="宋体" w:cs="宋体"/>
          <w:bCs/>
          <w:color w:val="auto"/>
        </w:rPr>
        <w:t>响应文件</w:t>
      </w:r>
      <w:r>
        <w:rPr>
          <w:rFonts w:hint="eastAsia" w:hAnsi="宋体" w:cs="宋体"/>
          <w:color w:val="auto"/>
        </w:rPr>
        <w:t>的密封状况，采购人或</w:t>
      </w:r>
      <w:r>
        <w:rPr>
          <w:rFonts w:hint="eastAsia" w:hAnsi="宋体" w:cs="宋体"/>
          <w:bCs/>
          <w:color w:val="auto"/>
        </w:rPr>
        <w:t>采购代理机构</w:t>
      </w:r>
      <w:r>
        <w:rPr>
          <w:rFonts w:hint="eastAsia" w:hAnsi="宋体" w:cs="宋体"/>
          <w:color w:val="auto"/>
        </w:rPr>
        <w:t>不当场拆封</w:t>
      </w:r>
      <w:r>
        <w:rPr>
          <w:rFonts w:hint="eastAsia" w:hAnsi="宋体" w:cs="宋体"/>
          <w:bCs/>
          <w:color w:val="auto"/>
        </w:rPr>
        <w:t>响应文件</w:t>
      </w:r>
      <w:r>
        <w:rPr>
          <w:rFonts w:hint="eastAsia" w:hAnsi="宋体" w:cs="宋体"/>
          <w:color w:val="auto"/>
        </w:rPr>
        <w:t>。</w:t>
      </w:r>
    </w:p>
    <w:p>
      <w:pPr>
        <w:adjustRightInd w:val="0"/>
        <w:snapToGrid w:val="0"/>
        <w:spacing w:line="360" w:lineRule="auto"/>
        <w:rPr>
          <w:rFonts w:ascii="宋体" w:hAnsi="宋体" w:cs="宋体"/>
          <w:color w:val="auto"/>
          <w:sz w:val="24"/>
        </w:rPr>
      </w:pPr>
      <w:r>
        <w:rPr>
          <w:rFonts w:hint="eastAsia" w:ascii="宋体" w:hAnsi="宋体" w:cs="宋体"/>
          <w:color w:val="auto"/>
          <w:sz w:val="24"/>
        </w:rPr>
        <w:t>五、响应文件的磋商与评审</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25.磋商程序</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25.1磋商程序：响应文件审查、磋商（包括澄清）、响应文件评审、</w:t>
      </w:r>
      <w:r>
        <w:rPr>
          <w:rFonts w:hint="eastAsia" w:ascii="宋体" w:hAnsi="宋体" w:cs="宋体"/>
          <w:bCs/>
          <w:color w:val="auto"/>
          <w:szCs w:val="21"/>
        </w:rPr>
        <w:t>提出成交供应商。其中，</w:t>
      </w:r>
      <w:r>
        <w:rPr>
          <w:rFonts w:hint="eastAsia" w:ascii="宋体" w:hAnsi="宋体" w:cs="宋体"/>
          <w:color w:val="auto"/>
          <w:kern w:val="0"/>
          <w:szCs w:val="21"/>
        </w:rPr>
        <w:t>磋商按</w:t>
      </w:r>
      <w:r>
        <w:rPr>
          <w:rFonts w:hint="eastAsia" w:ascii="宋体" w:hAnsi="宋体" w:cs="宋体"/>
          <w:color w:val="auto"/>
          <w:szCs w:val="21"/>
        </w:rPr>
        <w:t>本章</w:t>
      </w:r>
      <w:r>
        <w:rPr>
          <w:rFonts w:hint="eastAsia" w:ascii="宋体" w:hAnsi="宋体" w:cs="宋体"/>
          <w:color w:val="auto"/>
        </w:rPr>
        <w:t>第30.1</w:t>
      </w:r>
      <w:r>
        <w:rPr>
          <w:rFonts w:hint="eastAsia" w:ascii="宋体" w:hAnsi="宋体" w:cs="宋体"/>
          <w:color w:val="auto"/>
          <w:kern w:val="0"/>
          <w:szCs w:val="21"/>
          <w:lang w:val="zh-CN"/>
        </w:rPr>
        <w:t>款或者</w:t>
      </w:r>
      <w:r>
        <w:rPr>
          <w:rFonts w:hint="eastAsia" w:ascii="宋体" w:hAnsi="宋体" w:cs="宋体"/>
          <w:color w:val="auto"/>
        </w:rPr>
        <w:t>第30.2</w:t>
      </w:r>
      <w:r>
        <w:rPr>
          <w:rFonts w:hint="eastAsia" w:ascii="宋体" w:hAnsi="宋体" w:cs="宋体"/>
          <w:color w:val="auto"/>
          <w:kern w:val="0"/>
          <w:szCs w:val="21"/>
          <w:lang w:val="zh-CN"/>
        </w:rPr>
        <w:t>款</w:t>
      </w:r>
      <w:r>
        <w:rPr>
          <w:rFonts w:hint="eastAsia" w:ascii="宋体" w:hAnsi="宋体" w:cs="宋体"/>
          <w:color w:val="auto"/>
        </w:rPr>
        <w:t>情形</w:t>
      </w:r>
      <w:r>
        <w:rPr>
          <w:rFonts w:hint="eastAsia" w:ascii="宋体" w:hAnsi="宋体" w:cs="宋体"/>
          <w:bCs/>
          <w:color w:val="auto"/>
          <w:szCs w:val="21"/>
        </w:rPr>
        <w:t>进行。</w:t>
      </w:r>
    </w:p>
    <w:p>
      <w:pPr>
        <w:widowControl/>
        <w:adjustRightInd w:val="0"/>
        <w:snapToGrid w:val="0"/>
        <w:spacing w:line="360" w:lineRule="auto"/>
        <w:rPr>
          <w:rFonts w:ascii="宋体" w:hAnsi="宋体" w:cs="宋体"/>
          <w:b/>
          <w:color w:val="auto"/>
          <w:szCs w:val="21"/>
        </w:rPr>
      </w:pPr>
      <w:r>
        <w:rPr>
          <w:rFonts w:hint="eastAsia" w:ascii="宋体" w:hAnsi="宋体" w:cs="宋体"/>
          <w:b/>
          <w:color w:val="auto"/>
          <w:kern w:val="0"/>
          <w:szCs w:val="21"/>
        </w:rPr>
        <w:t>26.</w:t>
      </w:r>
      <w:r>
        <w:rPr>
          <w:rFonts w:hint="eastAsia" w:ascii="宋体" w:hAnsi="宋体" w:cs="宋体"/>
          <w:color w:val="auto"/>
        </w:rPr>
        <w:t xml:space="preserve"> </w:t>
      </w:r>
      <w:r>
        <w:rPr>
          <w:rFonts w:hint="eastAsia" w:ascii="宋体" w:hAnsi="宋体" w:cs="宋体"/>
          <w:b/>
          <w:color w:val="auto"/>
          <w:kern w:val="0"/>
          <w:szCs w:val="21"/>
        </w:rPr>
        <w:t>响应文件审查</w:t>
      </w:r>
      <w:r>
        <w:rPr>
          <w:rFonts w:hint="eastAsia" w:ascii="宋体" w:hAnsi="宋体" w:cs="宋体"/>
          <w:b/>
          <w:color w:val="auto"/>
          <w:szCs w:val="21"/>
        </w:rPr>
        <w:t xml:space="preserve">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26.1 资格性审查：根据本章第3.1项规定的供应商资格条件要求，对</w:t>
      </w:r>
      <w:r>
        <w:rPr>
          <w:rFonts w:hint="eastAsia" w:ascii="宋体" w:hAnsi="宋体" w:cs="宋体"/>
          <w:color w:val="auto"/>
        </w:rPr>
        <w:t>响应</w:t>
      </w:r>
      <w:r>
        <w:rPr>
          <w:rFonts w:hint="eastAsia" w:ascii="宋体" w:hAnsi="宋体" w:cs="宋体"/>
          <w:color w:val="auto"/>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color w:val="auto"/>
          <w:kern w:val="0"/>
        </w:rPr>
      </w:pPr>
      <w:r>
        <w:rPr>
          <w:rFonts w:hint="eastAsia" w:hAnsi="宋体" w:cs="宋体"/>
          <w:b/>
          <w:color w:val="auto"/>
          <w:kern w:val="0"/>
        </w:rPr>
        <w:t>27.实质性响应</w:t>
      </w:r>
    </w:p>
    <w:p>
      <w:pPr>
        <w:pStyle w:val="24"/>
        <w:adjustRightInd w:val="0"/>
        <w:snapToGrid w:val="0"/>
        <w:spacing w:line="360" w:lineRule="auto"/>
        <w:ind w:firstLine="420" w:firstLineChars="200"/>
        <w:rPr>
          <w:rFonts w:hAnsi="宋体" w:cs="宋体"/>
          <w:color w:val="auto"/>
        </w:rPr>
      </w:pPr>
      <w:r>
        <w:rPr>
          <w:rFonts w:hint="eastAsia" w:hAnsi="宋体" w:cs="宋体"/>
          <w:color w:val="auto"/>
          <w:kern w:val="0"/>
        </w:rPr>
        <w:t>27.1</w:t>
      </w:r>
      <w:r>
        <w:rPr>
          <w:rFonts w:hint="eastAsia" w:hAnsi="宋体" w:cs="宋体"/>
          <w:color w:val="auto"/>
        </w:rPr>
        <w:t>实质性响应是指响应文件(包括首次响应文件、重新提交的响应文件)与磋商文件要求的所有条款、条件和规格相符，没有偏离。偏离指不满足、或不响应磋商文件的要求。</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27.3</w:t>
      </w:r>
      <w:r>
        <w:rPr>
          <w:rFonts w:hint="eastAsia" w:ascii="宋体" w:hAnsi="宋体" w:cs="宋体"/>
          <w:color w:val="auto"/>
        </w:rPr>
        <w:t>响应文件是否实质性响应磋商文件要求由磋商小组依据磋商文件规定认定。</w:t>
      </w:r>
      <w:r>
        <w:rPr>
          <w:rFonts w:hint="eastAsia" w:ascii="宋体" w:hAnsi="宋体" w:cs="宋体"/>
          <w:color w:val="auto"/>
          <w:kern w:val="0"/>
          <w:szCs w:val="21"/>
        </w:rPr>
        <w:t>磋商小组</w:t>
      </w:r>
      <w:r>
        <w:rPr>
          <w:rFonts w:hint="eastAsia" w:ascii="宋体" w:hAnsi="宋体" w:cs="宋体"/>
          <w:color w:val="auto"/>
          <w:szCs w:val="21"/>
        </w:rPr>
        <w:t>决定</w:t>
      </w:r>
      <w:r>
        <w:rPr>
          <w:rFonts w:hint="eastAsia" w:ascii="宋体" w:hAnsi="宋体" w:cs="宋体"/>
          <w:color w:val="auto"/>
        </w:rPr>
        <w:t>响应文件</w:t>
      </w:r>
      <w:r>
        <w:rPr>
          <w:rFonts w:hint="eastAsia" w:ascii="宋体" w:hAnsi="宋体" w:cs="宋体"/>
          <w:color w:val="auto"/>
          <w:szCs w:val="21"/>
        </w:rPr>
        <w:t>的响应性只根据</w:t>
      </w:r>
      <w:r>
        <w:rPr>
          <w:rFonts w:hint="eastAsia" w:ascii="宋体" w:hAnsi="宋体" w:cs="宋体"/>
          <w:color w:val="auto"/>
        </w:rPr>
        <w:t>响应文件</w:t>
      </w:r>
      <w:r>
        <w:rPr>
          <w:rFonts w:hint="eastAsia" w:ascii="宋体" w:hAnsi="宋体" w:cs="宋体"/>
          <w:color w:val="auto"/>
          <w:szCs w:val="21"/>
        </w:rPr>
        <w:t>本身的真实无误的内容，而不依据外部的证据。</w:t>
      </w:r>
    </w:p>
    <w:p>
      <w:pPr>
        <w:pStyle w:val="24"/>
        <w:adjustRightInd w:val="0"/>
        <w:snapToGrid w:val="0"/>
        <w:spacing w:line="360" w:lineRule="auto"/>
        <w:rPr>
          <w:rFonts w:hAnsi="宋体" w:cs="宋体"/>
          <w:b/>
          <w:color w:val="auto"/>
          <w:kern w:val="0"/>
        </w:rPr>
      </w:pPr>
      <w:r>
        <w:rPr>
          <w:rFonts w:hint="eastAsia" w:hAnsi="宋体" w:cs="宋体"/>
          <w:b/>
          <w:color w:val="auto"/>
          <w:kern w:val="0"/>
        </w:rPr>
        <w:t xml:space="preserve">28.无效响应 </w:t>
      </w:r>
    </w:p>
    <w:p>
      <w:pPr>
        <w:pStyle w:val="24"/>
        <w:adjustRightInd w:val="0"/>
        <w:snapToGrid w:val="0"/>
        <w:spacing w:line="360" w:lineRule="auto"/>
        <w:ind w:firstLine="411" w:firstLineChars="196"/>
        <w:rPr>
          <w:rFonts w:hAnsi="宋体" w:cs="宋体"/>
          <w:b/>
          <w:color w:val="auto"/>
          <w:kern w:val="0"/>
        </w:rPr>
      </w:pPr>
      <w:r>
        <w:rPr>
          <w:rFonts w:hint="eastAsia" w:hAnsi="宋体" w:cs="宋体"/>
          <w:color w:val="auto"/>
          <w:kern w:val="0"/>
        </w:rPr>
        <w:t>28.1</w:t>
      </w:r>
      <w:r>
        <w:rPr>
          <w:rFonts w:hint="eastAsia" w:hAnsi="宋体" w:cs="宋体"/>
          <w:color w:val="auto"/>
        </w:rPr>
        <w:t>磋商小组在对资格性和符合性进行审查时，有下列情况之一的，属无效响应，</w:t>
      </w:r>
      <w:r>
        <w:rPr>
          <w:rFonts w:hint="eastAsia" w:hAnsi="宋体" w:cs="宋体"/>
          <w:color w:val="auto"/>
          <w:kern w:val="0"/>
        </w:rPr>
        <w:t>磋商小组应当告知有关供应商</w:t>
      </w:r>
      <w:r>
        <w:rPr>
          <w:rFonts w:hint="eastAsia" w:hAnsi="宋体" w:cs="宋体"/>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（2）联合体不符合本章第3.2款规定的；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（4）响应文件未按照磋商文件要求签署、盖章的；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（4）响应文件不满足本章第27.1、27.2款规定的实质性要求的；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（5）响应文件有效期不足的；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（6）响应文件不符合法律、规章、规范性文件和磋商文件规定及要求的。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29.澄清</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30.磋商</w:t>
      </w:r>
    </w:p>
    <w:p>
      <w:pPr>
        <w:widowControl/>
        <w:adjustRightInd w:val="0"/>
        <w:snapToGri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rPr>
        <w:t>30.1</w:t>
      </w:r>
      <w:r>
        <w:rPr>
          <w:rFonts w:hint="eastAsia" w:ascii="宋体" w:hAnsi="宋体" w:cs="宋体"/>
          <w:color w:val="auto"/>
        </w:rPr>
        <w:t>本章第10.2项</w:t>
      </w:r>
      <w:r>
        <w:rPr>
          <w:rFonts w:hint="eastAsia" w:ascii="宋体" w:hAnsi="宋体" w:cs="宋体"/>
          <w:color w:val="auto"/>
          <w:kern w:val="0"/>
          <w:szCs w:val="21"/>
        </w:rPr>
        <w:t>未明确磋商文件实质性变动内容的，或者磋商文件明确了可能发生实质性变动内容，但在磋商过程中，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（2）磋商文件明确可能发生实质性变动，但在磋商过程中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30.2</w:t>
      </w:r>
      <w:r>
        <w:rPr>
          <w:rFonts w:hint="eastAsia" w:ascii="宋体" w:hAnsi="宋体" w:cs="宋体"/>
          <w:color w:val="auto"/>
        </w:rPr>
        <w:t>本章第10.2</w:t>
      </w:r>
      <w:r>
        <w:rPr>
          <w:rFonts w:hint="eastAsia" w:ascii="宋体" w:hAnsi="宋体" w:cs="宋体"/>
          <w:color w:val="auto"/>
          <w:kern w:val="0"/>
          <w:szCs w:val="21"/>
          <w:lang w:val="zh-CN"/>
        </w:rPr>
        <w:t>款</w:t>
      </w:r>
      <w:r>
        <w:rPr>
          <w:rFonts w:hint="eastAsia" w:ascii="宋体" w:hAnsi="宋体" w:cs="宋体"/>
          <w:color w:val="auto"/>
          <w:kern w:val="0"/>
          <w:szCs w:val="21"/>
        </w:rPr>
        <w:t>明确磋商文件实质性变动内容的，</w:t>
      </w:r>
      <w:r>
        <w:rPr>
          <w:rFonts w:hint="eastAsia" w:ascii="宋体" w:hAnsi="宋体" w:cs="宋体"/>
          <w:bCs/>
          <w:color w:val="auto"/>
          <w:szCs w:val="21"/>
        </w:rPr>
        <w:t>磋商小组</w:t>
      </w:r>
      <w:r>
        <w:rPr>
          <w:rFonts w:hint="eastAsia" w:ascii="宋体" w:hAnsi="宋体" w:cs="宋体"/>
          <w:color w:val="auto"/>
          <w:kern w:val="0"/>
          <w:szCs w:val="21"/>
        </w:rPr>
        <w:t>可以组织多轮磋商。</w:t>
      </w:r>
      <w:r>
        <w:rPr>
          <w:rFonts w:hint="eastAsia" w:ascii="宋体" w:hAnsi="宋体" w:cs="宋体"/>
          <w:bCs/>
          <w:color w:val="auto"/>
          <w:szCs w:val="21"/>
        </w:rPr>
        <w:t>在每一轮磋商中，磋商小组</w:t>
      </w:r>
      <w:r>
        <w:rPr>
          <w:rFonts w:hint="eastAsia" w:ascii="宋体" w:hAnsi="宋体" w:cs="宋体"/>
          <w:color w:val="auto"/>
          <w:kern w:val="0"/>
          <w:szCs w:val="21"/>
        </w:rPr>
        <w:t>可以根据磋商文件规定和磋商情况，</w:t>
      </w:r>
      <w:r>
        <w:rPr>
          <w:rFonts w:hint="eastAsia" w:ascii="宋体" w:hAnsi="宋体" w:cs="宋体"/>
          <w:bCs/>
          <w:color w:val="auto"/>
          <w:szCs w:val="21"/>
        </w:rPr>
        <w:t>对磋商文件的</w:t>
      </w:r>
      <w:r>
        <w:rPr>
          <w:rFonts w:hint="eastAsia" w:ascii="宋体" w:hAnsi="宋体" w:cs="宋体"/>
          <w:color w:val="auto"/>
          <w:kern w:val="0"/>
          <w:szCs w:val="21"/>
        </w:rPr>
        <w:t>采购需求中的技术、服务要求以及合同草案条款</w:t>
      </w:r>
      <w:r>
        <w:rPr>
          <w:rFonts w:hint="eastAsia" w:ascii="宋体" w:hAnsi="宋体" w:cs="宋体"/>
          <w:bCs/>
          <w:color w:val="auto"/>
          <w:szCs w:val="21"/>
        </w:rPr>
        <w:t>作实质性变动(磋商文件的实质性变动内容为磋商文件的组成部分)，并以书面形式要求</w:t>
      </w:r>
      <w:r>
        <w:rPr>
          <w:rFonts w:hint="eastAsia" w:ascii="宋体" w:hAnsi="宋体" w:cs="宋体"/>
          <w:color w:val="auto"/>
          <w:kern w:val="0"/>
          <w:szCs w:val="21"/>
        </w:rPr>
        <w:t>响应文件审查合格</w:t>
      </w:r>
      <w:r>
        <w:rPr>
          <w:rFonts w:hint="eastAsia" w:ascii="宋体" w:hAnsi="宋体" w:cs="宋体"/>
          <w:bCs/>
          <w:color w:val="auto"/>
          <w:szCs w:val="21"/>
        </w:rPr>
        <w:t>的供应商，在规定的</w:t>
      </w:r>
      <w:r>
        <w:rPr>
          <w:rFonts w:hint="eastAsia" w:ascii="宋体" w:hAnsi="宋体" w:cs="宋体"/>
          <w:color w:val="auto"/>
          <w:kern w:val="0"/>
          <w:szCs w:val="21"/>
        </w:rPr>
        <w:t>截止时间前</w:t>
      </w:r>
      <w:r>
        <w:rPr>
          <w:rFonts w:hint="eastAsia" w:ascii="宋体" w:hAnsi="宋体" w:cs="宋体"/>
          <w:bCs/>
          <w:color w:val="auto"/>
          <w:szCs w:val="21"/>
        </w:rPr>
        <w:t>重</w:t>
      </w:r>
      <w:r>
        <w:rPr>
          <w:rFonts w:hint="eastAsia" w:ascii="宋体" w:hAnsi="宋体" w:cs="宋体"/>
          <w:color w:val="auto"/>
          <w:kern w:val="0"/>
          <w:szCs w:val="21"/>
        </w:rPr>
        <w:t>新提交响应文件</w:t>
      </w:r>
      <w:r>
        <w:rPr>
          <w:rFonts w:hint="eastAsia" w:ascii="宋体" w:hAnsi="宋体" w:cs="宋体"/>
          <w:bCs/>
          <w:color w:val="auto"/>
          <w:szCs w:val="21"/>
        </w:rPr>
        <w:t>。</w:t>
      </w:r>
      <w:r>
        <w:rPr>
          <w:rFonts w:hint="eastAsia" w:ascii="宋体" w:hAnsi="宋体" w:cs="宋体"/>
          <w:color w:val="auto"/>
          <w:kern w:val="0"/>
          <w:szCs w:val="21"/>
        </w:rPr>
        <w:t>磋商小组应当</w:t>
      </w:r>
      <w:r>
        <w:rPr>
          <w:rFonts w:hint="eastAsia" w:ascii="宋体" w:hAnsi="宋体" w:cs="宋体"/>
          <w:color w:val="auto"/>
          <w:szCs w:val="21"/>
        </w:rPr>
        <w:t>根据本章第26.2</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bCs/>
          <w:color w:val="auto"/>
          <w:szCs w:val="21"/>
        </w:rPr>
        <w:t>30.3</w:t>
      </w:r>
      <w:r>
        <w:rPr>
          <w:rFonts w:hint="eastAsia" w:ascii="宋体" w:hAnsi="宋体" w:cs="宋体"/>
          <w:color w:val="auto"/>
        </w:rPr>
        <w:t xml:space="preserve"> </w:t>
      </w:r>
      <w:r>
        <w:rPr>
          <w:rFonts w:hint="eastAsia" w:ascii="宋体" w:hAnsi="宋体" w:cs="宋体"/>
          <w:bCs/>
          <w:color w:val="auto"/>
        </w:rPr>
        <w:t>重</w:t>
      </w:r>
      <w:r>
        <w:rPr>
          <w:rFonts w:hint="eastAsia" w:ascii="宋体" w:hAnsi="宋体" w:cs="宋体"/>
          <w:color w:val="auto"/>
          <w:kern w:val="0"/>
        </w:rPr>
        <w:t>新提交的响应文件</w:t>
      </w:r>
      <w:r>
        <w:rPr>
          <w:rFonts w:hint="eastAsia" w:ascii="宋体" w:hAnsi="宋体" w:cs="宋体"/>
          <w:color w:val="auto"/>
        </w:rPr>
        <w:t>或者最后报价应按</w:t>
      </w:r>
      <w:r>
        <w:rPr>
          <w:rFonts w:hint="eastAsia" w:ascii="宋体" w:hAnsi="宋体" w:cs="宋体"/>
          <w:color w:val="auto"/>
          <w:kern w:val="0"/>
          <w:szCs w:val="21"/>
        </w:rPr>
        <w:t>本章第</w:t>
      </w:r>
      <w:r>
        <w:rPr>
          <w:rFonts w:hint="eastAsia" w:ascii="宋体" w:hAnsi="宋体" w:cs="宋体"/>
          <w:color w:val="auto"/>
        </w:rPr>
        <w:t>21.3</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由其法定代表人或其委托代理人签字或者加盖</w:t>
      </w:r>
      <w:r>
        <w:rPr>
          <w:rFonts w:hint="eastAsia" w:ascii="宋体" w:hAnsi="宋体" w:cs="宋体"/>
          <w:color w:val="auto"/>
          <w:kern w:val="0"/>
        </w:rPr>
        <w:t>供应商单位</w:t>
      </w:r>
      <w:r>
        <w:rPr>
          <w:rFonts w:hint="eastAsia" w:ascii="宋体" w:hAnsi="宋体" w:cs="宋体"/>
          <w:color w:val="auto"/>
          <w:kern w:val="0"/>
          <w:szCs w:val="21"/>
        </w:rPr>
        <w:t>章，在规定时间内密封递交给磋商小组</w:t>
      </w:r>
      <w:r>
        <w:rPr>
          <w:rFonts w:hint="eastAsia" w:ascii="宋体" w:hAnsi="宋体" w:cs="宋体"/>
          <w:bCs/>
          <w:color w:val="auto"/>
          <w:szCs w:val="21"/>
        </w:rPr>
        <w:t>。</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30.4</w:t>
      </w:r>
      <w:r>
        <w:rPr>
          <w:rFonts w:hint="eastAsia" w:ascii="宋体" w:hAnsi="宋体" w:cs="宋体"/>
          <w:color w:val="auto"/>
          <w:kern w:val="0"/>
          <w:szCs w:val="21"/>
          <w:lang w:val="zh-CN"/>
        </w:rPr>
        <w:t>供应商的</w:t>
      </w:r>
      <w:r>
        <w:rPr>
          <w:rFonts w:hint="eastAsia" w:ascii="宋体" w:hAnsi="宋体" w:cs="宋体"/>
          <w:bCs/>
          <w:color w:val="auto"/>
          <w:szCs w:val="21"/>
        </w:rPr>
        <w:t>最</w:t>
      </w:r>
      <w:r>
        <w:rPr>
          <w:rFonts w:hint="eastAsia" w:ascii="宋体" w:hAnsi="宋体" w:cs="宋体"/>
          <w:color w:val="auto"/>
          <w:kern w:val="0"/>
          <w:szCs w:val="21"/>
          <w:lang w:val="zh-CN"/>
        </w:rPr>
        <w:t>后</w:t>
      </w:r>
      <w:r>
        <w:rPr>
          <w:rFonts w:hint="eastAsia" w:ascii="宋体" w:hAnsi="宋体" w:cs="宋体"/>
          <w:bCs/>
          <w:color w:val="auto"/>
          <w:szCs w:val="21"/>
        </w:rPr>
        <w:t>报价及</w:t>
      </w:r>
      <w:r>
        <w:rPr>
          <w:rFonts w:hint="eastAsia" w:ascii="宋体" w:hAnsi="宋体" w:cs="宋体"/>
          <w:color w:val="auto"/>
          <w:kern w:val="0"/>
          <w:szCs w:val="21"/>
        </w:rPr>
        <w:t>采购政策规定的价格扣除情况，磋商小组应召集所有参加最后报价的供应商当场开封</w:t>
      </w:r>
      <w:r>
        <w:rPr>
          <w:rFonts w:hint="eastAsia" w:ascii="宋体" w:hAnsi="宋体" w:cs="宋体"/>
          <w:bCs/>
          <w:color w:val="auto"/>
          <w:szCs w:val="21"/>
        </w:rPr>
        <w:t>公布，并由供应商代表签字确认。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30.5提交首次响应文件的供应商，在提交最后报价之前，可以根据磋商情况退出磋商，</w:t>
      </w:r>
      <w:r>
        <w:rPr>
          <w:rFonts w:hint="eastAsia" w:ascii="宋体" w:hAnsi="宋体" w:cs="宋体"/>
          <w:color w:val="auto"/>
          <w:kern w:val="0"/>
        </w:rPr>
        <w:t>并书面通知采购代理机构或者磋商小组。</w:t>
      </w:r>
      <w:r>
        <w:rPr>
          <w:rFonts w:hint="eastAsia" w:ascii="宋体" w:hAnsi="宋体" w:cs="宋体"/>
          <w:color w:val="auto"/>
        </w:rPr>
        <w:t>该通知由供应商法定代表人或其委托代理人签字。</w:t>
      </w:r>
      <w:r>
        <w:rPr>
          <w:rFonts w:hint="eastAsia" w:ascii="宋体" w:hAnsi="宋体" w:cs="宋体"/>
          <w:color w:val="auto"/>
          <w:kern w:val="0"/>
          <w:szCs w:val="21"/>
        </w:rPr>
        <w:t>采购代理机构</w:t>
      </w:r>
      <w:r>
        <w:rPr>
          <w:rFonts w:hint="eastAsia" w:ascii="宋体" w:hAnsi="宋体" w:cs="宋体"/>
          <w:color w:val="auto"/>
          <w:kern w:val="0"/>
        </w:rPr>
        <w:t>按</w:t>
      </w:r>
      <w:r>
        <w:rPr>
          <w:rFonts w:hint="eastAsia" w:ascii="宋体" w:hAnsi="宋体" w:cs="宋体"/>
          <w:color w:val="auto"/>
          <w:kern w:val="0"/>
          <w:szCs w:val="21"/>
        </w:rPr>
        <w:t>本章第</w:t>
      </w:r>
      <w:r>
        <w:rPr>
          <w:rFonts w:hint="eastAsia" w:ascii="宋体" w:hAnsi="宋体" w:cs="宋体"/>
          <w:color w:val="auto"/>
        </w:rPr>
        <w:t>19.4</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退还退出磋商的供应商的磋商保证金。</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bCs/>
          <w:color w:val="auto"/>
          <w:szCs w:val="21"/>
        </w:rPr>
        <w:t>30.6</w:t>
      </w:r>
      <w:r>
        <w:rPr>
          <w:rFonts w:hint="eastAsia" w:ascii="宋体" w:hAnsi="宋体" w:cs="宋体"/>
          <w:color w:val="auto"/>
          <w:kern w:val="0"/>
          <w:szCs w:val="21"/>
        </w:rPr>
        <w:t>提交首次响应文件的供应商，未按磋商文件规定及磋商小组要求提交最后报价(或者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新提交的响应文件和最后报价)，且又</w:t>
      </w:r>
      <w:r>
        <w:rPr>
          <w:rFonts w:hint="eastAsia" w:ascii="宋体" w:hAnsi="宋体" w:cs="宋体"/>
          <w:color w:val="auto"/>
          <w:kern w:val="0"/>
        </w:rPr>
        <w:t>未按</w:t>
      </w:r>
      <w:r>
        <w:rPr>
          <w:rFonts w:hint="eastAsia" w:ascii="宋体" w:hAnsi="宋体" w:cs="宋体"/>
          <w:color w:val="auto"/>
          <w:kern w:val="0"/>
          <w:szCs w:val="21"/>
        </w:rPr>
        <w:t>本章第</w:t>
      </w:r>
      <w:r>
        <w:rPr>
          <w:rFonts w:hint="eastAsia" w:ascii="宋体" w:hAnsi="宋体" w:cs="宋体"/>
          <w:color w:val="auto"/>
        </w:rPr>
        <w:t>30.5</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退出磋商的，供应商的磋商保证金不予退还。</w:t>
      </w:r>
    </w:p>
    <w:p>
      <w:pPr>
        <w:widowControl/>
        <w:adjustRightInd w:val="0"/>
        <w:snapToGrid w:val="0"/>
        <w:spacing w:line="360" w:lineRule="auto"/>
        <w:jc w:val="left"/>
        <w:rPr>
          <w:rFonts w:ascii="宋体" w:hAnsi="宋体" w:cs="宋体"/>
          <w:b/>
          <w:bCs/>
          <w:color w:val="auto"/>
          <w:szCs w:val="21"/>
        </w:rPr>
      </w:pPr>
      <w:r>
        <w:rPr>
          <w:rFonts w:hint="eastAsia" w:ascii="宋体" w:hAnsi="宋体" w:cs="宋体"/>
          <w:b/>
          <w:color w:val="auto"/>
          <w:kern w:val="0"/>
          <w:szCs w:val="21"/>
        </w:rPr>
        <w:t>31.响应文件评审</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auto"/>
          <w:szCs w:val="21"/>
        </w:rPr>
        <w:t>磋商须知前附表。</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bCs/>
          <w:color w:val="auto"/>
          <w:szCs w:val="21"/>
        </w:rPr>
        <w:t>31.3</w:t>
      </w:r>
      <w:r>
        <w:rPr>
          <w:rFonts w:hint="eastAsia" w:ascii="宋体" w:hAnsi="宋体" w:cs="宋体"/>
          <w:color w:val="auto"/>
          <w:szCs w:val="21"/>
        </w:rPr>
        <w:t>涉及采购政策优惠对供应商分值进行调整的，</w:t>
      </w:r>
      <w:r>
        <w:rPr>
          <w:rFonts w:hint="eastAsia" w:ascii="宋体" w:hAnsi="宋体" w:cs="宋体"/>
          <w:bCs/>
          <w:color w:val="auto"/>
          <w:szCs w:val="21"/>
        </w:rPr>
        <w:t>按</w:t>
      </w:r>
      <w:r>
        <w:rPr>
          <w:rFonts w:hint="eastAsia" w:ascii="宋体" w:hAnsi="宋体" w:cs="宋体"/>
          <w:b/>
          <w:color w:val="auto"/>
          <w:szCs w:val="21"/>
        </w:rPr>
        <w:t>磋商须知前附表</w:t>
      </w:r>
      <w:r>
        <w:rPr>
          <w:rFonts w:hint="eastAsia" w:ascii="宋体" w:hAnsi="宋体" w:cs="宋体"/>
          <w:bCs/>
          <w:color w:val="auto"/>
          <w:szCs w:val="21"/>
        </w:rPr>
        <w:t>规定</w:t>
      </w:r>
      <w:r>
        <w:rPr>
          <w:rFonts w:hint="eastAsia" w:ascii="宋体" w:hAnsi="宋体" w:cs="宋体"/>
          <w:color w:val="auto"/>
          <w:szCs w:val="21"/>
        </w:rPr>
        <w:t>调整供应商的技术、商务、价格</w:t>
      </w:r>
      <w:r>
        <w:rPr>
          <w:rFonts w:hint="eastAsia" w:ascii="宋体" w:hAnsi="宋体" w:cs="宋体"/>
          <w:color w:val="auto"/>
          <w:kern w:val="0"/>
          <w:szCs w:val="21"/>
        </w:rPr>
        <w:t>得分或总得分</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31.4涉及多处或部分获得采购政策优惠的，其多处或部分享受采购优惠政策的计算方法见</w:t>
      </w:r>
      <w:r>
        <w:rPr>
          <w:rFonts w:hint="eastAsia" w:ascii="宋体" w:hAnsi="宋体" w:cs="宋体"/>
          <w:b/>
          <w:color w:val="auto"/>
          <w:szCs w:val="21"/>
        </w:rPr>
        <w:t>磋商须知前附表</w:t>
      </w:r>
      <w:r>
        <w:rPr>
          <w:rFonts w:hint="eastAsia" w:ascii="宋体" w:hAnsi="宋体" w:cs="宋体"/>
          <w:color w:val="auto"/>
          <w:szCs w:val="21"/>
        </w:rPr>
        <w:t>相关规定。</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31.5</w:t>
      </w:r>
      <w:r>
        <w:rPr>
          <w:rFonts w:hint="eastAsia" w:ascii="宋体" w:hAnsi="宋体" w:cs="宋体"/>
          <w:color w:val="auto"/>
          <w:szCs w:val="21"/>
        </w:rPr>
        <w:t>评审时，磋商小组各成员应当独立对每个供应商的</w:t>
      </w:r>
      <w:r>
        <w:rPr>
          <w:rFonts w:hint="eastAsia" w:ascii="宋体" w:hAnsi="宋体" w:cs="宋体"/>
          <w:bCs/>
          <w:color w:val="auto"/>
          <w:szCs w:val="21"/>
        </w:rPr>
        <w:t>响应文件</w:t>
      </w:r>
      <w:r>
        <w:rPr>
          <w:rFonts w:hint="eastAsia" w:ascii="宋体" w:hAnsi="宋体" w:cs="宋体"/>
          <w:color w:val="auto"/>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32</w:t>
      </w:r>
      <w:r>
        <w:rPr>
          <w:rFonts w:hint="eastAsia" w:ascii="宋体" w:hAnsi="宋体" w:cs="宋体"/>
          <w:b/>
          <w:color w:val="auto"/>
          <w:kern w:val="0"/>
          <w:szCs w:val="21"/>
        </w:rPr>
        <w:t>.</w:t>
      </w:r>
      <w:r>
        <w:rPr>
          <w:rFonts w:hint="eastAsia" w:ascii="宋体" w:hAnsi="宋体" w:cs="宋体"/>
          <w:b/>
          <w:bCs/>
          <w:color w:val="auto"/>
          <w:szCs w:val="21"/>
        </w:rPr>
        <w:t>提出成交供应商</w:t>
      </w:r>
    </w:p>
    <w:p>
      <w:pPr>
        <w:widowControl/>
        <w:spacing w:line="360" w:lineRule="auto"/>
        <w:rPr>
          <w:rFonts w:ascii="宋体" w:hAnsi="宋体" w:cs="宋体"/>
          <w:bCs/>
          <w:color w:val="auto"/>
          <w:szCs w:val="21"/>
        </w:rPr>
      </w:pPr>
      <w:r>
        <w:rPr>
          <w:rFonts w:hint="eastAsia" w:ascii="宋体" w:hAnsi="宋体" w:cs="宋体"/>
          <w:color w:val="auto"/>
          <w:kern w:val="0"/>
          <w:szCs w:val="21"/>
        </w:rPr>
        <w:t xml:space="preserve">    32.1</w:t>
      </w:r>
      <w:r>
        <w:rPr>
          <w:rFonts w:hint="eastAsia" w:ascii="宋体" w:hAnsi="宋体" w:cs="宋体"/>
          <w:bCs/>
          <w:color w:val="auto"/>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auto"/>
          <w:szCs w:val="21"/>
        </w:rPr>
        <w:t>可以推荐2家成交候选供应商。</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33.确定成交供应商</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0" w:hangingChars="300"/>
        <w:rPr>
          <w:rFonts w:hAnsi="宋体" w:cs="宋体"/>
          <w:b/>
          <w:color w:val="auto"/>
        </w:rPr>
      </w:pPr>
      <w:r>
        <w:rPr>
          <w:rFonts w:hint="eastAsia" w:hAnsi="宋体" w:cs="宋体"/>
          <w:b/>
          <w:color w:val="auto"/>
        </w:rPr>
        <w:t>34.磋商终止</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bCs/>
          <w:color w:val="auto"/>
          <w:szCs w:val="21"/>
        </w:rPr>
        <w:t>34.1</w:t>
      </w:r>
      <w:r>
        <w:rPr>
          <w:rFonts w:hint="eastAsia" w:ascii="宋体" w:hAnsi="宋体" w:cs="宋体"/>
          <w:color w:val="auto"/>
          <w:kern w:val="0"/>
          <w:szCs w:val="21"/>
        </w:rPr>
        <w:t>出现下列情形之一的，采购人或者采购代理机构应当终止竞争性磋商采购活动，</w:t>
      </w:r>
      <w:r>
        <w:rPr>
          <w:rFonts w:hint="eastAsia" w:ascii="宋体" w:hAnsi="宋体" w:cs="宋体"/>
          <w:color w:val="auto"/>
        </w:rPr>
        <w:t>在本章第37.1款指定的媒体上</w:t>
      </w:r>
      <w:r>
        <w:rPr>
          <w:rFonts w:hint="eastAsia" w:ascii="宋体" w:hAnsi="宋体" w:cs="宋体"/>
          <w:color w:val="auto"/>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（2）出现影响采购公正的违法、违规行为的；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（3）</w:t>
      </w:r>
      <w:r>
        <w:rPr>
          <w:rFonts w:hint="eastAsia" w:ascii="宋体" w:hAnsi="宋体" w:cs="宋体"/>
          <w:bCs/>
          <w:color w:val="auto"/>
          <w:szCs w:val="21"/>
        </w:rPr>
        <w:t>除《政府采购竞争性磋商采购方式管理暂行办法》(财库〔2014〕214号)</w:t>
      </w:r>
      <w:r>
        <w:rPr>
          <w:rFonts w:hint="eastAsia" w:ascii="宋体" w:hAnsi="宋体" w:cs="宋体"/>
          <w:color w:val="auto"/>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auto"/>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（4）因重大变故，采购任务取消的。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35．重新评审</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36.保密及串通行为</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36.2</w:t>
      </w:r>
      <w:r>
        <w:rPr>
          <w:rFonts w:hint="eastAsia" w:ascii="宋体" w:hAnsi="宋体" w:cs="宋体"/>
          <w:color w:val="auto"/>
          <w:kern w:val="0"/>
          <w:szCs w:val="21"/>
        </w:rPr>
        <w:t>供应商</w:t>
      </w:r>
      <w:r>
        <w:rPr>
          <w:rFonts w:hint="eastAsia" w:ascii="宋体" w:hAnsi="宋体" w:cs="宋体"/>
          <w:color w:val="auto"/>
          <w:szCs w:val="21"/>
        </w:rPr>
        <w:t>不得与</w:t>
      </w:r>
      <w:r>
        <w:rPr>
          <w:rFonts w:hint="eastAsia" w:ascii="宋体" w:hAnsi="宋体" w:cs="宋体"/>
          <w:color w:val="auto"/>
          <w:kern w:val="0"/>
          <w:szCs w:val="21"/>
        </w:rPr>
        <w:t>采购人、采购代理机构、其它供应商恶意</w:t>
      </w:r>
      <w:r>
        <w:rPr>
          <w:rFonts w:hint="eastAsia" w:ascii="宋体" w:hAnsi="宋体" w:cs="宋体"/>
          <w:color w:val="auto"/>
          <w:szCs w:val="21"/>
        </w:rPr>
        <w:t>串通；不得向</w:t>
      </w:r>
      <w:r>
        <w:rPr>
          <w:rFonts w:hint="eastAsia" w:ascii="宋体" w:hAnsi="宋体" w:cs="宋体"/>
          <w:color w:val="auto"/>
          <w:kern w:val="0"/>
          <w:szCs w:val="21"/>
        </w:rPr>
        <w:t>采购人、采购代理机构</w:t>
      </w:r>
      <w:r>
        <w:rPr>
          <w:rFonts w:hint="eastAsia" w:ascii="宋体" w:hAnsi="宋体" w:cs="宋体"/>
          <w:color w:val="auto"/>
          <w:szCs w:val="21"/>
        </w:rPr>
        <w:t>或者磋商小组成员行贿或者提供其它不正当利益；不得提供虚假资料谋取成交；不得以任何方式干扰、影响采购工作。</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rPr>
        <w:t>36.3</w:t>
      </w:r>
      <w:r>
        <w:rPr>
          <w:rFonts w:hint="eastAsia"/>
          <w:color w:val="auto"/>
          <w:sz w:val="21"/>
          <w:szCs w:val="21"/>
          <w:lang w:val="zh-CN"/>
        </w:rPr>
        <w:t>有下列情形之一的，属于恶意串通，对供应商依照政府采购法第七十七条第一款的规定追究法律责任：</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（一）供应商直接或者间接从采购人或者采购代理机构处获得其它供应商的相关情况并修改其投标文件或者响应文件；</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（二）供应商按照采购人或者采购代理机构的授意撤换、修改投标文件或者响应文件；</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（三）供应商之间协商报价、技术方案等投标文件或者响应文件的实质性内容；</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（四）属于同一集团、协会、商会等组织成员的供应商按照该组织要求协同参加采购活动；</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（五）供应商之间事先约定由某一特定供应商中标、成交；</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（六）供应商之间商定部分供应商放弃参加采购活动或者放弃中标、成交；</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color w:val="auto"/>
          <w:sz w:val="24"/>
        </w:rPr>
      </w:pPr>
      <w:r>
        <w:rPr>
          <w:rFonts w:hint="eastAsia" w:ascii="宋体" w:hAnsi="宋体" w:cs="宋体"/>
          <w:color w:val="auto"/>
          <w:sz w:val="24"/>
        </w:rPr>
        <w:t>六、成交结果信息公布与授予合同</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37.成交信息的公布</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37.1成交供应商确定后2个工作日内，成交结果信息将在</w:t>
      </w:r>
      <w:r>
        <w:rPr>
          <w:rFonts w:hint="eastAsia" w:hAnsi="宋体" w:cs="宋体"/>
          <w:b/>
          <w:color w:val="auto"/>
        </w:rPr>
        <w:t>磋商须知前附表</w:t>
      </w:r>
      <w:r>
        <w:rPr>
          <w:rFonts w:hint="eastAsia" w:hAnsi="宋体" w:cs="宋体"/>
          <w:color w:val="auto"/>
        </w:rPr>
        <w:t>指定的媒体上公布。</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38.询问及质疑</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39.成交通知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 xml:space="preserve">39.3 </w:t>
      </w:r>
      <w:r>
        <w:rPr>
          <w:rFonts w:hint="eastAsia" w:ascii="宋体" w:hAnsi="宋体" w:cs="宋体"/>
          <w:color w:val="auto"/>
          <w:szCs w:val="21"/>
        </w:rPr>
        <w:t>成交供应商在收到采购代理机构的成交通知书后10日内，应按照</w:t>
      </w:r>
      <w:r>
        <w:rPr>
          <w:rFonts w:hint="eastAsia" w:ascii="宋体" w:hAnsi="宋体" w:cs="宋体"/>
          <w:b/>
          <w:color w:val="auto"/>
          <w:szCs w:val="21"/>
        </w:rPr>
        <w:t>磋商须知前附表</w:t>
      </w:r>
      <w:r>
        <w:rPr>
          <w:rFonts w:hint="eastAsia" w:ascii="宋体" w:hAnsi="宋体" w:cs="宋体"/>
          <w:color w:val="auto"/>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39.4 成交供应商</w:t>
      </w:r>
      <w:r>
        <w:rPr>
          <w:rFonts w:hint="eastAsia" w:hAnsi="宋体" w:cs="宋体"/>
          <w:color w:val="auto"/>
          <w:spacing w:val="4"/>
        </w:rPr>
        <w:t>没有按照本章第39.3</w:t>
      </w:r>
      <w:r>
        <w:rPr>
          <w:rFonts w:hint="eastAsia" w:hAnsi="宋体" w:cs="宋体"/>
          <w:color w:val="auto"/>
          <w:kern w:val="0"/>
          <w:lang w:val="zh-CN"/>
        </w:rPr>
        <w:t>款</w:t>
      </w:r>
      <w:r>
        <w:rPr>
          <w:rFonts w:hint="eastAsia" w:hAnsi="宋体" w:cs="宋体"/>
          <w:color w:val="auto"/>
          <w:spacing w:val="4"/>
        </w:rPr>
        <w:t>规定</w:t>
      </w:r>
      <w:r>
        <w:rPr>
          <w:rFonts w:hint="eastAsia" w:hAnsi="宋体" w:cs="宋体"/>
          <w:color w:val="auto"/>
        </w:rPr>
        <w:t>提交履约担保的</w:t>
      </w:r>
      <w:r>
        <w:rPr>
          <w:rFonts w:hint="eastAsia" w:hAnsi="宋体" w:cs="宋体"/>
          <w:color w:val="auto"/>
          <w:spacing w:val="4"/>
        </w:rPr>
        <w:t>，视为放弃</w:t>
      </w:r>
      <w:r>
        <w:rPr>
          <w:rFonts w:hint="eastAsia" w:hAnsi="宋体" w:cs="宋体"/>
          <w:color w:val="auto"/>
        </w:rPr>
        <w:t>成交资格</w:t>
      </w:r>
      <w:r>
        <w:rPr>
          <w:rFonts w:hint="eastAsia" w:hAnsi="宋体" w:cs="宋体"/>
          <w:color w:val="auto"/>
          <w:spacing w:val="4"/>
        </w:rPr>
        <w:t>，</w:t>
      </w:r>
      <w:r>
        <w:rPr>
          <w:rFonts w:hint="eastAsia" w:hAnsi="宋体" w:cs="宋体"/>
          <w:color w:val="auto"/>
          <w:spacing w:val="2"/>
        </w:rPr>
        <w:t>其保证金不予退还。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40.签订合同</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40.1成交供应商应当在成交通知书发出之日起30日内与采购人签订采购合同。</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40.2磋商文件、成交供应商的响应文件等均为签订采购合同的依据。</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40.4 成交供应商有下列情形之一的，责令限期改正，情节严重的，列入不良行为记录名单，在1至3年内禁止参加采购活动，并予以通报：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（一）成交后无正当理由不与采购人签订合同的；</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（二）未按照采购文件确定的事项签订采购合同，或者与采购人另行订立背离合同实质性内容的协议的；</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（三）拒绝履行合同义务的；</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（四）</w:t>
      </w:r>
      <w:r>
        <w:rPr>
          <w:rFonts w:hint="eastAsia" w:hAnsi="宋体" w:cs="宋体"/>
          <w:color w:val="auto"/>
          <w:kern w:val="0"/>
        </w:rPr>
        <w:t>违反法律、规章、规范性文件规定的。</w:t>
      </w:r>
    </w:p>
    <w:p>
      <w:pPr>
        <w:adjustRightInd w:val="0"/>
        <w:snapToGrid w:val="0"/>
        <w:spacing w:line="360" w:lineRule="auto"/>
        <w:rPr>
          <w:rFonts w:ascii="宋体" w:hAnsi="宋体" w:cs="宋体"/>
          <w:color w:val="auto"/>
          <w:sz w:val="24"/>
        </w:rPr>
      </w:pPr>
      <w:r>
        <w:rPr>
          <w:rFonts w:hint="eastAsia" w:ascii="宋体" w:hAnsi="宋体" w:cs="宋体"/>
          <w:color w:val="auto"/>
          <w:sz w:val="24"/>
        </w:rPr>
        <w:t>七、其它规定</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41.1采购代理机构应按</w:t>
      </w:r>
      <w:r>
        <w:rPr>
          <w:rFonts w:hint="eastAsia" w:ascii="宋体" w:hAnsi="宋体" w:cs="宋体"/>
          <w:b/>
          <w:color w:val="auto"/>
          <w:szCs w:val="21"/>
        </w:rPr>
        <w:t>磋商须知前附表</w:t>
      </w:r>
      <w:r>
        <w:rPr>
          <w:rFonts w:hint="eastAsia" w:ascii="宋体" w:hAnsi="宋体" w:cs="宋体"/>
          <w:color w:val="auto"/>
          <w:szCs w:val="21"/>
        </w:rPr>
        <w:t>规定收取采购代理服务费。</w:t>
      </w:r>
    </w:p>
    <w:p>
      <w:pPr>
        <w:pStyle w:val="45"/>
        <w:spacing w:after="0" w:line="360" w:lineRule="auto"/>
        <w:ind w:left="0" w:leftChars="0"/>
        <w:rPr>
          <w:rFonts w:ascii="宋体" w:hAnsi="宋体" w:cs="宋体"/>
          <w:color w:val="auto"/>
        </w:rPr>
      </w:pPr>
      <w:r>
        <w:rPr>
          <w:rFonts w:hint="eastAsia" w:ascii="宋体" w:hAnsi="宋体" w:cs="宋体"/>
          <w:color w:val="auto"/>
          <w:szCs w:val="21"/>
        </w:rPr>
        <w:t>41.2集中采购机构不得收取采购代理服务费。</w:t>
      </w:r>
    </w:p>
    <w:p>
      <w:pPr>
        <w:tabs>
          <w:tab w:val="left" w:pos="420"/>
          <w:tab w:val="left" w:pos="7560"/>
          <w:tab w:val="left" w:pos="7740"/>
          <w:tab w:val="left" w:pos="7920"/>
        </w:tabs>
        <w:snapToGrid w:val="0"/>
        <w:spacing w:line="360" w:lineRule="auto"/>
        <w:rPr>
          <w:rFonts w:ascii="宋体" w:hAnsi="宋体" w:cs="宋体"/>
          <w:b/>
          <w:color w:val="auto"/>
        </w:rPr>
      </w:pPr>
      <w:r>
        <w:rPr>
          <w:rFonts w:hint="eastAsia" w:ascii="宋体" w:hAnsi="宋体" w:cs="宋体"/>
          <w:b/>
          <w:color w:val="auto"/>
          <w:szCs w:val="21"/>
        </w:rPr>
        <w:t>42.</w:t>
      </w:r>
      <w:r>
        <w:rPr>
          <w:rFonts w:hint="eastAsia" w:ascii="宋体" w:hAnsi="宋体" w:cs="宋体"/>
          <w:b/>
          <w:color w:val="auto"/>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rPr>
        <w:t>42.1</w:t>
      </w:r>
      <w:r>
        <w:rPr>
          <w:rFonts w:hint="eastAsia" w:ascii="宋体" w:hAnsi="宋体" w:cs="宋体"/>
          <w:color w:val="auto"/>
          <w:szCs w:val="21"/>
        </w:rPr>
        <w:t>磋商文件</w:t>
      </w:r>
      <w:r>
        <w:rPr>
          <w:rFonts w:hint="eastAsia" w:ascii="宋体" w:hAnsi="宋体" w:cs="宋体"/>
          <w:color w:val="auto"/>
        </w:rPr>
        <w:t>的其它规定</w:t>
      </w:r>
      <w:r>
        <w:rPr>
          <w:rFonts w:hint="eastAsia" w:ascii="宋体" w:hAnsi="宋体" w:cs="宋体"/>
          <w:color w:val="auto"/>
          <w:szCs w:val="21"/>
        </w:rPr>
        <w:t>见</w:t>
      </w:r>
      <w:r>
        <w:rPr>
          <w:rFonts w:hint="eastAsia" w:ascii="宋体" w:hAnsi="宋体" w:cs="宋体"/>
          <w:b/>
          <w:color w:val="auto"/>
          <w:szCs w:val="21"/>
        </w:rPr>
        <w:t>磋商须知前附表。</w:t>
      </w:r>
    </w:p>
    <w:p>
      <w:pPr>
        <w:keepNext w:val="0"/>
        <w:keepLines w:val="0"/>
        <w:pageBreakBefore w:val="0"/>
        <w:widowControl w:val="0"/>
        <w:kinsoku/>
        <w:wordWrap/>
        <w:overflowPunct/>
        <w:topLinePunct w:val="0"/>
        <w:autoSpaceDE/>
        <w:autoSpaceDN/>
        <w:bidi w:val="0"/>
        <w:adjustRightInd/>
        <w:snapToGrid/>
        <w:spacing w:after="937" w:afterLines="300"/>
        <w:jc w:val="center"/>
        <w:textAlignment w:val="auto"/>
        <w:rPr>
          <w:rFonts w:hint="eastAsia"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第三章</w:t>
      </w: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rPr>
        <w:t xml:space="preserve">采购合同格式  </w:t>
      </w:r>
    </w:p>
    <w:p>
      <w:pPr>
        <w:jc w:val="center"/>
        <w:rPr>
          <w:rFonts w:hint="default" w:ascii="仿宋" w:hAnsi="仿宋" w:eastAsia="仿宋" w:cs="仿宋"/>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2024年度消纳场机械设备租赁及洗车工劳务外包服务合同</w:t>
      </w:r>
    </w:p>
    <w:p>
      <w:pPr>
        <w:rPr>
          <w:rFonts w:hint="eastAsia" w:ascii="仿宋" w:hAnsi="仿宋" w:eastAsia="仿宋" w:cs="仿宋"/>
          <w:color w:val="000000"/>
          <w:sz w:val="30"/>
          <w:szCs w:val="30"/>
          <w:highlight w:val="none"/>
          <w:lang w:eastAsia="zh-CN"/>
        </w:rPr>
      </w:pPr>
    </w:p>
    <w:p>
      <w:pPr>
        <w:rPr>
          <w:rFonts w:hint="default" w:ascii="仿宋" w:hAnsi="仿宋" w:eastAsia="仿宋" w:cs="仿宋"/>
          <w:color w:val="000000"/>
          <w:sz w:val="30"/>
          <w:szCs w:val="30"/>
          <w:highlight w:val="none"/>
          <w:u w:val="single"/>
          <w:lang w:val="en-US" w:eastAsia="zh-CN"/>
        </w:rPr>
      </w:pPr>
      <w:r>
        <w:rPr>
          <w:rFonts w:hint="eastAsia" w:ascii="仿宋" w:hAnsi="仿宋" w:eastAsia="仿宋" w:cs="仿宋"/>
          <w:color w:val="000000"/>
          <w:sz w:val="30"/>
          <w:szCs w:val="30"/>
          <w:highlight w:val="none"/>
          <w:lang w:eastAsia="zh-CN"/>
        </w:rPr>
        <w:t>甲方</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u w:val="single"/>
          <w:lang w:val="en-US" w:eastAsia="zh-CN"/>
        </w:rPr>
        <w:t xml:space="preserve">                     </w:t>
      </w:r>
    </w:p>
    <w:p>
      <w:pPr>
        <w:rPr>
          <w:rFonts w:hint="default" w:ascii="仿宋" w:hAnsi="仿宋" w:eastAsia="仿宋" w:cs="仿宋"/>
          <w:color w:val="000000"/>
          <w:sz w:val="28"/>
          <w:szCs w:val="28"/>
          <w:highlight w:val="none"/>
          <w:u w:val="single"/>
          <w:lang w:val="en-US" w:eastAsia="zh-CN"/>
        </w:rPr>
      </w:pPr>
      <w:r>
        <w:rPr>
          <w:rFonts w:hint="eastAsia" w:ascii="仿宋" w:hAnsi="仿宋" w:eastAsia="仿宋" w:cs="仿宋"/>
          <w:color w:val="000000"/>
          <w:sz w:val="30"/>
          <w:szCs w:val="30"/>
          <w:highlight w:val="none"/>
          <w:lang w:eastAsia="zh-CN"/>
        </w:rPr>
        <w:t>地址：</w:t>
      </w:r>
      <w:r>
        <w:rPr>
          <w:rFonts w:hint="eastAsia" w:ascii="仿宋" w:hAnsi="仿宋" w:eastAsia="仿宋" w:cs="仿宋"/>
          <w:color w:val="000000"/>
          <w:sz w:val="28"/>
          <w:szCs w:val="28"/>
          <w:highlight w:val="none"/>
          <w:u w:val="single"/>
          <w:lang w:eastAsia="zh-CN"/>
        </w:rPr>
        <w:t xml:space="preserve"> </w:t>
      </w:r>
      <w:r>
        <w:rPr>
          <w:rFonts w:hint="eastAsia" w:ascii="仿宋" w:hAnsi="仿宋" w:eastAsia="仿宋" w:cs="仿宋"/>
          <w:color w:val="000000"/>
          <w:sz w:val="28"/>
          <w:szCs w:val="28"/>
          <w:highlight w:val="none"/>
          <w:u w:val="single"/>
          <w:lang w:val="en-US" w:eastAsia="zh-CN"/>
        </w:rPr>
        <w:t xml:space="preserve">                      </w:t>
      </w:r>
    </w:p>
    <w:p>
      <w:pPr>
        <w:rPr>
          <w:rFonts w:hint="default" w:ascii="仿宋" w:hAnsi="仿宋" w:eastAsia="仿宋" w:cs="仿宋"/>
          <w:color w:val="000000"/>
          <w:sz w:val="30"/>
          <w:szCs w:val="30"/>
          <w:highlight w:val="none"/>
          <w:u w:val="single"/>
          <w:lang w:val="en-US" w:eastAsia="zh-CN"/>
        </w:rPr>
      </w:pPr>
      <w:r>
        <w:rPr>
          <w:rFonts w:hint="eastAsia" w:ascii="仿宋" w:hAnsi="仿宋" w:eastAsia="仿宋" w:cs="仿宋"/>
          <w:color w:val="000000"/>
          <w:sz w:val="30"/>
          <w:szCs w:val="30"/>
          <w:highlight w:val="none"/>
          <w:lang w:eastAsia="zh-CN"/>
        </w:rPr>
        <w:t>联系方式：</w:t>
      </w:r>
      <w:r>
        <w:rPr>
          <w:rFonts w:hint="eastAsia" w:ascii="仿宋" w:hAnsi="仿宋" w:eastAsia="仿宋" w:cs="仿宋"/>
          <w:color w:val="000000"/>
          <w:sz w:val="30"/>
          <w:szCs w:val="30"/>
          <w:highlight w:val="none"/>
          <w:u w:val="single"/>
          <w:lang w:val="en-US" w:eastAsia="zh-CN"/>
        </w:rPr>
        <w:t xml:space="preserve">                  </w:t>
      </w:r>
    </w:p>
    <w:p>
      <w:pPr>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eastAsia="zh-CN"/>
        </w:rPr>
        <w:t>乙方</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u w:val="single"/>
          <w:lang w:val="en-US" w:eastAsia="zh-CN"/>
        </w:rPr>
        <w:t xml:space="preserve">                      </w:t>
      </w:r>
      <w:r>
        <w:rPr>
          <w:rFonts w:hint="eastAsia" w:ascii="仿宋" w:hAnsi="仿宋" w:eastAsia="仿宋" w:cs="仿宋"/>
          <w:color w:val="000000"/>
          <w:sz w:val="30"/>
          <w:szCs w:val="30"/>
          <w:highlight w:val="none"/>
          <w:lang w:val="en-US" w:eastAsia="zh-CN"/>
        </w:rPr>
        <w:t xml:space="preserve"> </w:t>
      </w:r>
    </w:p>
    <w:p>
      <w:pPr>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30"/>
          <w:szCs w:val="30"/>
          <w:highlight w:val="none"/>
          <w:lang w:eastAsia="zh-CN"/>
        </w:rPr>
        <w:t>地址：</w:t>
      </w:r>
      <w:r>
        <w:rPr>
          <w:rFonts w:hint="eastAsia" w:ascii="仿宋" w:hAnsi="仿宋" w:eastAsia="仿宋" w:cs="仿宋"/>
          <w:color w:val="000000"/>
          <w:sz w:val="30"/>
          <w:szCs w:val="30"/>
          <w:highlight w:val="none"/>
          <w:u w:val="single"/>
          <w:lang w:val="en-US" w:eastAsia="zh-CN"/>
        </w:rPr>
        <w:t xml:space="preserve">                      </w:t>
      </w:r>
    </w:p>
    <w:p>
      <w:pPr>
        <w:rPr>
          <w:rFonts w:hint="eastAsia" w:ascii="仿宋" w:hAnsi="仿宋" w:eastAsia="仿宋" w:cs="仿宋"/>
          <w:color w:val="000000"/>
          <w:sz w:val="30"/>
          <w:szCs w:val="30"/>
          <w:highlight w:val="none"/>
          <w:lang w:val="en-US"/>
        </w:rPr>
      </w:pPr>
      <w:r>
        <w:rPr>
          <w:rFonts w:hint="eastAsia" w:ascii="仿宋" w:hAnsi="仿宋" w:eastAsia="仿宋" w:cs="仿宋"/>
          <w:color w:val="000000"/>
          <w:sz w:val="30"/>
          <w:szCs w:val="30"/>
          <w:highlight w:val="none"/>
          <w:lang w:eastAsia="zh-CN"/>
        </w:rPr>
        <w:t>联系方式：</w:t>
      </w:r>
      <w:r>
        <w:rPr>
          <w:rFonts w:hint="eastAsia" w:ascii="仿宋" w:hAnsi="仿宋" w:eastAsia="仿宋" w:cs="仿宋"/>
          <w:color w:val="000000"/>
          <w:sz w:val="30"/>
          <w:szCs w:val="30"/>
          <w:highlight w:val="none"/>
          <w:u w:val="single"/>
          <w:lang w:val="en-US" w:eastAsia="zh-CN"/>
        </w:rPr>
        <w:t xml:space="preserve">                  </w:t>
      </w:r>
      <w:r>
        <w:rPr>
          <w:rFonts w:hint="eastAsia" w:ascii="仿宋" w:hAnsi="仿宋" w:eastAsia="仿宋" w:cs="仿宋"/>
          <w:color w:val="000000"/>
          <w:sz w:val="30"/>
          <w:szCs w:val="30"/>
          <w:highlight w:val="none"/>
          <w:lang w:val="en-US" w:eastAsia="zh-CN"/>
        </w:rPr>
        <w:t xml:space="preserve"> </w:t>
      </w:r>
    </w:p>
    <w:p>
      <w:pPr>
        <w:rPr>
          <w:rFonts w:hint="eastAsia" w:ascii="仿宋" w:hAnsi="仿宋" w:eastAsia="仿宋" w:cs="仿宋"/>
          <w:color w:val="000000"/>
          <w:sz w:val="30"/>
          <w:szCs w:val="30"/>
          <w:highlight w:val="none"/>
          <w:lang w:val="en-US"/>
        </w:rPr>
      </w:pPr>
    </w:p>
    <w:p>
      <w:pPr>
        <w:ind w:firstLine="600" w:firstLineChars="200"/>
        <w:rPr>
          <w:rFonts w:hint="eastAsia" w:ascii="仿宋" w:hAnsi="仿宋" w:eastAsia="仿宋" w:cs="仿宋"/>
          <w:color w:val="000000"/>
          <w:sz w:val="30"/>
          <w:szCs w:val="30"/>
          <w:highlight w:val="none"/>
          <w:lang w:val="en-US" w:eastAsia="zh-CN"/>
        </w:rPr>
      </w:pPr>
    </w:p>
    <w:p>
      <w:pPr>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依照《中华人民共和国</w:t>
      </w:r>
      <w:r>
        <w:rPr>
          <w:rFonts w:hint="eastAsia" w:ascii="仿宋" w:hAnsi="仿宋" w:eastAsia="仿宋" w:cs="仿宋"/>
          <w:color w:val="000000"/>
          <w:sz w:val="28"/>
          <w:szCs w:val="28"/>
          <w:highlight w:val="none"/>
          <w:lang w:eastAsia="zh-CN"/>
        </w:rPr>
        <w:t>民法典</w:t>
      </w:r>
      <w:r>
        <w:rPr>
          <w:rFonts w:hint="eastAsia" w:ascii="仿宋" w:hAnsi="仿宋" w:eastAsia="仿宋" w:cs="仿宋"/>
          <w:color w:val="000000"/>
          <w:sz w:val="28"/>
          <w:szCs w:val="28"/>
          <w:highlight w:val="none"/>
        </w:rPr>
        <w:t>》以及相关法律法规，遵循平等、自愿和诚实信用的原则，双方经协商就租赁建筑施工机械</w:t>
      </w:r>
      <w:r>
        <w:rPr>
          <w:rFonts w:hint="eastAsia" w:ascii="仿宋" w:hAnsi="仿宋" w:eastAsia="仿宋" w:cs="仿宋"/>
          <w:color w:val="000000"/>
          <w:sz w:val="28"/>
          <w:szCs w:val="28"/>
          <w:highlight w:val="none"/>
          <w:lang w:val="en-US" w:eastAsia="zh-CN"/>
        </w:rPr>
        <w:t>设备</w:t>
      </w:r>
      <w:r>
        <w:rPr>
          <w:rFonts w:hint="eastAsia" w:ascii="仿宋" w:hAnsi="仿宋" w:eastAsia="仿宋" w:cs="仿宋"/>
          <w:color w:val="000000"/>
          <w:sz w:val="28"/>
          <w:szCs w:val="28"/>
          <w:highlight w:val="none"/>
        </w:rPr>
        <w:t xml:space="preserve">的相关事宜达成协议如下： </w:t>
      </w:r>
    </w:p>
    <w:p>
      <w:pPr>
        <w:numPr>
          <w:ilvl w:val="0"/>
          <w:numId w:val="0"/>
        </w:numPr>
        <w:ind w:firstLine="560" w:firstLineChars="200"/>
        <w:rPr>
          <w:rFonts w:hint="eastAsia" w:ascii="仿宋" w:hAnsi="仿宋" w:eastAsia="仿宋" w:cs="仿宋"/>
          <w:color w:val="000000"/>
          <w:sz w:val="28"/>
          <w:szCs w:val="28"/>
          <w:highlight w:val="none"/>
        </w:rPr>
      </w:pPr>
      <w:r>
        <w:rPr>
          <w:rFonts w:hint="eastAsia" w:ascii="仿宋" w:hAnsi="仿宋" w:eastAsia="仿宋" w:cs="仿宋"/>
          <w:b/>
          <w:bCs/>
          <w:color w:val="000000"/>
          <w:sz w:val="28"/>
          <w:szCs w:val="28"/>
          <w:highlight w:val="none"/>
          <w:lang w:eastAsia="zh-CN"/>
        </w:rPr>
        <w:t>第一条</w:t>
      </w:r>
      <w:r>
        <w:rPr>
          <w:rFonts w:hint="eastAsia" w:ascii="仿宋" w:hAnsi="仿宋" w:eastAsia="仿宋" w:cs="仿宋"/>
          <w:b/>
          <w:bCs/>
          <w:color w:val="000000"/>
          <w:sz w:val="28"/>
          <w:szCs w:val="28"/>
          <w:highlight w:val="none"/>
          <w:lang w:val="en-US" w:eastAsia="zh-CN"/>
        </w:rPr>
        <w:t xml:space="preserve"> </w:t>
      </w:r>
      <w:r>
        <w:rPr>
          <w:rFonts w:hint="eastAsia" w:ascii="仿宋" w:hAnsi="仿宋" w:eastAsia="仿宋" w:cs="仿宋"/>
          <w:b/>
          <w:bCs/>
          <w:color w:val="000000"/>
          <w:sz w:val="28"/>
          <w:szCs w:val="28"/>
          <w:highlight w:val="none"/>
        </w:rPr>
        <w:t>项目名称、</w:t>
      </w:r>
      <w:r>
        <w:rPr>
          <w:rFonts w:hint="eastAsia" w:ascii="仿宋" w:hAnsi="仿宋" w:eastAsia="仿宋" w:cs="仿宋"/>
          <w:b/>
          <w:bCs/>
          <w:color w:val="000000"/>
          <w:sz w:val="28"/>
          <w:szCs w:val="28"/>
          <w:highlight w:val="none"/>
          <w:lang w:val="en-US" w:eastAsia="zh-CN"/>
        </w:rPr>
        <w:t>项目概况</w:t>
      </w:r>
      <w:r>
        <w:rPr>
          <w:rFonts w:hint="eastAsia" w:ascii="仿宋" w:hAnsi="仿宋" w:eastAsia="仿宋" w:cs="仿宋"/>
          <w:b/>
          <w:bCs/>
          <w:color w:val="000000"/>
          <w:sz w:val="28"/>
          <w:szCs w:val="28"/>
          <w:highlight w:val="none"/>
        </w:rPr>
        <w:t>和使用地点</w:t>
      </w:r>
      <w:r>
        <w:rPr>
          <w:rFonts w:hint="eastAsia" w:ascii="仿宋" w:hAnsi="仿宋" w:eastAsia="仿宋" w:cs="仿宋"/>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一）</w:t>
      </w:r>
      <w:r>
        <w:rPr>
          <w:rFonts w:hint="eastAsia" w:ascii="仿宋" w:hAnsi="仿宋" w:eastAsia="仿宋" w:cs="仿宋"/>
          <w:color w:val="000000"/>
          <w:sz w:val="28"/>
          <w:szCs w:val="28"/>
          <w:highlight w:val="none"/>
        </w:rPr>
        <w:t>项目名称：</w:t>
      </w:r>
      <w:r>
        <w:rPr>
          <w:rFonts w:hint="eastAsia" w:ascii="仿宋" w:hAnsi="仿宋" w:eastAsia="仿宋" w:cs="仿宋"/>
          <w:color w:val="000000"/>
          <w:sz w:val="28"/>
          <w:szCs w:val="28"/>
          <w:highlight w:val="none"/>
          <w:u w:val="single"/>
          <w:lang w:val="en-US" w:eastAsia="zh-CN"/>
        </w:rPr>
        <w:t>2024年度消纳场机械设备租赁及洗车工劳务外包服务。</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textAlignment w:val="auto"/>
        <w:rPr>
          <w:rFonts w:hint="eastAsia" w:ascii="宋体" w:hAnsi="宋体" w:eastAsia="仿宋_GB2312" w:cs="仿宋_GB2312"/>
          <w:b w:val="0"/>
          <w:bCs w:val="0"/>
          <w:color w:val="000000"/>
          <w:kern w:val="2"/>
          <w:sz w:val="28"/>
          <w:szCs w:val="28"/>
          <w:highlight w:val="none"/>
          <w:u w:val="single"/>
          <w:lang w:val="en-US" w:eastAsia="zh-CN"/>
        </w:rPr>
      </w:pPr>
      <w:r>
        <w:rPr>
          <w:rFonts w:hint="eastAsia" w:ascii="宋体" w:hAnsi="宋体" w:eastAsia="仿宋_GB2312" w:cs="仿宋_GB2312"/>
          <w:b w:val="0"/>
          <w:bCs w:val="0"/>
          <w:color w:val="000000"/>
          <w:kern w:val="2"/>
          <w:sz w:val="28"/>
          <w:szCs w:val="28"/>
          <w:highlight w:val="none"/>
          <w:lang w:val="en-US" w:eastAsia="zh-CN"/>
        </w:rPr>
        <w:t>（二）项目概况</w:t>
      </w:r>
      <w:r>
        <w:rPr>
          <w:rFonts w:hint="eastAsia" w:ascii="宋体" w:hAnsi="宋体" w:eastAsia="仿宋_GB2312" w:cs="仿宋_GB2312"/>
          <w:b w:val="0"/>
          <w:bCs w:val="0"/>
          <w:color w:val="000000"/>
          <w:kern w:val="2"/>
          <w:sz w:val="28"/>
          <w:szCs w:val="28"/>
          <w:highlight w:val="none"/>
        </w:rPr>
        <w:t>：</w:t>
      </w:r>
      <w:r>
        <w:rPr>
          <w:rFonts w:hint="eastAsia" w:ascii="宋体" w:hAnsi="宋体" w:eastAsia="仿宋_GB2312" w:cs="仿宋_GB2312"/>
          <w:b w:val="0"/>
          <w:bCs w:val="0"/>
          <w:color w:val="000000"/>
          <w:kern w:val="2"/>
          <w:sz w:val="28"/>
          <w:szCs w:val="28"/>
          <w:highlight w:val="none"/>
          <w:u w:val="single"/>
        </w:rPr>
        <w:t>本</w:t>
      </w:r>
      <w:r>
        <w:rPr>
          <w:rFonts w:hint="eastAsia" w:ascii="宋体" w:hAnsi="宋体" w:eastAsia="仿宋_GB2312" w:cs="仿宋_GB2312"/>
          <w:b w:val="0"/>
          <w:bCs w:val="0"/>
          <w:color w:val="000000"/>
          <w:kern w:val="2"/>
          <w:sz w:val="28"/>
          <w:szCs w:val="28"/>
          <w:highlight w:val="none"/>
          <w:u w:val="single"/>
          <w:lang w:val="en-US" w:eastAsia="zh-CN"/>
        </w:rPr>
        <w:t>项目</w:t>
      </w:r>
      <w:r>
        <w:rPr>
          <w:rFonts w:hint="eastAsia" w:ascii="宋体" w:hAnsi="宋体" w:eastAsia="仿宋_GB2312" w:cs="仿宋_GB2312"/>
          <w:b w:val="0"/>
          <w:bCs w:val="0"/>
          <w:color w:val="000000"/>
          <w:kern w:val="2"/>
          <w:sz w:val="28"/>
          <w:szCs w:val="28"/>
          <w:highlight w:val="none"/>
          <w:u w:val="single"/>
        </w:rPr>
        <w:t>位于岳麓高新区，</w:t>
      </w:r>
      <w:r>
        <w:rPr>
          <w:rFonts w:hint="eastAsia" w:ascii="宋体" w:hAnsi="宋体" w:eastAsia="仿宋_GB2312" w:cs="仿宋_GB2312"/>
          <w:b w:val="0"/>
          <w:bCs w:val="0"/>
          <w:color w:val="000000"/>
          <w:kern w:val="2"/>
          <w:sz w:val="28"/>
          <w:szCs w:val="28"/>
          <w:highlight w:val="none"/>
          <w:u w:val="single"/>
          <w:lang w:val="en-US" w:eastAsia="zh-CN"/>
        </w:rPr>
        <w:t>由甲方建设的土方消纳场日常运营需要挖机、推土机、洒水车进行场地内土方平整，并配备人员清洗渣土车辆、场地内打扫卫生等工作。甲方2024年度预计建设消纳场容量约100万㎥，运营期间每天收纳土方约5000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textAlignment w:val="auto"/>
        <w:rPr>
          <w:rFonts w:hint="eastAsia" w:ascii="宋体" w:hAnsi="宋体" w:eastAsia="仿宋_GB2312" w:cs="仿宋_GB2312"/>
          <w:b w:val="0"/>
          <w:bCs w:val="0"/>
          <w:color w:val="000000"/>
          <w:kern w:val="2"/>
          <w:sz w:val="28"/>
          <w:szCs w:val="28"/>
          <w:highlight w:val="none"/>
          <w:u w:val="single"/>
          <w:lang w:val="en-US" w:eastAsia="zh-CN"/>
        </w:rPr>
      </w:pPr>
      <w:r>
        <w:rPr>
          <w:rFonts w:hint="eastAsia" w:ascii="宋体" w:hAnsi="宋体" w:eastAsia="仿宋_GB2312" w:cs="仿宋_GB2312"/>
          <w:b w:val="0"/>
          <w:bCs w:val="0"/>
          <w:color w:val="000000"/>
          <w:kern w:val="2"/>
          <w:sz w:val="28"/>
          <w:szCs w:val="28"/>
          <w:highlight w:val="none"/>
        </w:rPr>
        <w:t>（</w:t>
      </w:r>
      <w:r>
        <w:rPr>
          <w:rFonts w:hint="eastAsia" w:ascii="宋体" w:hAnsi="宋体" w:eastAsia="仿宋_GB2312" w:cs="仿宋_GB2312"/>
          <w:b w:val="0"/>
          <w:bCs w:val="0"/>
          <w:color w:val="000000"/>
          <w:kern w:val="2"/>
          <w:sz w:val="28"/>
          <w:szCs w:val="28"/>
          <w:highlight w:val="none"/>
          <w:lang w:val="en-US" w:eastAsia="zh-CN"/>
        </w:rPr>
        <w:t>三</w:t>
      </w:r>
      <w:r>
        <w:rPr>
          <w:rFonts w:hint="eastAsia" w:ascii="宋体" w:hAnsi="宋体" w:eastAsia="仿宋_GB2312" w:cs="仿宋_GB2312"/>
          <w:b w:val="0"/>
          <w:bCs w:val="0"/>
          <w:color w:val="000000"/>
          <w:kern w:val="2"/>
          <w:sz w:val="28"/>
          <w:szCs w:val="28"/>
          <w:highlight w:val="none"/>
        </w:rPr>
        <w:t>）</w:t>
      </w:r>
      <w:r>
        <w:rPr>
          <w:rFonts w:hint="eastAsia" w:ascii="宋体" w:hAnsi="宋体" w:eastAsia="仿宋_GB2312" w:cs="仿宋_GB2312"/>
          <w:b w:val="0"/>
          <w:bCs w:val="0"/>
          <w:color w:val="000000"/>
          <w:kern w:val="2"/>
          <w:sz w:val="28"/>
          <w:szCs w:val="28"/>
          <w:highlight w:val="none"/>
          <w:lang w:val="en-US" w:eastAsia="zh-CN"/>
        </w:rPr>
        <w:t>服务期限</w:t>
      </w:r>
      <w:r>
        <w:rPr>
          <w:rFonts w:hint="eastAsia" w:ascii="宋体" w:hAnsi="宋体" w:eastAsia="仿宋_GB2312" w:cs="仿宋_GB2312"/>
          <w:b w:val="0"/>
          <w:bCs w:val="0"/>
          <w:color w:val="000000"/>
          <w:kern w:val="2"/>
          <w:sz w:val="28"/>
          <w:szCs w:val="28"/>
          <w:highlight w:val="none"/>
        </w:rPr>
        <w:t>：</w:t>
      </w:r>
      <w:r>
        <w:rPr>
          <w:rFonts w:hint="eastAsia" w:ascii="宋体" w:hAnsi="宋体" w:eastAsia="仿宋_GB2312" w:cs="仿宋_GB2312"/>
          <w:b w:val="0"/>
          <w:bCs w:val="0"/>
          <w:color w:val="000000"/>
          <w:kern w:val="2"/>
          <w:sz w:val="28"/>
          <w:szCs w:val="28"/>
          <w:highlight w:val="none"/>
          <w:u w:val="single"/>
        </w:rPr>
        <w:t>完成</w:t>
      </w:r>
      <w:r>
        <w:rPr>
          <w:rFonts w:hint="eastAsia" w:ascii="宋体" w:hAnsi="宋体" w:eastAsia="仿宋_GB2312" w:cs="仿宋_GB2312"/>
          <w:b w:val="0"/>
          <w:bCs w:val="0"/>
          <w:color w:val="000000"/>
          <w:kern w:val="2"/>
          <w:sz w:val="28"/>
          <w:szCs w:val="28"/>
          <w:highlight w:val="none"/>
          <w:u w:val="single"/>
          <w:lang w:val="en-US" w:eastAsia="zh-CN"/>
        </w:rPr>
        <w:t>甲方2024年度本次招标服务范围内的工作，按甲方现场</w:t>
      </w:r>
      <w:r>
        <w:rPr>
          <w:rFonts w:hint="eastAsia" w:ascii="宋体" w:hAnsi="宋体" w:eastAsia="仿宋_GB2312" w:cs="仿宋_GB2312"/>
          <w:b w:val="0"/>
          <w:bCs w:val="0"/>
          <w:color w:val="000000"/>
          <w:kern w:val="2"/>
          <w:sz w:val="28"/>
          <w:szCs w:val="28"/>
          <w:highlight w:val="none"/>
          <w:u w:val="single"/>
        </w:rPr>
        <w:t>工作</w:t>
      </w:r>
      <w:r>
        <w:rPr>
          <w:rFonts w:hint="eastAsia" w:ascii="宋体" w:hAnsi="宋体" w:eastAsia="仿宋_GB2312" w:cs="仿宋_GB2312"/>
          <w:b w:val="0"/>
          <w:bCs w:val="0"/>
          <w:color w:val="000000"/>
          <w:kern w:val="2"/>
          <w:sz w:val="28"/>
          <w:szCs w:val="28"/>
          <w:highlight w:val="none"/>
          <w:u w:val="single"/>
          <w:lang w:val="en-US" w:eastAsia="zh-CN"/>
        </w:rPr>
        <w:t>要求</w:t>
      </w:r>
      <w:r>
        <w:rPr>
          <w:rFonts w:hint="eastAsia" w:ascii="宋体" w:hAnsi="宋体" w:eastAsia="仿宋_GB2312" w:cs="仿宋_GB2312"/>
          <w:b w:val="0"/>
          <w:bCs w:val="0"/>
          <w:color w:val="000000"/>
          <w:kern w:val="2"/>
          <w:sz w:val="28"/>
          <w:szCs w:val="28"/>
          <w:highlight w:val="none"/>
          <w:u w:val="single"/>
        </w:rPr>
        <w:t>，</w:t>
      </w:r>
      <w:r>
        <w:rPr>
          <w:rFonts w:hint="eastAsia" w:ascii="宋体" w:hAnsi="宋体" w:eastAsia="仿宋_GB2312" w:cs="仿宋_GB2312"/>
          <w:b w:val="0"/>
          <w:bCs w:val="0"/>
          <w:color w:val="000000"/>
          <w:kern w:val="2"/>
          <w:sz w:val="28"/>
          <w:szCs w:val="28"/>
          <w:highlight w:val="none"/>
          <w:u w:val="single"/>
          <w:lang w:val="en-US" w:eastAsia="zh-CN"/>
        </w:rPr>
        <w:t>配合现场负责人完成消纳场运营期间的其它</w:t>
      </w:r>
      <w:r>
        <w:rPr>
          <w:rFonts w:hint="eastAsia" w:ascii="宋体" w:hAnsi="宋体" w:eastAsia="仿宋_GB2312" w:cs="仿宋_GB2312"/>
          <w:b w:val="0"/>
          <w:bCs w:val="0"/>
          <w:color w:val="000000"/>
          <w:kern w:val="2"/>
          <w:sz w:val="28"/>
          <w:szCs w:val="28"/>
          <w:highlight w:val="none"/>
          <w:u w:val="single"/>
        </w:rPr>
        <w:t>工作</w:t>
      </w:r>
      <w:r>
        <w:rPr>
          <w:rFonts w:hint="eastAsia" w:ascii="宋体" w:hAnsi="宋体" w:eastAsia="仿宋_GB2312" w:cs="仿宋_GB2312"/>
          <w:b w:val="0"/>
          <w:bCs w:val="0"/>
          <w:color w:val="000000"/>
          <w:kern w:val="2"/>
          <w:sz w:val="28"/>
          <w:szCs w:val="28"/>
          <w:highlight w:val="none"/>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textAlignment w:val="auto"/>
        <w:rPr>
          <w:rFonts w:hint="eastAsia" w:ascii="宋体" w:hAnsi="宋体" w:eastAsia="仿宋_GB2312" w:cs="仿宋_GB2312"/>
          <w:b w:val="0"/>
          <w:bCs w:val="0"/>
          <w:color w:val="000000"/>
          <w:kern w:val="2"/>
          <w:sz w:val="28"/>
          <w:szCs w:val="28"/>
          <w:highlight w:val="none"/>
          <w:u w:val="single"/>
        </w:rPr>
      </w:pPr>
      <w:r>
        <w:rPr>
          <w:rFonts w:hint="eastAsia" w:ascii="宋体" w:hAnsi="宋体" w:eastAsia="仿宋_GB2312" w:cs="仿宋_GB2312"/>
          <w:b w:val="0"/>
          <w:bCs w:val="0"/>
          <w:color w:val="000000"/>
          <w:kern w:val="2"/>
          <w:sz w:val="28"/>
          <w:szCs w:val="28"/>
          <w:highlight w:val="none"/>
        </w:rPr>
        <w:t>（</w:t>
      </w:r>
      <w:r>
        <w:rPr>
          <w:rFonts w:hint="eastAsia" w:ascii="宋体" w:hAnsi="宋体" w:eastAsia="仿宋_GB2312" w:cs="仿宋_GB2312"/>
          <w:b w:val="0"/>
          <w:bCs w:val="0"/>
          <w:color w:val="000000"/>
          <w:kern w:val="2"/>
          <w:sz w:val="28"/>
          <w:szCs w:val="28"/>
          <w:highlight w:val="none"/>
          <w:lang w:val="en-US" w:eastAsia="zh-CN"/>
        </w:rPr>
        <w:t>四</w:t>
      </w:r>
      <w:r>
        <w:rPr>
          <w:rFonts w:hint="eastAsia" w:ascii="宋体" w:hAnsi="宋体" w:eastAsia="仿宋_GB2312" w:cs="仿宋_GB2312"/>
          <w:b w:val="0"/>
          <w:bCs w:val="0"/>
          <w:color w:val="000000"/>
          <w:kern w:val="2"/>
          <w:sz w:val="28"/>
          <w:szCs w:val="28"/>
          <w:highlight w:val="none"/>
        </w:rPr>
        <w:t>）招标范围：</w:t>
      </w:r>
      <w:r>
        <w:rPr>
          <w:rFonts w:hint="eastAsia" w:ascii="宋体" w:hAnsi="宋体" w:eastAsia="仿宋_GB2312" w:cs="仿宋_GB2312"/>
          <w:b w:val="0"/>
          <w:bCs w:val="0"/>
          <w:color w:val="000000"/>
          <w:kern w:val="2"/>
          <w:sz w:val="28"/>
          <w:szCs w:val="28"/>
          <w:highlight w:val="none"/>
          <w:u w:val="single"/>
        </w:rPr>
        <w:t>包括但不限于本项目</w:t>
      </w:r>
      <w:r>
        <w:rPr>
          <w:rFonts w:hint="eastAsia" w:ascii="宋体" w:hAnsi="宋体" w:eastAsia="仿宋_GB2312" w:cs="仿宋_GB2312"/>
          <w:b w:val="0"/>
          <w:bCs w:val="0"/>
          <w:color w:val="000000"/>
          <w:kern w:val="2"/>
          <w:sz w:val="28"/>
          <w:szCs w:val="28"/>
          <w:highlight w:val="none"/>
          <w:u w:val="single"/>
          <w:lang w:val="en-US" w:eastAsia="zh-CN"/>
        </w:rPr>
        <w:t>服务</w:t>
      </w:r>
      <w:r>
        <w:rPr>
          <w:rFonts w:hint="eastAsia" w:ascii="宋体" w:hAnsi="宋体" w:eastAsia="仿宋_GB2312" w:cs="仿宋_GB2312"/>
          <w:b w:val="0"/>
          <w:bCs w:val="0"/>
          <w:color w:val="000000"/>
          <w:kern w:val="2"/>
          <w:sz w:val="28"/>
          <w:szCs w:val="28"/>
          <w:highlight w:val="none"/>
          <w:u w:val="single"/>
        </w:rPr>
        <w:t>等内容；具体如下：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textAlignment w:val="auto"/>
        <w:rPr>
          <w:rFonts w:hint="eastAsia" w:ascii="宋体" w:hAnsi="宋体" w:eastAsia="仿宋_GB2312" w:cs="仿宋_GB2312"/>
          <w:b w:val="0"/>
          <w:bCs w:val="0"/>
          <w:color w:val="000000"/>
          <w:kern w:val="2"/>
          <w:sz w:val="28"/>
          <w:szCs w:val="28"/>
          <w:highlight w:val="none"/>
          <w:u w:val="single"/>
          <w:lang w:val="en-US" w:eastAsia="zh-CN"/>
        </w:rPr>
      </w:pPr>
      <w:r>
        <w:rPr>
          <w:rFonts w:hint="eastAsia" w:ascii="宋体" w:hAnsi="宋体" w:eastAsia="仿宋_GB2312" w:cs="仿宋_GB2312"/>
          <w:b w:val="0"/>
          <w:bCs w:val="0"/>
          <w:color w:val="000000"/>
          <w:kern w:val="2"/>
          <w:sz w:val="28"/>
          <w:szCs w:val="28"/>
          <w:highlight w:val="none"/>
          <w:u w:val="single"/>
          <w:lang w:val="en-US" w:eastAsia="zh-CN"/>
        </w:rPr>
        <w:t>1.运营期间所需要中型推土机、洒水车（根据消纳场实际需求指定设备机型及数量）进行土方平整和修路降尘。根据消纳场的实际需要调度中型挖机进行挖沟和土地平整等工作。</w:t>
      </w:r>
    </w:p>
    <w:p>
      <w:pPr>
        <w:numPr>
          <w:ilvl w:val="0"/>
          <w:numId w:val="0"/>
        </w:numPr>
        <w:ind w:firstLine="560" w:firstLineChars="200"/>
        <w:rPr>
          <w:rFonts w:hint="eastAsia" w:ascii="仿宋" w:hAnsi="仿宋" w:eastAsia="仿宋" w:cs="仿宋"/>
          <w:color w:val="000000"/>
          <w:sz w:val="28"/>
          <w:szCs w:val="28"/>
          <w:highlight w:val="none"/>
          <w:u w:val="none"/>
        </w:rPr>
      </w:pPr>
      <w:r>
        <w:rPr>
          <w:rFonts w:hint="eastAsia" w:ascii="宋体" w:hAnsi="宋体" w:eastAsia="仿宋_GB2312" w:cs="仿宋_GB2312"/>
          <w:b w:val="0"/>
          <w:bCs w:val="0"/>
          <w:color w:val="000000"/>
          <w:kern w:val="2"/>
          <w:sz w:val="28"/>
          <w:szCs w:val="28"/>
          <w:highlight w:val="none"/>
          <w:u w:val="single"/>
          <w:lang w:val="en-US" w:eastAsia="zh-CN"/>
        </w:rPr>
        <w:t>2.为确保渣土车辆安全有序进出消纳场和达到城管及蓝天办等相关部门的要求和标准，消纳场运营期间乙方应当配备人员进行洗车、场地内车辆引导、道路交通指挥及场地内打扫卫生等。</w:t>
      </w:r>
      <w:r>
        <w:rPr>
          <w:rFonts w:hint="eastAsia" w:ascii="仿宋" w:hAnsi="仿宋" w:eastAsia="仿宋" w:cs="仿宋"/>
          <w:color w:val="000000"/>
          <w:sz w:val="28"/>
          <w:szCs w:val="28"/>
          <w:highlight w:val="none"/>
          <w:u w:val="none"/>
          <w:lang w:val="en-US" w:eastAsia="zh-CN"/>
        </w:rPr>
        <w:t xml:space="preserve">    </w:t>
      </w:r>
    </w:p>
    <w:p>
      <w:pPr>
        <w:numPr>
          <w:ilvl w:val="0"/>
          <w:numId w:val="0"/>
        </w:numPr>
        <w:ind w:firstLine="560" w:firstLineChars="200"/>
        <w:rPr>
          <w:rFonts w:hint="eastAsia" w:ascii="仿宋" w:hAnsi="仿宋" w:eastAsia="仿宋" w:cs="仿宋"/>
          <w:color w:val="000000"/>
          <w:sz w:val="28"/>
          <w:szCs w:val="28"/>
          <w:highlight w:val="none"/>
          <w:u w:val="none"/>
        </w:rPr>
      </w:pPr>
      <w:r>
        <w:rPr>
          <w:rFonts w:hint="eastAsia" w:ascii="仿宋" w:hAnsi="仿宋" w:eastAsia="仿宋" w:cs="仿宋"/>
          <w:color w:val="000000"/>
          <w:sz w:val="28"/>
          <w:szCs w:val="28"/>
          <w:highlight w:val="none"/>
          <w:u w:val="none"/>
          <w:lang w:eastAsia="zh-CN"/>
        </w:rPr>
        <w:t>施工</w:t>
      </w:r>
      <w:r>
        <w:rPr>
          <w:rFonts w:hint="eastAsia" w:ascii="仿宋" w:hAnsi="仿宋" w:eastAsia="仿宋" w:cs="仿宋"/>
          <w:color w:val="000000"/>
          <w:sz w:val="28"/>
          <w:szCs w:val="28"/>
          <w:highlight w:val="none"/>
          <w:u w:val="none"/>
        </w:rPr>
        <w:t>地点：</w:t>
      </w:r>
      <w:r>
        <w:rPr>
          <w:rFonts w:hint="eastAsia" w:ascii="仿宋" w:hAnsi="仿宋" w:eastAsia="仿宋" w:cs="仿宋"/>
          <w:color w:val="000000"/>
          <w:sz w:val="28"/>
          <w:szCs w:val="28"/>
          <w:highlight w:val="none"/>
          <w:lang w:val="en-US" w:eastAsia="zh-CN"/>
        </w:rPr>
        <w:t>甲方2024年度建设的土方消纳场项目</w:t>
      </w:r>
      <w:r>
        <w:rPr>
          <w:rFonts w:hint="eastAsia" w:ascii="仿宋" w:hAnsi="仿宋" w:eastAsia="仿宋" w:cs="仿宋"/>
          <w:color w:val="000000"/>
          <w:sz w:val="28"/>
          <w:szCs w:val="28"/>
          <w:highlight w:val="none"/>
          <w:u w:val="none"/>
          <w:lang w:val="en-US" w:eastAsia="zh-CN"/>
        </w:rPr>
        <w:t xml:space="preserve">。    </w:t>
      </w:r>
    </w:p>
    <w:p>
      <w:pPr>
        <w:numPr>
          <w:ilvl w:val="0"/>
          <w:numId w:val="0"/>
        </w:numPr>
        <w:ind w:firstLine="560" w:firstLineChars="200"/>
        <w:rPr>
          <w:rFonts w:hint="default"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eastAsia="zh-CN"/>
        </w:rPr>
        <w:t>第二条</w:t>
      </w:r>
      <w:r>
        <w:rPr>
          <w:rFonts w:hint="eastAsia" w:ascii="仿宋" w:hAnsi="仿宋" w:eastAsia="仿宋" w:cs="仿宋"/>
          <w:b/>
          <w:bCs/>
          <w:color w:val="000000"/>
          <w:sz w:val="28"/>
          <w:szCs w:val="28"/>
          <w:highlight w:val="none"/>
          <w:lang w:val="en-US" w:eastAsia="zh-CN"/>
        </w:rPr>
        <w:t xml:space="preserve"> 租赁期限、租赁方式</w:t>
      </w:r>
    </w:p>
    <w:p>
      <w:pPr>
        <w:numPr>
          <w:ilvl w:val="0"/>
          <w:numId w:val="0"/>
        </w:numPr>
        <w:ind w:firstLine="560" w:firstLineChars="200"/>
        <w:rPr>
          <w:rFonts w:hint="eastAsia" w:ascii="宋体" w:hAnsi="宋体" w:eastAsia="仿宋_GB2312" w:cs="仿宋_GB2312"/>
          <w:b w:val="0"/>
          <w:bCs w:val="0"/>
          <w:color w:val="000000"/>
          <w:sz w:val="28"/>
          <w:szCs w:val="28"/>
          <w:highlight w:val="none"/>
          <w:u w:val="single"/>
          <w:lang w:val="en-US" w:eastAsia="zh-CN"/>
        </w:rPr>
      </w:pPr>
      <w:r>
        <w:rPr>
          <w:rFonts w:hint="eastAsia" w:ascii="宋体" w:hAnsi="宋体" w:eastAsia="仿宋_GB2312" w:cs="仿宋_GB2312"/>
          <w:b w:val="0"/>
          <w:bCs w:val="0"/>
          <w:color w:val="000000"/>
          <w:sz w:val="28"/>
          <w:szCs w:val="28"/>
          <w:highlight w:val="none"/>
          <w:u w:val="single"/>
          <w:lang w:val="en-US" w:eastAsia="zh-CN"/>
        </w:rPr>
        <w:t>机械设备租赁期限</w:t>
      </w:r>
      <w:r>
        <w:rPr>
          <w:rFonts w:hint="eastAsia" w:ascii="宋体" w:hAnsi="宋体" w:eastAsia="仿宋_GB2312" w:cs="仿宋_GB2312"/>
          <w:b w:val="0"/>
          <w:bCs w:val="0"/>
          <w:color w:val="auto"/>
          <w:sz w:val="28"/>
          <w:szCs w:val="28"/>
          <w:highlight w:val="none"/>
          <w:u w:val="single"/>
          <w:lang w:val="en-US" w:eastAsia="zh-CN"/>
        </w:rPr>
        <w:t>： 预计8个月</w:t>
      </w:r>
      <w:r>
        <w:rPr>
          <w:rFonts w:hint="eastAsia" w:ascii="宋体" w:hAnsi="宋体" w:eastAsia="仿宋_GB2312" w:cs="仿宋_GB2312"/>
          <w:b w:val="0"/>
          <w:bCs w:val="0"/>
          <w:color w:val="000000"/>
          <w:sz w:val="28"/>
          <w:szCs w:val="28"/>
          <w:highlight w:val="none"/>
          <w:u w:val="single"/>
          <w:lang w:val="en-US" w:eastAsia="zh-CN"/>
        </w:rPr>
        <w:t>，具体设备型号及租赁时间见设备租赁明细表。</w:t>
      </w:r>
    </w:p>
    <w:p>
      <w:pPr>
        <w:numPr>
          <w:ilvl w:val="0"/>
          <w:numId w:val="0"/>
        </w:numPr>
        <w:ind w:firstLine="640"/>
        <w:rPr>
          <w:rFonts w:hint="eastAsia" w:ascii="宋体" w:hAnsi="宋体" w:eastAsia="仿宋_GB2312" w:cs="仿宋_GB2312"/>
          <w:color w:val="000000"/>
          <w:sz w:val="28"/>
          <w:szCs w:val="28"/>
          <w:highlight w:val="none"/>
          <w:u w:val="single"/>
          <w:lang w:val="en-US" w:eastAsia="zh-CN"/>
        </w:rPr>
      </w:pPr>
      <w:r>
        <w:rPr>
          <w:rFonts w:hint="eastAsia" w:ascii="宋体" w:hAnsi="宋体" w:eastAsia="仿宋_GB2312" w:cs="仿宋_GB2312"/>
          <w:b w:val="0"/>
          <w:bCs w:val="0"/>
          <w:color w:val="000000"/>
          <w:sz w:val="28"/>
          <w:szCs w:val="28"/>
          <w:highlight w:val="none"/>
          <w:u w:val="single"/>
          <w:lang w:val="en-US" w:eastAsia="zh-CN"/>
        </w:rPr>
        <w:t>租赁方式：本机械设备的租赁由乙方配备操作人员。负责设备的操作和维护保养工作。同时，由乙方配备人员，负责渣土车辆清洗和消纳场的卫生工作。</w:t>
      </w:r>
    </w:p>
    <w:p>
      <w:pPr>
        <w:numPr>
          <w:ilvl w:val="0"/>
          <w:numId w:val="0"/>
        </w:numPr>
        <w:ind w:firstLine="560" w:firstLineChars="200"/>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eastAsia="zh-CN"/>
        </w:rPr>
        <w:t>第</w:t>
      </w:r>
      <w:r>
        <w:rPr>
          <w:rFonts w:hint="eastAsia" w:ascii="仿宋" w:hAnsi="仿宋" w:eastAsia="仿宋" w:cs="仿宋"/>
          <w:b/>
          <w:bCs/>
          <w:color w:val="000000"/>
          <w:sz w:val="28"/>
          <w:szCs w:val="28"/>
          <w:highlight w:val="none"/>
          <w:lang w:val="en-US" w:eastAsia="zh-CN"/>
        </w:rPr>
        <w:t>三</w:t>
      </w:r>
      <w:r>
        <w:rPr>
          <w:rFonts w:hint="eastAsia" w:ascii="仿宋" w:hAnsi="仿宋" w:eastAsia="仿宋" w:cs="仿宋"/>
          <w:b/>
          <w:bCs/>
          <w:color w:val="000000"/>
          <w:sz w:val="28"/>
          <w:szCs w:val="28"/>
          <w:highlight w:val="none"/>
          <w:lang w:eastAsia="zh-CN"/>
        </w:rPr>
        <w:t>条</w:t>
      </w:r>
      <w:r>
        <w:rPr>
          <w:rFonts w:hint="eastAsia" w:ascii="仿宋" w:hAnsi="仿宋" w:eastAsia="仿宋" w:cs="仿宋"/>
          <w:b/>
          <w:bCs/>
          <w:color w:val="000000"/>
          <w:sz w:val="28"/>
          <w:szCs w:val="28"/>
          <w:highlight w:val="none"/>
          <w:lang w:val="en-US" w:eastAsia="zh-CN"/>
        </w:rPr>
        <w:t xml:space="preserve"> 费用计算及</w:t>
      </w:r>
      <w:r>
        <w:rPr>
          <w:rFonts w:hint="eastAsia" w:ascii="仿宋" w:hAnsi="仿宋" w:eastAsia="仿宋" w:cs="仿宋"/>
          <w:b/>
          <w:bCs/>
          <w:color w:val="000000"/>
          <w:sz w:val="28"/>
          <w:szCs w:val="28"/>
          <w:highlight w:val="none"/>
        </w:rPr>
        <w:t xml:space="preserve">支付 </w:t>
      </w:r>
    </w:p>
    <w:p>
      <w:pPr>
        <w:numPr>
          <w:ilvl w:val="0"/>
          <w:numId w:val="4"/>
        </w:numPr>
        <w:ind w:leftChars="200" w:firstLine="280" w:firstLineChars="1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机械</w:t>
      </w:r>
      <w:r>
        <w:rPr>
          <w:rFonts w:hint="eastAsia" w:ascii="仿宋" w:hAnsi="仿宋" w:eastAsia="仿宋" w:cs="仿宋"/>
          <w:color w:val="000000"/>
          <w:sz w:val="28"/>
          <w:szCs w:val="28"/>
          <w:highlight w:val="none"/>
          <w:lang w:eastAsia="zh-CN"/>
        </w:rPr>
        <w:t>等设备</w:t>
      </w:r>
      <w:r>
        <w:rPr>
          <w:rFonts w:hint="eastAsia" w:ascii="仿宋" w:hAnsi="仿宋" w:eastAsia="仿宋" w:cs="仿宋"/>
          <w:color w:val="000000"/>
          <w:sz w:val="28"/>
          <w:szCs w:val="28"/>
          <w:highlight w:val="none"/>
        </w:rPr>
        <w:t>及</w:t>
      </w:r>
      <w:r>
        <w:rPr>
          <w:rFonts w:hint="eastAsia" w:ascii="仿宋" w:hAnsi="仿宋" w:eastAsia="仿宋" w:cs="仿宋"/>
          <w:color w:val="000000"/>
          <w:sz w:val="28"/>
          <w:szCs w:val="28"/>
          <w:highlight w:val="none"/>
          <w:lang w:eastAsia="zh-CN"/>
        </w:rPr>
        <w:t>临时设施</w:t>
      </w:r>
      <w:r>
        <w:rPr>
          <w:rFonts w:hint="eastAsia" w:ascii="仿宋" w:hAnsi="仿宋" w:eastAsia="仿宋" w:cs="仿宋"/>
          <w:color w:val="000000"/>
          <w:sz w:val="28"/>
          <w:szCs w:val="28"/>
          <w:highlight w:val="none"/>
        </w:rPr>
        <w:t xml:space="preserve"> </w:t>
      </w:r>
    </w:p>
    <w:p>
      <w:pPr>
        <w:numPr>
          <w:ilvl w:val="0"/>
          <w:numId w:val="0"/>
        </w:numPr>
        <w:ind w:firstLine="560" w:firstLineChars="20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1.消纳场运营期间，暂以机械工作时长予以计费，具体如下：挖掘机(斗容量1立方米及以上)</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元/台班，推土机(D85)</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元/台班，推土机(山推160)</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元/台班，酒水车(10m3)</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元/台班包干使用，消纳场运营期间每月对机械使用时长进行一次结算，双方核对无误后乙方可根据结算金额向甲方书面申请支付当月90%机械租赁费，乙</w:t>
      </w:r>
      <w:r>
        <w:rPr>
          <w:rFonts w:hint="eastAsia" w:ascii="仿宋" w:hAnsi="仿宋" w:eastAsia="仿宋" w:cs="仿宋"/>
          <w:color w:val="000000"/>
          <w:sz w:val="28"/>
          <w:szCs w:val="28"/>
          <w:highlight w:val="none"/>
          <w:lang w:eastAsia="zh-CN"/>
        </w:rPr>
        <w:t>方应当在甲方付款前按甲方要求向甲方提供与付款</w:t>
      </w:r>
      <w:r>
        <w:rPr>
          <w:rFonts w:hint="eastAsia" w:ascii="仿宋" w:hAnsi="仿宋" w:eastAsia="仿宋" w:cs="仿宋"/>
          <w:color w:val="000000"/>
          <w:sz w:val="28"/>
          <w:szCs w:val="28"/>
          <w:highlight w:val="none"/>
          <w:lang w:val="en-US" w:eastAsia="zh-CN"/>
        </w:rPr>
        <w:t>金</w:t>
      </w:r>
      <w:r>
        <w:rPr>
          <w:rFonts w:hint="eastAsia" w:ascii="仿宋" w:hAnsi="仿宋" w:eastAsia="仿宋" w:cs="仿宋"/>
          <w:color w:val="000000"/>
          <w:sz w:val="28"/>
          <w:szCs w:val="28"/>
          <w:highlight w:val="none"/>
          <w:lang w:eastAsia="zh-CN"/>
        </w:rPr>
        <w:t>额等值的</w:t>
      </w:r>
      <w:r>
        <w:rPr>
          <w:rFonts w:hint="eastAsia" w:ascii="仿宋" w:hAnsi="仿宋" w:eastAsia="仿宋" w:cs="仿宋"/>
          <w:color w:val="000000"/>
          <w:sz w:val="28"/>
          <w:szCs w:val="28"/>
          <w:highlight w:val="none"/>
          <w:lang w:val="en-US" w:eastAsia="zh-CN"/>
        </w:rPr>
        <w:t>9%</w:t>
      </w:r>
      <w:r>
        <w:rPr>
          <w:rFonts w:hint="eastAsia" w:ascii="仿宋" w:hAnsi="仿宋" w:eastAsia="仿宋" w:cs="仿宋"/>
          <w:color w:val="000000"/>
          <w:sz w:val="28"/>
          <w:szCs w:val="28"/>
          <w:highlight w:val="none"/>
          <w:lang w:eastAsia="zh-CN"/>
        </w:rPr>
        <w:t>增值税发票</w:t>
      </w:r>
      <w:r>
        <w:rPr>
          <w:rFonts w:hint="eastAsia" w:ascii="仿宋" w:hAnsi="仿宋" w:eastAsia="仿宋" w:cs="仿宋"/>
          <w:color w:val="000000"/>
          <w:sz w:val="28"/>
          <w:szCs w:val="28"/>
          <w:highlight w:val="none"/>
          <w:lang w:val="en-US" w:eastAsia="zh-CN"/>
        </w:rPr>
        <w:t>和各型号设备具体费用明细表。</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color w:val="000000"/>
          <w:sz w:val="28"/>
          <w:szCs w:val="28"/>
          <w:highlight w:val="none"/>
          <w:lang w:val="en-US" w:eastAsia="zh-CN"/>
        </w:rPr>
        <w:t>2.消纳场运营期间，乙方配备的</w:t>
      </w:r>
      <w:r>
        <w:rPr>
          <w:rFonts w:hint="eastAsia" w:ascii="宋体" w:hAnsi="宋体" w:eastAsia="仿宋_GB2312" w:cs="仿宋_GB2312"/>
          <w:b w:val="0"/>
          <w:bCs w:val="0"/>
          <w:color w:val="000000"/>
          <w:sz w:val="28"/>
          <w:szCs w:val="28"/>
          <w:highlight w:val="none"/>
          <w:u w:val="single"/>
          <w:lang w:val="en-US" w:eastAsia="zh-CN"/>
        </w:rPr>
        <w:t>负责渣土车辆清洗和消纳场的卫生工作</w:t>
      </w:r>
      <w:r>
        <w:rPr>
          <w:rFonts w:hint="eastAsia" w:ascii="仿宋" w:hAnsi="仿宋" w:eastAsia="仿宋" w:cs="仿宋"/>
          <w:color w:val="000000"/>
          <w:sz w:val="28"/>
          <w:szCs w:val="28"/>
          <w:highlight w:val="none"/>
          <w:lang w:val="en-US" w:eastAsia="zh-CN"/>
        </w:rPr>
        <w:t>人员暂以工日计费，每工日为</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元，消纳场运营期间每月对乙方配备的</w:t>
      </w:r>
      <w:r>
        <w:rPr>
          <w:rFonts w:hint="eastAsia" w:ascii="宋体" w:hAnsi="宋体" w:eastAsia="仿宋_GB2312" w:cs="仿宋_GB2312"/>
          <w:b w:val="0"/>
          <w:bCs w:val="0"/>
          <w:color w:val="000000"/>
          <w:sz w:val="28"/>
          <w:szCs w:val="28"/>
          <w:highlight w:val="none"/>
          <w:u w:val="single"/>
          <w:lang w:val="en-US" w:eastAsia="zh-CN"/>
        </w:rPr>
        <w:t>负责渣土车辆清洗和消纳场的卫生工作</w:t>
      </w:r>
      <w:r>
        <w:rPr>
          <w:rFonts w:hint="eastAsia" w:ascii="仿宋" w:hAnsi="仿宋" w:eastAsia="仿宋" w:cs="仿宋"/>
          <w:color w:val="000000"/>
          <w:sz w:val="28"/>
          <w:szCs w:val="28"/>
          <w:highlight w:val="none"/>
          <w:lang w:val="en-US" w:eastAsia="zh-CN"/>
        </w:rPr>
        <w:t>人员进行一次结算，双方核对无误</w:t>
      </w:r>
      <w:r>
        <w:rPr>
          <w:rFonts w:hint="eastAsia" w:ascii="仿宋" w:hAnsi="仿宋" w:eastAsia="仿宋" w:cs="仿宋"/>
          <w:sz w:val="28"/>
          <w:szCs w:val="28"/>
          <w:lang w:val="en-US" w:eastAsia="zh-CN"/>
        </w:rPr>
        <w:t>后乙方可根据结算金额申请支付当月90%人工费，</w:t>
      </w:r>
      <w:r>
        <w:rPr>
          <w:rFonts w:hint="eastAsia" w:ascii="仿宋" w:hAnsi="仿宋" w:eastAsia="仿宋" w:cs="仿宋"/>
          <w:sz w:val="28"/>
          <w:szCs w:val="28"/>
          <w:lang w:eastAsia="zh-CN"/>
        </w:rPr>
        <w:t>乙方应当在甲方付款前按甲方要求向甲方提供与付款</w:t>
      </w:r>
      <w:r>
        <w:rPr>
          <w:rFonts w:hint="eastAsia" w:ascii="仿宋" w:hAnsi="仿宋" w:eastAsia="仿宋" w:cs="仿宋"/>
          <w:sz w:val="28"/>
          <w:szCs w:val="28"/>
          <w:lang w:val="en-US" w:eastAsia="zh-CN"/>
        </w:rPr>
        <w:t>金</w:t>
      </w:r>
      <w:r>
        <w:rPr>
          <w:rFonts w:hint="eastAsia" w:ascii="仿宋" w:hAnsi="仿宋" w:eastAsia="仿宋" w:cs="仿宋"/>
          <w:sz w:val="28"/>
          <w:szCs w:val="28"/>
          <w:lang w:eastAsia="zh-CN"/>
        </w:rPr>
        <w:t>额等值的</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增值税发票</w:t>
      </w:r>
      <w:r>
        <w:rPr>
          <w:rFonts w:hint="eastAsia" w:ascii="仿宋" w:hAnsi="仿宋" w:eastAsia="仿宋" w:cs="仿宋"/>
          <w:sz w:val="28"/>
          <w:szCs w:val="28"/>
          <w:lang w:val="en-US" w:eastAsia="zh-CN"/>
        </w:rPr>
        <w:t>和人工费用明细表。</w:t>
      </w:r>
    </w:p>
    <w:p>
      <w:pPr>
        <w:widowControl w:val="0"/>
        <w:numPr>
          <w:ilvl w:val="0"/>
          <w:numId w:val="0"/>
        </w:numPr>
        <w:spacing w:after="0"/>
        <w:ind w:left="0" w:leftChars="0" w:firstLine="560" w:firstLineChars="200"/>
        <w:jc w:val="both"/>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3.本合同总价款</w:t>
      </w:r>
      <w:r>
        <w:rPr>
          <w:rFonts w:hint="eastAsia" w:ascii="仿宋" w:hAnsi="仿宋" w:eastAsia="仿宋" w:cs="仿宋"/>
          <w:color w:val="000000"/>
          <w:kern w:val="2"/>
          <w:sz w:val="28"/>
          <w:szCs w:val="28"/>
          <w:highlight w:val="none"/>
          <w:u w:val="none"/>
          <w:lang w:val="en-US" w:eastAsia="zh-CN" w:bidi="ar-SA"/>
        </w:rPr>
        <w:t xml:space="preserve">  </w:t>
      </w:r>
      <w:r>
        <w:rPr>
          <w:rFonts w:hint="eastAsia" w:ascii="仿宋" w:hAnsi="仿宋" w:eastAsia="仿宋" w:cs="仿宋"/>
          <w:color w:val="000000"/>
          <w:kern w:val="2"/>
          <w:sz w:val="28"/>
          <w:szCs w:val="28"/>
          <w:highlight w:val="none"/>
          <w:lang w:val="en-US" w:eastAsia="zh-CN" w:bidi="ar-SA"/>
        </w:rPr>
        <w:t>元，其中不含税价</w:t>
      </w:r>
      <w:r>
        <w:rPr>
          <w:rFonts w:hint="eastAsia" w:ascii="仿宋" w:hAnsi="仿宋" w:eastAsia="仿宋" w:cs="仿宋"/>
          <w:color w:val="000000"/>
          <w:kern w:val="2"/>
          <w:sz w:val="28"/>
          <w:szCs w:val="28"/>
          <w:highlight w:val="none"/>
          <w:u w:val="none"/>
          <w:lang w:val="en-US" w:eastAsia="zh-CN" w:bidi="ar-SA"/>
        </w:rPr>
        <w:t xml:space="preserve">  </w:t>
      </w:r>
      <w:r>
        <w:rPr>
          <w:rFonts w:hint="eastAsia" w:ascii="仿宋" w:hAnsi="仿宋" w:eastAsia="仿宋" w:cs="仿宋"/>
          <w:color w:val="000000"/>
          <w:kern w:val="2"/>
          <w:sz w:val="28"/>
          <w:szCs w:val="28"/>
          <w:highlight w:val="none"/>
          <w:lang w:val="en-US" w:eastAsia="zh-CN" w:bidi="ar-SA"/>
        </w:rPr>
        <w:t>元，税额</w:t>
      </w:r>
      <w:r>
        <w:rPr>
          <w:rFonts w:hint="eastAsia" w:ascii="仿宋" w:hAnsi="仿宋" w:eastAsia="仿宋" w:cs="仿宋"/>
          <w:color w:val="000000"/>
          <w:kern w:val="2"/>
          <w:sz w:val="28"/>
          <w:szCs w:val="28"/>
          <w:highlight w:val="none"/>
          <w:u w:val="none"/>
          <w:lang w:val="en-US" w:eastAsia="zh-CN" w:bidi="ar-SA"/>
        </w:rPr>
        <w:t xml:space="preserve">  </w:t>
      </w:r>
      <w:r>
        <w:rPr>
          <w:rFonts w:hint="eastAsia" w:ascii="仿宋" w:hAnsi="仿宋" w:eastAsia="仿宋" w:cs="仿宋"/>
          <w:color w:val="000000"/>
          <w:kern w:val="2"/>
          <w:sz w:val="28"/>
          <w:szCs w:val="28"/>
          <w:highlight w:val="none"/>
          <w:lang w:val="en-US" w:eastAsia="zh-CN" w:bidi="ar-SA"/>
        </w:rPr>
        <w:t>元。（总价款中已考虑税差，因税率变动产生争议的，均不再作任何调整）。</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乙方</w:t>
      </w:r>
      <w:r>
        <w:rPr>
          <w:rFonts w:hint="eastAsia" w:ascii="仿宋" w:hAnsi="仿宋" w:eastAsia="仿宋" w:cs="仿宋"/>
          <w:sz w:val="28"/>
          <w:szCs w:val="28"/>
          <w:lang w:val="en-US" w:eastAsia="zh-CN"/>
        </w:rPr>
        <w:t>如未</w:t>
      </w:r>
      <w:r>
        <w:rPr>
          <w:rFonts w:hint="eastAsia" w:ascii="仿宋" w:hAnsi="仿宋" w:eastAsia="仿宋" w:cs="仿宋"/>
          <w:sz w:val="28"/>
          <w:szCs w:val="28"/>
          <w:lang w:eastAsia="zh-CN"/>
        </w:rPr>
        <w:t>按甲方要求向甲方提供与付款额等值的增值税发票</w:t>
      </w:r>
      <w:r>
        <w:rPr>
          <w:rFonts w:hint="eastAsia" w:ascii="仿宋" w:hAnsi="仿宋" w:eastAsia="仿宋" w:cs="仿宋"/>
          <w:sz w:val="28"/>
          <w:szCs w:val="28"/>
          <w:lang w:val="en-US" w:eastAsia="zh-CN"/>
        </w:rPr>
        <w:t>和各型号设备具体费用和人工费用明细表，</w:t>
      </w:r>
      <w:r>
        <w:rPr>
          <w:rFonts w:hint="eastAsia" w:ascii="仿宋" w:hAnsi="仿宋" w:eastAsia="仿宋" w:cs="仿宋"/>
          <w:sz w:val="28"/>
          <w:szCs w:val="28"/>
          <w:lang w:eastAsia="zh-CN"/>
        </w:rPr>
        <w:t>甲方有权延期支付货款，且不承担逾期付款责任。甲方收到乙方开具的等额合法增值税发票后【15】个工作日内向乙方付款。</w:t>
      </w:r>
      <w:r>
        <w:rPr>
          <w:rFonts w:hint="eastAsia" w:ascii="仿宋" w:hAnsi="仿宋" w:eastAsia="仿宋" w:cs="仿宋"/>
          <w:sz w:val="28"/>
          <w:szCs w:val="28"/>
        </w:rPr>
        <w:t xml:space="preserve"> </w:t>
      </w:r>
    </w:p>
    <w:p>
      <w:pPr>
        <w:numPr>
          <w:ilvl w:val="0"/>
          <w:numId w:val="0"/>
        </w:numPr>
        <w:ind w:firstLine="560"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第四条 双方权利义务</w:t>
      </w:r>
    </w:p>
    <w:p>
      <w:pPr>
        <w:numPr>
          <w:ilvl w:val="0"/>
          <w:numId w:val="5"/>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乙方应当负责配备设备操作，维护人员，负责设备的操作，日常维护保养和故障的处理，确保机械技术状态完好。如因故障造成一天内连续停机超过三次（含）以上且影响消纳场工作的，则该机械当天不计取</w:t>
      </w:r>
      <w:r>
        <w:rPr>
          <w:rFonts w:hint="eastAsia" w:ascii="仿宋" w:hAnsi="仿宋" w:eastAsia="仿宋" w:cs="仿宋"/>
          <w:color w:val="000000"/>
          <w:sz w:val="28"/>
          <w:szCs w:val="28"/>
          <w:highlight w:val="none"/>
        </w:rPr>
        <w:t>建筑施工机械</w:t>
      </w:r>
      <w:r>
        <w:rPr>
          <w:rFonts w:hint="eastAsia" w:ascii="仿宋" w:hAnsi="仿宋" w:eastAsia="仿宋" w:cs="仿宋"/>
          <w:color w:val="000000"/>
          <w:sz w:val="28"/>
          <w:szCs w:val="28"/>
          <w:highlight w:val="none"/>
          <w:lang w:val="en-US" w:eastAsia="zh-CN"/>
        </w:rPr>
        <w:t>设备</w:t>
      </w:r>
      <w:r>
        <w:rPr>
          <w:rFonts w:hint="eastAsia" w:ascii="仿宋" w:hAnsi="仿宋" w:eastAsia="仿宋" w:cs="仿宋"/>
          <w:b w:val="0"/>
          <w:bCs w:val="0"/>
          <w:sz w:val="28"/>
          <w:szCs w:val="28"/>
          <w:lang w:val="en-US" w:eastAsia="zh-CN"/>
        </w:rPr>
        <w:t>租赁费。</w:t>
      </w:r>
    </w:p>
    <w:p>
      <w:pPr>
        <w:numPr>
          <w:ilvl w:val="0"/>
          <w:numId w:val="5"/>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乙方应当负责操作人员和</w:t>
      </w:r>
      <w:r>
        <w:rPr>
          <w:rFonts w:hint="eastAsia" w:ascii="宋体" w:hAnsi="宋体" w:eastAsia="仿宋_GB2312" w:cs="仿宋_GB2312"/>
          <w:b w:val="0"/>
          <w:bCs w:val="0"/>
          <w:color w:val="000000"/>
          <w:sz w:val="28"/>
          <w:szCs w:val="28"/>
          <w:highlight w:val="none"/>
          <w:u w:val="single"/>
          <w:lang w:val="en-US" w:eastAsia="zh-CN"/>
        </w:rPr>
        <w:t>负责渣土车辆清洗和消纳场的卫生工作的人员</w:t>
      </w:r>
      <w:r>
        <w:rPr>
          <w:rFonts w:hint="eastAsia" w:ascii="仿宋" w:hAnsi="仿宋" w:eastAsia="仿宋" w:cs="仿宋"/>
          <w:b w:val="0"/>
          <w:bCs w:val="0"/>
          <w:sz w:val="28"/>
          <w:szCs w:val="28"/>
          <w:lang w:val="en-US" w:eastAsia="zh-CN"/>
        </w:rPr>
        <w:t>的工资、社会保险及设备维修。</w:t>
      </w:r>
    </w:p>
    <w:p>
      <w:pPr>
        <w:numPr>
          <w:ilvl w:val="0"/>
          <w:numId w:val="5"/>
        </w:numPr>
        <w:ind w:firstLine="560" w:firstLineChars="200"/>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甲方应当按时向乙方支付费用。</w:t>
      </w:r>
    </w:p>
    <w:p>
      <w:pPr>
        <w:numPr>
          <w:ilvl w:val="0"/>
          <w:numId w:val="0"/>
        </w:numPr>
        <w:ind w:firstLine="560"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第五条 </w:t>
      </w:r>
      <w:r>
        <w:rPr>
          <w:rFonts w:hint="eastAsia" w:ascii="仿宋" w:hAnsi="仿宋" w:eastAsia="仿宋" w:cs="仿宋"/>
          <w:b/>
          <w:bCs/>
          <w:sz w:val="28"/>
          <w:szCs w:val="28"/>
          <w:lang w:eastAsia="zh-CN"/>
        </w:rPr>
        <w:t>施工要求与</w:t>
      </w:r>
      <w:r>
        <w:rPr>
          <w:rFonts w:hint="eastAsia" w:ascii="仿宋" w:hAnsi="仿宋" w:eastAsia="仿宋" w:cs="仿宋"/>
          <w:b/>
          <w:bCs/>
          <w:sz w:val="28"/>
          <w:szCs w:val="28"/>
        </w:rPr>
        <w:t xml:space="preserve">验收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乙方</w:t>
      </w:r>
      <w:r>
        <w:rPr>
          <w:rFonts w:hint="eastAsia" w:ascii="仿宋" w:hAnsi="仿宋" w:eastAsia="仿宋" w:cs="仿宋"/>
          <w:sz w:val="28"/>
          <w:szCs w:val="28"/>
        </w:rPr>
        <w:t>按照合同约定的时间、地点，</w:t>
      </w:r>
      <w:r>
        <w:rPr>
          <w:rFonts w:hint="eastAsia" w:ascii="仿宋" w:hAnsi="仿宋" w:eastAsia="仿宋" w:cs="仿宋"/>
          <w:sz w:val="28"/>
          <w:szCs w:val="28"/>
          <w:lang w:eastAsia="zh-CN"/>
        </w:rPr>
        <w:t>在甲方指定地点根据现场地势和甲方要求进行施工</w:t>
      </w:r>
      <w:r>
        <w:rPr>
          <w:rFonts w:hint="eastAsia" w:ascii="仿宋" w:hAnsi="仿宋" w:eastAsia="仿宋" w:cs="仿宋"/>
          <w:sz w:val="28"/>
          <w:szCs w:val="28"/>
        </w:rPr>
        <w:t xml:space="preserve">。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双方共同签署启用、停工交接通知单，停工时间</w:t>
      </w:r>
      <w:r>
        <w:rPr>
          <w:rFonts w:hint="eastAsia" w:ascii="仿宋" w:hAnsi="仿宋" w:eastAsia="仿宋" w:cs="仿宋"/>
          <w:sz w:val="28"/>
          <w:szCs w:val="28"/>
          <w:lang w:eastAsia="zh-CN"/>
        </w:rPr>
        <w:t>甲方</w:t>
      </w:r>
      <w:r>
        <w:rPr>
          <w:rFonts w:hint="eastAsia" w:ascii="仿宋" w:hAnsi="仿宋" w:eastAsia="仿宋" w:cs="仿宋"/>
          <w:sz w:val="28"/>
          <w:szCs w:val="28"/>
        </w:rPr>
        <w:t>应提前</w:t>
      </w:r>
      <w:r>
        <w:rPr>
          <w:rFonts w:hint="eastAsia" w:ascii="仿宋" w:hAnsi="仿宋" w:eastAsia="仿宋" w:cs="仿宋"/>
          <w:sz w:val="28"/>
          <w:szCs w:val="28"/>
          <w:lang w:val="en-US" w:eastAsia="zh-CN"/>
        </w:rPr>
        <w:t xml:space="preserve"> 1</w:t>
      </w:r>
      <w:r>
        <w:rPr>
          <w:rFonts w:hint="eastAsia" w:ascii="仿宋" w:hAnsi="仿宋" w:eastAsia="仿宋" w:cs="仿宋"/>
          <w:sz w:val="28"/>
          <w:szCs w:val="28"/>
        </w:rPr>
        <w:t xml:space="preserve"> 天书面通知</w:t>
      </w:r>
      <w:r>
        <w:rPr>
          <w:rFonts w:hint="eastAsia" w:ascii="仿宋" w:hAnsi="仿宋" w:eastAsia="仿宋" w:cs="仿宋"/>
          <w:sz w:val="28"/>
          <w:szCs w:val="28"/>
          <w:lang w:eastAsia="zh-CN"/>
        </w:rPr>
        <w:t>乙方</w:t>
      </w:r>
      <w:r>
        <w:rPr>
          <w:rFonts w:hint="eastAsia" w:ascii="仿宋" w:hAnsi="仿宋" w:eastAsia="仿宋" w:cs="仿宋"/>
          <w:sz w:val="28"/>
          <w:szCs w:val="28"/>
        </w:rPr>
        <w:t>。</w:t>
      </w:r>
    </w:p>
    <w:p>
      <w:pPr>
        <w:numPr>
          <w:ilvl w:val="0"/>
          <w:numId w:val="0"/>
        </w:numPr>
        <w:ind w:firstLine="560" w:firstLineChars="200"/>
        <w:rPr>
          <w:rFonts w:hint="eastAsia" w:ascii="仿宋" w:hAnsi="仿宋" w:eastAsia="仿宋" w:cs="仿宋"/>
          <w:b/>
          <w:bCs/>
          <w:sz w:val="28"/>
          <w:szCs w:val="28"/>
        </w:rPr>
      </w:pPr>
      <w:r>
        <w:rPr>
          <w:rFonts w:hint="eastAsia" w:ascii="仿宋" w:hAnsi="仿宋" w:eastAsia="仿宋" w:cs="仿宋"/>
          <w:sz w:val="28"/>
          <w:szCs w:val="28"/>
          <w:lang w:val="en-US" w:eastAsia="zh-CN"/>
        </w:rPr>
        <w:t>三、施工过程中，乙方应当遵守安全规范，任何因乙方安全及设备质量问题造成甲方人员及其他第三方的人身伤亡、财产损失的，由乙方赔偿因此导致的一切损失。</w:t>
      </w:r>
    </w:p>
    <w:p>
      <w:pPr>
        <w:numPr>
          <w:ilvl w:val="0"/>
          <w:numId w:val="0"/>
        </w:numPr>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条 违约责任</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乙方</w:t>
      </w:r>
      <w:r>
        <w:rPr>
          <w:rFonts w:hint="eastAsia" w:ascii="仿宋" w:hAnsi="仿宋" w:eastAsia="仿宋" w:cs="仿宋"/>
          <w:sz w:val="28"/>
          <w:szCs w:val="28"/>
        </w:rPr>
        <w:t>机械因故障停机，应在</w:t>
      </w:r>
      <w:r>
        <w:rPr>
          <w:rFonts w:hint="eastAsia" w:ascii="仿宋" w:hAnsi="仿宋" w:eastAsia="仿宋" w:cs="仿宋"/>
          <w:sz w:val="28"/>
          <w:szCs w:val="28"/>
          <w:lang w:val="en-US" w:eastAsia="zh-CN"/>
        </w:rPr>
        <w:t>1</w:t>
      </w:r>
      <w:r>
        <w:rPr>
          <w:rFonts w:hint="eastAsia" w:ascii="仿宋" w:hAnsi="仿宋" w:eastAsia="仿宋" w:cs="仿宋"/>
          <w:sz w:val="28"/>
          <w:szCs w:val="28"/>
        </w:rPr>
        <w:t>小时内恢复使用，如果</w:t>
      </w:r>
      <w:r>
        <w:rPr>
          <w:rFonts w:hint="eastAsia" w:ascii="仿宋" w:hAnsi="仿宋" w:eastAsia="仿宋" w:cs="仿宋"/>
          <w:sz w:val="28"/>
          <w:szCs w:val="28"/>
          <w:lang w:val="en-US" w:eastAsia="zh-CN"/>
        </w:rPr>
        <w:t>1小时内恢复不了的须立即更换或调用其它设备到达消纳场施工，如因机械设备故障或</w:t>
      </w:r>
      <w:r>
        <w:rPr>
          <w:rFonts w:hint="eastAsia" w:ascii="宋体" w:hAnsi="宋体" w:eastAsia="仿宋_GB2312" w:cs="仿宋_GB2312"/>
          <w:b w:val="0"/>
          <w:bCs w:val="0"/>
          <w:color w:val="000000"/>
          <w:sz w:val="28"/>
          <w:szCs w:val="28"/>
          <w:highlight w:val="none"/>
          <w:u w:val="single"/>
          <w:lang w:val="en-US" w:eastAsia="zh-CN"/>
        </w:rPr>
        <w:t>负责渣土车辆清洗和消纳场的卫生工作</w:t>
      </w:r>
      <w:r>
        <w:rPr>
          <w:rFonts w:hint="eastAsia" w:ascii="仿宋" w:hAnsi="仿宋" w:eastAsia="仿宋" w:cs="仿宋"/>
          <w:sz w:val="28"/>
          <w:szCs w:val="28"/>
          <w:lang w:val="en-US" w:eastAsia="zh-CN"/>
        </w:rPr>
        <w:t>人员不服从现场管理指挥人员调度而影响消纳场正常运营的，一次罚款2000元，3次及以上甲方有权解除合同，乙方还应向甲方支付本合同总价</w:t>
      </w:r>
      <w:r>
        <w:rPr>
          <w:rFonts w:hint="eastAsia" w:ascii="仿宋" w:hAnsi="仿宋" w:eastAsia="仿宋" w:cs="仿宋"/>
          <w:sz w:val="28"/>
          <w:szCs w:val="28"/>
          <w:u w:val="none"/>
          <w:lang w:val="en-US" w:eastAsia="zh-CN"/>
        </w:rPr>
        <w:t>20</w:t>
      </w:r>
      <w:r>
        <w:rPr>
          <w:rFonts w:hint="eastAsia" w:ascii="仿宋" w:hAnsi="仿宋" w:eastAsia="仿宋" w:cs="仿宋"/>
          <w:sz w:val="28"/>
          <w:szCs w:val="28"/>
          <w:u w:val="none"/>
        </w:rPr>
        <w:t>%</w:t>
      </w:r>
      <w:r>
        <w:rPr>
          <w:rFonts w:hint="eastAsia" w:ascii="仿宋" w:hAnsi="仿宋" w:eastAsia="仿宋" w:cs="仿宋"/>
          <w:sz w:val="28"/>
          <w:szCs w:val="28"/>
          <w:u w:val="none"/>
          <w:lang w:val="en-US" w:eastAsia="zh-CN"/>
        </w:rPr>
        <w:t>的违约金</w:t>
      </w:r>
      <w:r>
        <w:rPr>
          <w:rFonts w:hint="eastAsia" w:ascii="仿宋" w:hAnsi="仿宋" w:eastAsia="仿宋" w:cs="仿宋"/>
          <w:sz w:val="28"/>
          <w:szCs w:val="28"/>
        </w:rPr>
        <w:t>。</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乙方</w:t>
      </w:r>
      <w:r>
        <w:rPr>
          <w:rFonts w:hint="eastAsia" w:ascii="仿宋" w:hAnsi="仿宋" w:eastAsia="仿宋" w:cs="仿宋"/>
          <w:sz w:val="28"/>
          <w:szCs w:val="28"/>
        </w:rPr>
        <w:t>未按时进入工地、未按质量数量提供机械应扣罚租金</w:t>
      </w:r>
      <w:r>
        <w:rPr>
          <w:rFonts w:hint="eastAsia" w:ascii="仿宋" w:hAnsi="仿宋" w:eastAsia="仿宋" w:cs="仿宋"/>
          <w:sz w:val="28"/>
          <w:szCs w:val="28"/>
          <w:lang w:val="en-US" w:eastAsia="zh-CN"/>
        </w:rPr>
        <w:t>500</w:t>
      </w:r>
      <w:r>
        <w:rPr>
          <w:rFonts w:hint="eastAsia" w:ascii="仿宋" w:hAnsi="仿宋" w:eastAsia="仿宋" w:cs="仿宋"/>
          <w:sz w:val="28"/>
          <w:szCs w:val="28"/>
        </w:rPr>
        <w:t>元</w:t>
      </w:r>
      <w:r>
        <w:rPr>
          <w:rFonts w:hint="eastAsia" w:ascii="仿宋" w:hAnsi="仿宋" w:eastAsia="仿宋" w:cs="仿宋"/>
          <w:sz w:val="28"/>
          <w:szCs w:val="28"/>
          <w:lang w:val="en-US" w:eastAsia="zh-CN"/>
        </w:rPr>
        <w:t>/次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如超过五次的，甲方有权解除合同，乙方应赔偿甲方因此造成的一切损失，并向甲方支付本合同总价</w:t>
      </w:r>
      <w:r>
        <w:rPr>
          <w:rFonts w:hint="eastAsia" w:ascii="仿宋" w:hAnsi="仿宋" w:eastAsia="仿宋" w:cs="仿宋"/>
          <w:sz w:val="28"/>
          <w:szCs w:val="28"/>
          <w:u w:val="none"/>
          <w:lang w:val="en-US" w:eastAsia="zh-CN"/>
        </w:rPr>
        <w:t>20</w:t>
      </w:r>
      <w:r>
        <w:rPr>
          <w:rFonts w:hint="eastAsia" w:ascii="仿宋" w:hAnsi="仿宋" w:eastAsia="仿宋" w:cs="仿宋"/>
          <w:sz w:val="28"/>
          <w:szCs w:val="28"/>
          <w:u w:val="none"/>
        </w:rPr>
        <w:t>%</w:t>
      </w:r>
      <w:r>
        <w:rPr>
          <w:rFonts w:hint="eastAsia" w:ascii="仿宋" w:hAnsi="仿宋" w:eastAsia="仿宋" w:cs="仿宋"/>
          <w:sz w:val="28"/>
          <w:szCs w:val="28"/>
          <w:u w:val="none"/>
          <w:lang w:val="en-US" w:eastAsia="zh-CN"/>
        </w:rPr>
        <w:t>的违约金</w:t>
      </w:r>
      <w:r>
        <w:rPr>
          <w:rFonts w:hint="eastAsia" w:ascii="仿宋" w:hAnsi="仿宋" w:eastAsia="仿宋" w:cs="仿宋"/>
          <w:sz w:val="28"/>
          <w:szCs w:val="28"/>
        </w:rPr>
        <w:t>。</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三、乙方须根据甲方要求配备对应人数的</w:t>
      </w:r>
      <w:r>
        <w:rPr>
          <w:rFonts w:hint="eastAsia" w:ascii="宋体" w:hAnsi="宋体" w:eastAsia="仿宋_GB2312" w:cs="仿宋_GB2312"/>
          <w:b w:val="0"/>
          <w:bCs w:val="0"/>
          <w:color w:val="000000"/>
          <w:sz w:val="28"/>
          <w:szCs w:val="28"/>
          <w:highlight w:val="none"/>
          <w:u w:val="single"/>
          <w:lang w:val="en-US" w:eastAsia="zh-CN"/>
        </w:rPr>
        <w:t>负责渣土车辆清洗和消纳场的卫生工作</w:t>
      </w:r>
      <w:r>
        <w:rPr>
          <w:rFonts w:hint="eastAsia" w:ascii="仿宋" w:hAnsi="仿宋" w:eastAsia="仿宋" w:cs="仿宋"/>
          <w:sz w:val="28"/>
          <w:szCs w:val="28"/>
          <w:lang w:val="en-US" w:eastAsia="zh-CN"/>
        </w:rPr>
        <w:t>人员准时到达消纳场工作，如果乙方配备的人员如未按甲方消纳场运营管理要求操作施工的，一次罚款500元，3次及以上的甲方有权解除合同，乙方还应向甲方支付本合同总价</w:t>
      </w:r>
      <w:r>
        <w:rPr>
          <w:rFonts w:hint="eastAsia" w:ascii="仿宋" w:hAnsi="仿宋" w:eastAsia="仿宋" w:cs="仿宋"/>
          <w:sz w:val="28"/>
          <w:szCs w:val="28"/>
          <w:u w:val="none"/>
          <w:lang w:val="en-US" w:eastAsia="zh-CN"/>
        </w:rPr>
        <w:t>20</w:t>
      </w:r>
      <w:r>
        <w:rPr>
          <w:rFonts w:hint="eastAsia" w:ascii="仿宋" w:hAnsi="仿宋" w:eastAsia="仿宋" w:cs="仿宋"/>
          <w:sz w:val="28"/>
          <w:szCs w:val="28"/>
          <w:u w:val="none"/>
        </w:rPr>
        <w:t>%</w:t>
      </w:r>
      <w:r>
        <w:rPr>
          <w:rFonts w:hint="eastAsia" w:ascii="仿宋" w:hAnsi="仿宋" w:eastAsia="仿宋" w:cs="仿宋"/>
          <w:sz w:val="28"/>
          <w:szCs w:val="28"/>
          <w:u w:val="none"/>
          <w:lang w:val="en-US" w:eastAsia="zh-CN"/>
        </w:rPr>
        <w:t>的违约金</w:t>
      </w:r>
      <w:r>
        <w:rPr>
          <w:rFonts w:hint="eastAsia" w:ascii="仿宋" w:hAnsi="仿宋" w:eastAsia="仿宋" w:cs="仿宋"/>
          <w:sz w:val="28"/>
          <w:szCs w:val="28"/>
          <w:lang w:val="en-US" w:eastAsia="zh-CN"/>
        </w:rPr>
        <w:t>。</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四、在合同期内，乙方不得无故单方解除合同，否则乙方除赔偿因违约给甲方造成的损失外，还应按合同总价款的20%向甲方支付违约金。</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乙方出现违约行为时，甲方有权在应付乙方费用中直接扣除违约金。乙方除按照法定或合同相关约定承担对应的违约金或损失赔偿责任外，还应承担甲方追索受托方违约责任所产生的费用（包括但不限于诉讼费、保全费、公证费、鉴定费、律师费、差旅费等）。</w:t>
      </w:r>
    </w:p>
    <w:p>
      <w:pPr>
        <w:numPr>
          <w:ilvl w:val="0"/>
          <w:numId w:val="0"/>
        </w:numPr>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条 不可抗力</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一方当事人因不可抗力不能按照约定履行本合同的，根据不可抗力的影响，可部分或全部免除责任，但应当及时告知对方，并自不可抗力结束之日起十五日内向对方当事人提供证明。</w:t>
      </w:r>
    </w:p>
    <w:p>
      <w:pPr>
        <w:numPr>
          <w:ilvl w:val="0"/>
          <w:numId w:val="0"/>
        </w:numPr>
        <w:ind w:firstLine="560"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第</w:t>
      </w:r>
      <w:r>
        <w:rPr>
          <w:rFonts w:hint="eastAsia" w:ascii="仿宋" w:hAnsi="仿宋" w:eastAsia="仿宋" w:cs="仿宋"/>
          <w:b/>
          <w:bCs/>
          <w:sz w:val="28"/>
          <w:szCs w:val="28"/>
          <w:lang w:val="en-US" w:eastAsia="zh-CN"/>
        </w:rPr>
        <w:t>八</w:t>
      </w:r>
      <w:r>
        <w:rPr>
          <w:rFonts w:hint="eastAsia" w:ascii="仿宋" w:hAnsi="仿宋" w:eastAsia="仿宋" w:cs="仿宋"/>
          <w:b/>
          <w:bCs/>
          <w:sz w:val="28"/>
          <w:szCs w:val="28"/>
          <w:lang w:eastAsia="zh-CN"/>
        </w:rPr>
        <w:t>条</w:t>
      </w:r>
      <w:r>
        <w:rPr>
          <w:rFonts w:hint="eastAsia" w:ascii="仿宋" w:hAnsi="仿宋" w:eastAsia="仿宋" w:cs="仿宋"/>
          <w:b/>
          <w:bCs/>
          <w:sz w:val="28"/>
          <w:szCs w:val="28"/>
          <w:lang w:val="en-US" w:eastAsia="zh-CN"/>
        </w:rPr>
        <w:t xml:space="preserve"> 争议解决方式</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协议履行过程中发生争议的，双方可通过协商解决，协商不成的，任一方可向甲方所在地长沙市岳麓区人民法院提起诉讼。</w:t>
      </w:r>
    </w:p>
    <w:p>
      <w:pPr>
        <w:numPr>
          <w:ilvl w:val="0"/>
          <w:numId w:val="0"/>
        </w:numPr>
        <w:ind w:firstLine="560"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第</w:t>
      </w:r>
      <w:r>
        <w:rPr>
          <w:rFonts w:hint="eastAsia" w:ascii="仿宋" w:hAnsi="仿宋" w:eastAsia="仿宋" w:cs="仿宋"/>
          <w:b/>
          <w:bCs/>
          <w:sz w:val="28"/>
          <w:szCs w:val="28"/>
          <w:lang w:val="en-US" w:eastAsia="zh-CN"/>
        </w:rPr>
        <w:t>九</w:t>
      </w:r>
      <w:r>
        <w:rPr>
          <w:rFonts w:hint="eastAsia" w:ascii="仿宋" w:hAnsi="仿宋" w:eastAsia="仿宋" w:cs="仿宋"/>
          <w:b/>
          <w:bCs/>
          <w:sz w:val="28"/>
          <w:szCs w:val="28"/>
          <w:lang w:eastAsia="zh-CN"/>
        </w:rPr>
        <w:t>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合同的生效及其他</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本合同自双方</w:t>
      </w:r>
      <w:r>
        <w:rPr>
          <w:rFonts w:hint="eastAsia" w:ascii="仿宋" w:hAnsi="仿宋" w:eastAsia="仿宋" w:cs="仿宋"/>
          <w:sz w:val="28"/>
          <w:szCs w:val="28"/>
          <w:lang w:val="en-US" w:eastAsia="zh-CN"/>
        </w:rPr>
        <w:t>法定代表人或授权代表</w:t>
      </w:r>
      <w:r>
        <w:rPr>
          <w:rFonts w:hint="eastAsia" w:ascii="仿宋" w:hAnsi="仿宋" w:eastAsia="仿宋" w:cs="仿宋"/>
          <w:sz w:val="28"/>
          <w:szCs w:val="28"/>
        </w:rPr>
        <w:t>签字</w:t>
      </w:r>
      <w:r>
        <w:rPr>
          <w:rFonts w:hint="eastAsia" w:ascii="仿宋" w:hAnsi="仿宋" w:eastAsia="仿宋" w:cs="仿宋"/>
          <w:sz w:val="28"/>
          <w:szCs w:val="28"/>
          <w:lang w:val="en-US" w:eastAsia="zh-CN"/>
        </w:rPr>
        <w:t>并加</w:t>
      </w:r>
      <w:r>
        <w:rPr>
          <w:rFonts w:hint="eastAsia" w:ascii="仿宋" w:hAnsi="仿宋" w:eastAsia="仿宋" w:cs="仿宋"/>
          <w:sz w:val="28"/>
          <w:szCs w:val="28"/>
        </w:rPr>
        <w:t>盖</w:t>
      </w:r>
      <w:r>
        <w:rPr>
          <w:rFonts w:hint="eastAsia" w:ascii="仿宋" w:hAnsi="仿宋" w:eastAsia="仿宋" w:cs="仿宋"/>
          <w:sz w:val="28"/>
          <w:szCs w:val="28"/>
          <w:lang w:val="en-US" w:eastAsia="zh-CN"/>
        </w:rPr>
        <w:t>公</w:t>
      </w:r>
      <w:r>
        <w:rPr>
          <w:rFonts w:hint="eastAsia" w:ascii="仿宋" w:hAnsi="仿宋" w:eastAsia="仿宋" w:cs="仿宋"/>
          <w:sz w:val="28"/>
          <w:szCs w:val="28"/>
        </w:rPr>
        <w:t>章之日起生效。本合同及附件，一式</w:t>
      </w:r>
      <w:r>
        <w:rPr>
          <w:rFonts w:hint="eastAsia" w:ascii="仿宋" w:hAnsi="仿宋" w:eastAsia="仿宋" w:cs="仿宋"/>
          <w:sz w:val="28"/>
          <w:szCs w:val="28"/>
          <w:u w:val="single"/>
          <w:lang w:val="en-US" w:eastAsia="zh-CN"/>
        </w:rPr>
        <w:t>4</w:t>
      </w:r>
      <w:r>
        <w:rPr>
          <w:rFonts w:hint="eastAsia" w:ascii="仿宋" w:hAnsi="仿宋" w:eastAsia="仿宋" w:cs="仿宋"/>
          <w:sz w:val="28"/>
          <w:szCs w:val="28"/>
        </w:rPr>
        <w:t>份，具有同等法律效力，</w:t>
      </w:r>
      <w:r>
        <w:rPr>
          <w:rFonts w:hint="eastAsia" w:ascii="仿宋" w:hAnsi="仿宋" w:eastAsia="仿宋" w:cs="仿宋"/>
          <w:sz w:val="28"/>
          <w:szCs w:val="28"/>
          <w:lang w:eastAsia="zh-CN"/>
        </w:rPr>
        <w:t>甲</w:t>
      </w:r>
      <w:r>
        <w:rPr>
          <w:rFonts w:hint="eastAsia" w:ascii="仿宋" w:hAnsi="仿宋" w:eastAsia="仿宋" w:cs="仿宋"/>
          <w:sz w:val="28"/>
          <w:szCs w:val="28"/>
          <w:lang w:val="en-US" w:eastAsia="zh-CN"/>
        </w:rPr>
        <w:t>方3份、</w:t>
      </w:r>
      <w:r>
        <w:rPr>
          <w:rFonts w:hint="eastAsia" w:ascii="仿宋" w:hAnsi="仿宋" w:eastAsia="仿宋" w:cs="仿宋"/>
          <w:sz w:val="28"/>
          <w:szCs w:val="28"/>
          <w:lang w:eastAsia="zh-CN"/>
        </w:rPr>
        <w:t>乙方</w:t>
      </w: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rPr>
        <w:t>份</w:t>
      </w:r>
      <w:r>
        <w:rPr>
          <w:rFonts w:hint="eastAsia" w:ascii="仿宋" w:hAnsi="仿宋" w:eastAsia="仿宋" w:cs="仿宋"/>
          <w:sz w:val="28"/>
          <w:szCs w:val="28"/>
        </w:rPr>
        <w:t xml:space="preserve">。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本合同附件以及合同履行过程中形成的各种书面文件，经双方签署确认后为本合同的组成部分，与本合同具有同等法律效力，解释的顺序除有特别说明外，以文件生成时间在后的为准。</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本合同未尽事宜，双方可协商签订补充协议，补充协议与本合同具有同等法律效力。</w:t>
      </w:r>
    </w:p>
    <w:p>
      <w:pPr>
        <w:widowControl w:val="0"/>
        <w:spacing w:after="0"/>
        <w:ind w:left="0" w:leftChars="0" w:firstLine="560" w:firstLineChars="200"/>
        <w:jc w:val="both"/>
        <w:rPr>
          <w:rFonts w:hint="eastAsia" w:ascii="仿宋" w:hAnsi="仿宋" w:eastAsia="仿宋" w:cs="仿宋"/>
          <w:kern w:val="2"/>
          <w:sz w:val="36"/>
          <w:szCs w:val="36"/>
          <w:lang w:val="en-US" w:eastAsia="zh-CN" w:bidi="ar-SA"/>
        </w:rPr>
      </w:pPr>
      <w:r>
        <w:rPr>
          <w:rFonts w:hint="eastAsia" w:ascii="仿宋" w:hAnsi="仿宋" w:eastAsia="仿宋" w:cs="仿宋"/>
          <w:kern w:val="2"/>
          <w:sz w:val="28"/>
          <w:szCs w:val="28"/>
          <w:lang w:val="en-US" w:eastAsia="zh-CN" w:bidi="ar-SA"/>
        </w:rPr>
        <w:t>四、双方的通讯地址及联系电话以合同签署页为准。该通讯地址适用于合同发生争议进入民事诉讼程序后的一审、二审、再审和执行程序。任何一方通讯地址及联系电话变更，应在发生变更之日起五日内以书面形式通知另一方，否则自行承担相应的法律后果。甲方按照合同中所记载的或其后书面通知变更的通讯地址及联系电话向乙方发出通知的，通知到达的时间为送达日。</w:t>
      </w:r>
    </w:p>
    <w:p>
      <w:pPr>
        <w:widowControl w:val="0"/>
        <w:spacing w:after="0"/>
        <w:ind w:left="0" w:leftChars="0" w:firstLine="0" w:firstLineChars="0"/>
        <w:jc w:val="both"/>
        <w:rPr>
          <w:rFonts w:hint="eastAsia" w:ascii="仿宋" w:hAnsi="仿宋" w:eastAsia="仿宋" w:cs="仿宋"/>
          <w:kern w:val="2"/>
          <w:sz w:val="36"/>
          <w:szCs w:val="36"/>
          <w:lang w:val="en-US" w:eastAsia="zh-CN" w:bidi="ar-SA"/>
        </w:rPr>
      </w:pPr>
    </w:p>
    <w:p>
      <w:pPr>
        <w:widowControl w:val="0"/>
        <w:spacing w:after="0"/>
        <w:ind w:left="0" w:leftChars="0" w:firstLine="0" w:firstLineChars="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32"/>
          <w:szCs w:val="32"/>
          <w:lang w:val="en-US" w:eastAsia="zh-CN" w:bidi="ar-SA"/>
        </w:rPr>
        <w:br w:type="page"/>
      </w:r>
      <w:r>
        <w:rPr>
          <w:rFonts w:hint="eastAsia" w:ascii="仿宋" w:hAnsi="仿宋" w:eastAsia="仿宋" w:cs="仿宋"/>
          <w:kern w:val="2"/>
          <w:sz w:val="28"/>
          <w:szCs w:val="28"/>
          <w:lang w:val="en-US" w:eastAsia="zh-CN" w:bidi="ar-SA"/>
        </w:rPr>
        <w:t>（以下无正文，为合同签字盖章栏）</w:t>
      </w:r>
    </w:p>
    <w:p>
      <w:pPr>
        <w:ind w:firstLine="560" w:firstLineChars="200"/>
        <w:rPr>
          <w:rFonts w:hint="eastAsia" w:ascii="仿宋" w:hAnsi="仿宋" w:eastAsia="仿宋" w:cs="仿宋"/>
          <w:sz w:val="28"/>
        </w:rPr>
      </w:pPr>
      <w:r>
        <w:rPr>
          <w:rFonts w:hint="eastAsia" w:ascii="仿宋" w:hAnsi="仿宋" w:eastAsia="仿宋" w:cs="仿宋"/>
          <w:sz w:val="28"/>
        </w:rPr>
        <w:t>甲方（盖章）：                   乙方（盖章）：</w:t>
      </w:r>
    </w:p>
    <w:p>
      <w:pPr>
        <w:ind w:firstLine="560" w:firstLineChars="200"/>
        <w:rPr>
          <w:rFonts w:hint="eastAsia" w:ascii="仿宋" w:hAnsi="仿宋" w:eastAsia="仿宋" w:cs="仿宋"/>
          <w:sz w:val="28"/>
        </w:rPr>
      </w:pPr>
      <w:r>
        <w:rPr>
          <w:rFonts w:hint="eastAsia" w:ascii="仿宋" w:hAnsi="仿宋" w:eastAsia="仿宋" w:cs="仿宋"/>
          <w:sz w:val="28"/>
        </w:rPr>
        <w:t>法定代表人（签字）：            法定代表人（签字）：</w:t>
      </w:r>
    </w:p>
    <w:p>
      <w:pPr>
        <w:ind w:firstLine="560" w:firstLineChars="200"/>
        <w:rPr>
          <w:rFonts w:hint="eastAsia" w:ascii="仿宋" w:hAnsi="仿宋" w:eastAsia="仿宋" w:cs="仿宋"/>
          <w:sz w:val="28"/>
        </w:rPr>
      </w:pPr>
      <w:r>
        <w:rPr>
          <w:rFonts w:hint="eastAsia" w:ascii="仿宋" w:hAnsi="仿宋" w:eastAsia="仿宋" w:cs="仿宋"/>
          <w:sz w:val="28"/>
        </w:rPr>
        <w:t>或授权代表（签字）：</w:t>
      </w:r>
      <w:r>
        <w:rPr>
          <w:rFonts w:hint="eastAsia" w:ascii="仿宋" w:hAnsi="仿宋" w:eastAsia="仿宋" w:cs="仿宋"/>
          <w:sz w:val="28"/>
        </w:rPr>
        <w:tab/>
      </w:r>
      <w:r>
        <w:rPr>
          <w:rFonts w:hint="eastAsia" w:ascii="仿宋" w:hAnsi="仿宋" w:eastAsia="仿宋" w:cs="仿宋"/>
          <w:sz w:val="28"/>
        </w:rPr>
        <w:t xml:space="preserve">           或授权代表（签字）：</w:t>
      </w:r>
    </w:p>
    <w:p>
      <w:pPr>
        <w:ind w:firstLine="560" w:firstLineChars="200"/>
        <w:rPr>
          <w:rFonts w:hint="eastAsia" w:ascii="仿宋" w:hAnsi="仿宋" w:eastAsia="仿宋" w:cs="仿宋"/>
          <w:sz w:val="28"/>
        </w:rPr>
      </w:pPr>
      <w:r>
        <w:rPr>
          <w:rFonts w:hint="eastAsia" w:ascii="仿宋" w:hAnsi="仿宋" w:eastAsia="仿宋" w:cs="仿宋"/>
          <w:sz w:val="28"/>
        </w:rPr>
        <w:t>地址：                         地址：</w:t>
      </w:r>
    </w:p>
    <w:p>
      <w:pPr>
        <w:ind w:firstLine="560" w:firstLineChars="200"/>
        <w:rPr>
          <w:rFonts w:hint="eastAsia" w:ascii="仿宋" w:hAnsi="仿宋" w:eastAsia="仿宋" w:cs="仿宋"/>
          <w:sz w:val="28"/>
        </w:rPr>
      </w:pPr>
      <w:r>
        <w:rPr>
          <w:rFonts w:hint="eastAsia" w:ascii="仿宋" w:hAnsi="仿宋" w:eastAsia="仿宋" w:cs="仿宋"/>
          <w:sz w:val="28"/>
        </w:rPr>
        <w:t>联系电话：                     联系电话：</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日期：  年   月   日           日期：  年  月   日</w:t>
      </w:r>
    </w:p>
    <w:p>
      <w:pPr>
        <w:tabs>
          <w:tab w:val="left" w:pos="420"/>
          <w:tab w:val="left" w:pos="7560"/>
          <w:tab w:val="left" w:pos="7740"/>
          <w:tab w:val="left" w:pos="7920"/>
        </w:tabs>
        <w:adjustRightInd w:val="0"/>
        <w:snapToGrid w:val="0"/>
        <w:spacing w:line="360" w:lineRule="auto"/>
        <w:jc w:val="center"/>
        <w:rPr>
          <w:rFonts w:ascii="宋体" w:hAnsi="宋体" w:cs="宋体"/>
          <w:b/>
          <w:color w:val="auto"/>
          <w:sz w:val="32"/>
          <w:szCs w:val="32"/>
        </w:rPr>
      </w:pPr>
    </w:p>
    <w:p>
      <w:pPr>
        <w:jc w:val="right"/>
        <w:rPr>
          <w:rFonts w:hint="default" w:ascii="宋体" w:hAnsi="宋体" w:eastAsia="宋体"/>
          <w:color w:val="auto"/>
          <w:sz w:val="32"/>
          <w:szCs w:val="32"/>
          <w:lang w:val="en-US" w:eastAsia="zh-CN"/>
        </w:rPr>
      </w:pPr>
      <w:r>
        <w:rPr>
          <w:rFonts w:hint="eastAsia" w:ascii="宋体" w:hAnsi="宋体" w:cs="宋体"/>
          <w:color w:val="auto"/>
          <w:sz w:val="24"/>
          <w:lang w:val="en-US" w:eastAsia="zh-CN"/>
        </w:rPr>
        <w:t xml:space="preserve">  </w:t>
      </w:r>
    </w:p>
    <w:p>
      <w:pPr>
        <w:rPr>
          <w:rFonts w:ascii="宋体" w:hAnsi="宋体"/>
          <w:color w:val="auto"/>
          <w:sz w:val="32"/>
          <w:szCs w:val="32"/>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both"/>
        <w:rPr>
          <w:rFonts w:hint="eastAsia" w:ascii="宋体" w:hAnsi="宋体" w:cs="宋体"/>
          <w:b/>
          <w:color w:val="auto"/>
          <w:sz w:val="32"/>
          <w:szCs w:val="32"/>
        </w:rPr>
      </w:pPr>
      <w:bookmarkStart w:id="0" w:name="_Toc3290"/>
      <w:bookmarkStart w:id="1" w:name="_Toc16003"/>
      <w:bookmarkStart w:id="2" w:name="_Toc30732"/>
      <w:bookmarkStart w:id="3" w:name="_Toc88816261"/>
      <w:bookmarkStart w:id="4" w:name="_Toc521080305"/>
    </w:p>
    <w:p>
      <w:pPr>
        <w:jc w:val="center"/>
        <w:rPr>
          <w:color w:val="auto"/>
        </w:rPr>
      </w:pPr>
      <w:r>
        <w:rPr>
          <w:rFonts w:hint="eastAsia" w:ascii="宋体" w:hAnsi="宋体" w:cs="宋体"/>
          <w:b/>
          <w:color w:val="auto"/>
          <w:sz w:val="32"/>
          <w:szCs w:val="32"/>
        </w:rPr>
        <w:t>第四章  采购需求</w:t>
      </w:r>
      <w:bookmarkEnd w:id="0"/>
      <w:bookmarkEnd w:id="1"/>
      <w:bookmarkEnd w:id="2"/>
      <w:bookmarkEnd w:id="3"/>
      <w:bookmarkEnd w:id="4"/>
    </w:p>
    <w:p>
      <w:pPr>
        <w:widowControl w:val="0"/>
        <w:autoSpaceDE w:val="0"/>
        <w:autoSpaceDN w:val="0"/>
        <w:adjustRightInd w:val="0"/>
        <w:spacing w:after="120"/>
        <w:ind w:left="0" w:leftChars="0" w:firstLine="0"/>
        <w:jc w:val="left"/>
        <w:rPr>
          <w:rFonts w:ascii="Times New Roman" w:hAnsi="Times New Roman" w:eastAsia="PMingLiU" w:cs="Times New Roman"/>
          <w:kern w:val="0"/>
          <w:sz w:val="21"/>
          <w:szCs w:val="24"/>
          <w:lang w:val="zh-TW" w:eastAsia="zh-TW" w:bidi="ar-SA"/>
        </w:rPr>
      </w:pPr>
    </w:p>
    <w:p>
      <w:pPr>
        <w:numPr>
          <w:ilvl w:val="0"/>
          <w:numId w:val="6"/>
        </w:numPr>
        <w:adjustRightInd w:val="0"/>
        <w:snapToGrid w:val="0"/>
        <w:spacing w:line="520" w:lineRule="exact"/>
        <w:rPr>
          <w:rFonts w:ascii="宋体" w:hAnsi="宋体" w:cs="宋体"/>
          <w:b/>
          <w:color w:val="auto"/>
          <w:sz w:val="24"/>
          <w:szCs w:val="24"/>
          <w:highlight w:val="none"/>
        </w:rPr>
      </w:pPr>
      <w:r>
        <w:rPr>
          <w:rFonts w:hint="eastAsia" w:ascii="宋体" w:hAnsi="宋体" w:eastAsia="宋体" w:cs="宋体"/>
          <w:b/>
          <w:color w:val="auto"/>
          <w:sz w:val="24"/>
          <w:szCs w:val="24"/>
          <w:highlight w:val="none"/>
        </w:rPr>
        <w:t>项目名称：</w:t>
      </w:r>
      <w:r>
        <w:rPr>
          <w:rFonts w:hint="eastAsia" w:ascii="宋体" w:hAnsi="宋体" w:eastAsia="宋体" w:cs="宋体"/>
          <w:color w:val="auto"/>
          <w:sz w:val="24"/>
          <w:szCs w:val="24"/>
          <w:highlight w:val="none"/>
          <w:lang w:eastAsia="zh-CN"/>
        </w:rPr>
        <w:t>2024年度消纳场机械设备租赁及洗车工劳务外包服务</w:t>
      </w:r>
      <w:r>
        <w:rPr>
          <w:rFonts w:hint="eastAsia" w:ascii="宋体" w:hAnsi="宋体" w:eastAsia="宋体" w:cs="宋体"/>
          <w:color w:val="auto"/>
          <w:sz w:val="24"/>
          <w:szCs w:val="24"/>
          <w:highlight w:val="none"/>
        </w:rPr>
        <w:t>采</w:t>
      </w:r>
      <w:r>
        <w:rPr>
          <w:rFonts w:hint="eastAsia" w:ascii="宋体" w:hAnsi="宋体" w:cs="宋体"/>
          <w:color w:val="auto"/>
          <w:sz w:val="24"/>
          <w:szCs w:val="24"/>
          <w:highlight w:val="none"/>
        </w:rPr>
        <w:t>购项目</w:t>
      </w:r>
    </w:p>
    <w:p>
      <w:pPr>
        <w:numPr>
          <w:ilvl w:val="0"/>
          <w:numId w:val="6"/>
        </w:numPr>
        <w:spacing w:line="520" w:lineRule="exact"/>
        <w:rPr>
          <w:rFonts w:hint="eastAsia" w:ascii="宋体" w:hAnsi="宋体" w:cs="宋体"/>
          <w:b/>
          <w:bCs/>
          <w:color w:val="auto"/>
          <w:sz w:val="24"/>
          <w:szCs w:val="24"/>
          <w:highlight w:val="none"/>
        </w:rPr>
      </w:pPr>
      <w:r>
        <w:rPr>
          <w:rFonts w:hint="eastAsia" w:ascii="宋体" w:hAnsi="宋体" w:cs="宋体"/>
          <w:b/>
          <w:color w:val="auto"/>
          <w:sz w:val="24"/>
          <w:szCs w:val="24"/>
          <w:highlight w:val="none"/>
        </w:rPr>
        <w:t>项目概况</w:t>
      </w:r>
      <w:r>
        <w:rPr>
          <w:rFonts w:hint="eastAsia" w:ascii="宋体" w:hAnsi="宋体" w:cs="宋体"/>
          <w:b/>
          <w:color w:val="auto"/>
          <w:sz w:val="24"/>
          <w:szCs w:val="24"/>
          <w:highlight w:val="none"/>
          <w:lang w:val="en-US" w:eastAsia="zh-CN"/>
        </w:rPr>
        <w:t xml:space="preserve">及项目清单 </w:t>
      </w:r>
    </w:p>
    <w:p>
      <w:pPr>
        <w:adjustRightInd w:val="0"/>
        <w:snapToGrid w:val="0"/>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eastAsia="宋体" w:cs="宋体"/>
          <w:color w:val="auto"/>
          <w:sz w:val="24"/>
          <w:szCs w:val="32"/>
          <w:highlight w:val="none"/>
        </w:rPr>
        <w:t>本</w:t>
      </w:r>
      <w:r>
        <w:rPr>
          <w:rFonts w:hint="eastAsia" w:ascii="宋体" w:hAnsi="宋体" w:eastAsia="宋体" w:cs="宋体"/>
          <w:color w:val="auto"/>
          <w:sz w:val="24"/>
          <w:szCs w:val="32"/>
          <w:highlight w:val="none"/>
          <w:lang w:val="en-US" w:eastAsia="zh-CN"/>
        </w:rPr>
        <w:t>项目</w:t>
      </w:r>
      <w:r>
        <w:rPr>
          <w:rFonts w:hint="eastAsia" w:ascii="宋体" w:hAnsi="宋体" w:eastAsia="宋体" w:cs="宋体"/>
          <w:color w:val="auto"/>
          <w:sz w:val="24"/>
          <w:szCs w:val="32"/>
          <w:highlight w:val="none"/>
        </w:rPr>
        <w:t>位于岳麓高新区，</w:t>
      </w:r>
      <w:r>
        <w:rPr>
          <w:rFonts w:hint="eastAsia" w:ascii="宋体" w:hAnsi="宋体" w:eastAsia="宋体" w:cs="宋体"/>
          <w:color w:val="auto"/>
          <w:sz w:val="24"/>
          <w:szCs w:val="32"/>
          <w:highlight w:val="none"/>
          <w:lang w:val="en-US" w:eastAsia="zh-CN"/>
        </w:rPr>
        <w:t>由湖南智晟建设有限责任公司（以下简称“智晟公司”）建设的土方消纳场日常运营需要挖机、推土机、洒水车进行场地内土方平整，及人员清洗渣土车辆、场地内打扫卫生等工作。智晟公司2024年度预计建设消纳场容量约100万</w:t>
      </w:r>
      <w:r>
        <w:rPr>
          <w:rFonts w:hint="eastAsia" w:ascii="微软雅黑" w:hAnsi="微软雅黑" w:eastAsia="微软雅黑" w:cs="微软雅黑"/>
          <w:color w:val="auto"/>
          <w:sz w:val="24"/>
          <w:szCs w:val="32"/>
          <w:highlight w:val="none"/>
          <w:lang w:val="en-US" w:eastAsia="zh-CN"/>
        </w:rPr>
        <w:t>㎥，</w:t>
      </w:r>
      <w:r>
        <w:rPr>
          <w:rFonts w:hint="eastAsia" w:ascii="宋体" w:hAnsi="宋体" w:eastAsia="宋体" w:cs="宋体"/>
          <w:color w:val="auto"/>
          <w:sz w:val="24"/>
          <w:szCs w:val="32"/>
          <w:highlight w:val="none"/>
          <w:lang w:val="en-US" w:eastAsia="zh-CN"/>
        </w:rPr>
        <w:t>运营期间每天收纳土方约5000㎥</w:t>
      </w:r>
      <w:r>
        <w:rPr>
          <w:rFonts w:hint="eastAsia" w:ascii="微软雅黑" w:hAnsi="微软雅黑" w:eastAsia="微软雅黑" w:cs="微软雅黑"/>
          <w:color w:val="auto"/>
          <w:sz w:val="24"/>
          <w:szCs w:val="32"/>
          <w:highlight w:val="none"/>
          <w:lang w:val="en-US" w:eastAsia="zh-CN"/>
        </w:rPr>
        <w:t>。</w:t>
      </w:r>
      <w:r>
        <w:rPr>
          <w:rFonts w:hint="eastAsia" w:ascii="宋体" w:hAnsi="宋体" w:eastAsia="宋体" w:cs="宋体"/>
          <w:color w:val="auto"/>
          <w:sz w:val="24"/>
          <w:szCs w:val="24"/>
          <w:highlight w:val="none"/>
        </w:rPr>
        <w:t xml:space="preserve">   </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2、运营模式：</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①</w:t>
      </w:r>
      <w:r>
        <w:rPr>
          <w:rFonts w:hint="eastAsia" w:ascii="宋体" w:hAnsi="宋体" w:cs="宋体"/>
          <w:color w:val="auto"/>
          <w:sz w:val="24"/>
          <w:szCs w:val="24"/>
          <w:highlight w:val="none"/>
          <w:lang w:val="en-US" w:eastAsia="zh-CN"/>
        </w:rPr>
        <w:t>消纳场</w:t>
      </w:r>
      <w:r>
        <w:rPr>
          <w:rFonts w:hint="eastAsia" w:ascii="宋体" w:hAnsi="宋体" w:cs="宋体"/>
          <w:color w:val="auto"/>
          <w:sz w:val="24"/>
          <w:szCs w:val="24"/>
          <w:highlight w:val="none"/>
        </w:rPr>
        <w:t>采取智慧信息系统电子化运营（停车场出入口闸机），不印制纸质票据。</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②</w:t>
      </w:r>
      <w:r>
        <w:rPr>
          <w:rFonts w:hint="eastAsia" w:ascii="宋体" w:hAnsi="宋体" w:cs="宋体"/>
          <w:color w:val="auto"/>
          <w:sz w:val="24"/>
          <w:szCs w:val="24"/>
          <w:highlight w:val="none"/>
          <w:lang w:val="en-US" w:eastAsia="zh-CN"/>
        </w:rPr>
        <w:t>智晟</w:t>
      </w:r>
      <w:r>
        <w:rPr>
          <w:rFonts w:hint="eastAsia" w:ascii="宋体" w:hAnsi="宋体" w:cs="宋体"/>
          <w:color w:val="auto"/>
          <w:sz w:val="24"/>
          <w:szCs w:val="24"/>
          <w:highlight w:val="none"/>
        </w:rPr>
        <w:t>公司购买电子票，按采购人内部程序报审核并经财务核实后办理购票和缴款手续，渣土公司车辆凭电子票刷卡进入消纳场卸土。</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③</w:t>
      </w:r>
      <w:r>
        <w:rPr>
          <w:rFonts w:hint="eastAsia" w:ascii="宋体" w:hAnsi="宋体" w:cs="宋体"/>
          <w:color w:val="auto"/>
          <w:sz w:val="24"/>
          <w:szCs w:val="24"/>
          <w:highlight w:val="none"/>
          <w:lang w:val="en-US" w:eastAsia="zh-CN"/>
        </w:rPr>
        <w:t>消纳场</w:t>
      </w:r>
      <w:r>
        <w:rPr>
          <w:rFonts w:hint="eastAsia" w:ascii="宋体" w:hAnsi="宋体" w:cs="宋体"/>
          <w:color w:val="auto"/>
          <w:sz w:val="24"/>
          <w:szCs w:val="24"/>
          <w:highlight w:val="none"/>
        </w:rPr>
        <w:t>即将投入运营。经测算，需配置机械设备</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台，分别为160推土机</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台，D85</w:t>
      </w:r>
      <w:r>
        <w:rPr>
          <w:rFonts w:hint="eastAsia" w:ascii="宋体" w:hAnsi="宋体" w:cs="宋体"/>
          <w:color w:val="auto"/>
          <w:sz w:val="24"/>
          <w:szCs w:val="24"/>
          <w:highlight w:val="none"/>
          <w:lang w:val="en-US" w:eastAsia="zh-CN"/>
        </w:rPr>
        <w:t>推土机1台，挖掘机(斗容量1立方米及以上）1台</w:t>
      </w:r>
      <w:r>
        <w:rPr>
          <w:rFonts w:hint="eastAsia" w:ascii="宋体" w:hAnsi="宋体" w:cs="宋体"/>
          <w:color w:val="auto"/>
          <w:sz w:val="24"/>
          <w:szCs w:val="24"/>
          <w:highlight w:val="none"/>
        </w:rPr>
        <w:t>，洒水车2台。</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④劳务服务外包</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机械设备租赁最终按</w:t>
      </w:r>
      <w:r>
        <w:rPr>
          <w:rFonts w:hint="eastAsia" w:ascii="宋体" w:hAnsi="宋体" w:cs="宋体"/>
          <w:color w:val="auto"/>
          <w:sz w:val="24"/>
          <w:szCs w:val="24"/>
          <w:highlight w:val="none"/>
          <w:lang w:val="en-US" w:eastAsia="zh-CN"/>
        </w:rPr>
        <w:t>实际使用机械设备台班、洗车工工日数量及中标单价进行计算，最终结算总价不超过198万元且按消纳土方数量不超2元/m³(含9%机械设备增值税、6%洗车工服务增值税)。</w:t>
      </w:r>
    </w:p>
    <w:p>
      <w:pPr>
        <w:spacing w:line="52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3、服务内容</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3.1</w:t>
      </w:r>
      <w:r>
        <w:rPr>
          <w:rFonts w:hint="eastAsia" w:ascii="宋体" w:hAnsi="宋体" w:cs="宋体"/>
          <w:color w:val="auto"/>
          <w:sz w:val="24"/>
          <w:szCs w:val="24"/>
          <w:highlight w:val="none"/>
          <w:lang w:val="en-US" w:eastAsia="zh-CN"/>
        </w:rPr>
        <w:t xml:space="preserve"> 基本</w:t>
      </w:r>
      <w:r>
        <w:rPr>
          <w:rFonts w:hint="eastAsia" w:ascii="宋体" w:hAnsi="宋体" w:cs="宋体"/>
          <w:color w:val="auto"/>
          <w:sz w:val="24"/>
          <w:szCs w:val="24"/>
          <w:highlight w:val="none"/>
        </w:rPr>
        <w:t xml:space="preserve">配置： </w:t>
      </w:r>
    </w:p>
    <w:tbl>
      <w:tblPr>
        <w:tblStyle w:val="46"/>
        <w:tblW w:w="8026" w:type="dxa"/>
        <w:jc w:val="center"/>
        <w:tblLayout w:type="fixed"/>
        <w:tblCellMar>
          <w:top w:w="0" w:type="dxa"/>
          <w:left w:w="108" w:type="dxa"/>
          <w:bottom w:w="0" w:type="dxa"/>
          <w:right w:w="108" w:type="dxa"/>
        </w:tblCellMar>
      </w:tblPr>
      <w:tblGrid>
        <w:gridCol w:w="2850"/>
        <w:gridCol w:w="1184"/>
        <w:gridCol w:w="3752"/>
        <w:gridCol w:w="240"/>
      </w:tblGrid>
      <w:tr>
        <w:tblPrEx>
          <w:tblCellMar>
            <w:top w:w="0" w:type="dxa"/>
            <w:left w:w="108" w:type="dxa"/>
            <w:bottom w:w="0" w:type="dxa"/>
            <w:right w:w="108" w:type="dxa"/>
          </w:tblCellMar>
        </w:tblPrEx>
        <w:trPr>
          <w:trHeight w:val="646" w:hRule="atLeast"/>
          <w:jc w:val="center"/>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ind w:firstLine="480" w:firstLineChars="200"/>
              <w:jc w:val="center"/>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sz w:val="24"/>
                <w:szCs w:val="24"/>
                <w:highlight w:val="none"/>
              </w:rPr>
              <w:t>工种</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数量</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工作职责（包括但不限于）</w:t>
            </w:r>
          </w:p>
        </w:tc>
        <w:tc>
          <w:tcPr>
            <w:tcW w:w="240" w:type="dxa"/>
            <w:tcBorders>
              <w:top w:val="nil"/>
              <w:left w:val="nil"/>
              <w:bottom w:val="nil"/>
              <w:right w:val="nil"/>
            </w:tcBorders>
            <w:noWrap w:val="0"/>
            <w:vAlign w:val="center"/>
          </w:tcPr>
          <w:p>
            <w:pPr>
              <w:widowControl/>
              <w:spacing w:line="520" w:lineRule="exact"/>
              <w:jc w:val="center"/>
              <w:textAlignment w:val="top"/>
              <w:rPr>
                <w:rFonts w:ascii="Arial" w:hAnsi="Arial" w:cs="Arial"/>
                <w:color w:val="auto"/>
                <w:sz w:val="24"/>
                <w:szCs w:val="24"/>
                <w:highlight w:val="none"/>
              </w:rPr>
            </w:pPr>
          </w:p>
        </w:tc>
      </w:tr>
      <w:tr>
        <w:tblPrEx>
          <w:tblCellMar>
            <w:top w:w="0" w:type="dxa"/>
            <w:left w:w="108" w:type="dxa"/>
            <w:bottom w:w="0" w:type="dxa"/>
            <w:right w:w="108" w:type="dxa"/>
          </w:tblCellMar>
        </w:tblPrEx>
        <w:trPr>
          <w:trHeight w:val="460" w:hRule="atLeast"/>
          <w:jc w:val="center"/>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ind w:firstLine="480" w:firstLineChars="200"/>
              <w:jc w:val="center"/>
              <w:rPr>
                <w:rFonts w:hint="eastAsia" w:ascii="宋体" w:hAnsi="宋体" w:cs="宋体"/>
                <w:color w:val="auto"/>
                <w:kern w:val="2"/>
                <w:sz w:val="24"/>
                <w:szCs w:val="24"/>
                <w:highlight w:val="none"/>
                <w:lang w:val="en-US" w:eastAsia="zh-CN" w:bidi="ar-SA"/>
              </w:rPr>
            </w:pPr>
            <w:r>
              <w:rPr>
                <w:rFonts w:hint="eastAsia" w:ascii="宋体" w:hAnsi="宋体" w:cs="宋体"/>
                <w:color w:val="auto"/>
                <w:sz w:val="24"/>
                <w:szCs w:val="24"/>
                <w:highlight w:val="none"/>
              </w:rPr>
              <w:t>卫生清洁人员</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6</w:t>
            </w:r>
            <w:r>
              <w:rPr>
                <w:rFonts w:hint="eastAsia" w:ascii="宋体" w:hAnsi="宋体" w:cs="宋体"/>
                <w:color w:val="auto"/>
                <w:sz w:val="24"/>
                <w:szCs w:val="24"/>
                <w:highlight w:val="none"/>
                <w:lang w:val="en-US" w:eastAsia="zh-CN"/>
              </w:rPr>
              <w:t>人</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洗 车 、  清 洁</w:t>
            </w:r>
          </w:p>
        </w:tc>
        <w:tc>
          <w:tcPr>
            <w:tcW w:w="240" w:type="dxa"/>
            <w:tcBorders>
              <w:top w:val="nil"/>
              <w:left w:val="nil"/>
              <w:bottom w:val="nil"/>
              <w:right w:val="nil"/>
            </w:tcBorders>
            <w:noWrap w:val="0"/>
            <w:vAlign w:val="center"/>
          </w:tcPr>
          <w:p>
            <w:pPr>
              <w:spacing w:line="520" w:lineRule="exact"/>
              <w:jc w:val="center"/>
              <w:rPr>
                <w:rFonts w:ascii="Arial" w:hAnsi="Arial" w:cs="Arial"/>
                <w:color w:val="auto"/>
                <w:sz w:val="24"/>
                <w:szCs w:val="24"/>
                <w:highlight w:val="none"/>
              </w:rPr>
            </w:pPr>
          </w:p>
        </w:tc>
      </w:tr>
      <w:tr>
        <w:tblPrEx>
          <w:tblCellMar>
            <w:top w:w="0" w:type="dxa"/>
            <w:left w:w="108" w:type="dxa"/>
            <w:bottom w:w="0" w:type="dxa"/>
            <w:right w:w="108" w:type="dxa"/>
          </w:tblCellMar>
        </w:tblPrEx>
        <w:trPr>
          <w:trHeight w:val="460" w:hRule="atLeast"/>
          <w:jc w:val="center"/>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160推土机</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1台</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消纳场内土方平整</w:t>
            </w:r>
          </w:p>
        </w:tc>
        <w:tc>
          <w:tcPr>
            <w:tcW w:w="240" w:type="dxa"/>
            <w:tcBorders>
              <w:top w:val="nil"/>
              <w:left w:val="nil"/>
              <w:bottom w:val="nil"/>
              <w:right w:val="nil"/>
            </w:tcBorders>
            <w:noWrap w:val="0"/>
            <w:vAlign w:val="center"/>
          </w:tcPr>
          <w:p>
            <w:pPr>
              <w:spacing w:line="520" w:lineRule="exact"/>
              <w:jc w:val="center"/>
              <w:rPr>
                <w:rFonts w:ascii="Arial" w:hAnsi="Arial" w:cs="Arial"/>
                <w:color w:val="auto"/>
                <w:sz w:val="24"/>
                <w:szCs w:val="24"/>
                <w:highlight w:val="none"/>
              </w:rPr>
            </w:pPr>
          </w:p>
        </w:tc>
      </w:tr>
      <w:tr>
        <w:tblPrEx>
          <w:tblCellMar>
            <w:top w:w="0" w:type="dxa"/>
            <w:left w:w="108" w:type="dxa"/>
            <w:bottom w:w="0" w:type="dxa"/>
            <w:right w:w="108" w:type="dxa"/>
          </w:tblCellMar>
        </w:tblPrEx>
        <w:trPr>
          <w:trHeight w:val="460" w:hRule="atLeast"/>
          <w:jc w:val="center"/>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D85挖机</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1台</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消纳场内土方平整</w:t>
            </w:r>
          </w:p>
        </w:tc>
        <w:tc>
          <w:tcPr>
            <w:tcW w:w="240" w:type="dxa"/>
            <w:tcBorders>
              <w:top w:val="nil"/>
              <w:left w:val="nil"/>
              <w:bottom w:val="nil"/>
              <w:right w:val="nil"/>
            </w:tcBorders>
            <w:noWrap w:val="0"/>
            <w:vAlign w:val="center"/>
          </w:tcPr>
          <w:p>
            <w:pPr>
              <w:spacing w:line="520" w:lineRule="exact"/>
              <w:jc w:val="center"/>
              <w:rPr>
                <w:rFonts w:ascii="Arial" w:hAnsi="Arial" w:cs="Arial"/>
                <w:color w:val="auto"/>
                <w:sz w:val="24"/>
                <w:szCs w:val="24"/>
                <w:highlight w:val="none"/>
              </w:rPr>
            </w:pPr>
          </w:p>
        </w:tc>
      </w:tr>
      <w:tr>
        <w:tblPrEx>
          <w:tblCellMar>
            <w:top w:w="0" w:type="dxa"/>
            <w:left w:w="108" w:type="dxa"/>
            <w:bottom w:w="0" w:type="dxa"/>
            <w:right w:w="108" w:type="dxa"/>
          </w:tblCellMar>
        </w:tblPrEx>
        <w:trPr>
          <w:trHeight w:val="460" w:hRule="atLeast"/>
          <w:jc w:val="center"/>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洒水车</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2台</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路面清洗、消纳场降尘撒水</w:t>
            </w:r>
          </w:p>
        </w:tc>
        <w:tc>
          <w:tcPr>
            <w:tcW w:w="240" w:type="dxa"/>
            <w:tcBorders>
              <w:top w:val="nil"/>
              <w:left w:val="nil"/>
              <w:bottom w:val="nil"/>
              <w:right w:val="nil"/>
            </w:tcBorders>
            <w:noWrap w:val="0"/>
            <w:vAlign w:val="center"/>
          </w:tcPr>
          <w:p>
            <w:pPr>
              <w:spacing w:line="520" w:lineRule="exact"/>
              <w:jc w:val="center"/>
              <w:rPr>
                <w:rFonts w:ascii="Arial" w:hAnsi="Arial" w:cs="Arial"/>
                <w:color w:val="auto"/>
                <w:sz w:val="24"/>
                <w:szCs w:val="24"/>
                <w:highlight w:val="none"/>
              </w:rPr>
            </w:pPr>
          </w:p>
        </w:tc>
      </w:tr>
      <w:tr>
        <w:tblPrEx>
          <w:tblCellMar>
            <w:top w:w="0" w:type="dxa"/>
            <w:left w:w="108" w:type="dxa"/>
            <w:bottom w:w="0" w:type="dxa"/>
            <w:right w:w="108" w:type="dxa"/>
          </w:tblCellMar>
        </w:tblPrEx>
        <w:trPr>
          <w:trHeight w:val="460" w:hRule="atLeast"/>
          <w:jc w:val="center"/>
        </w:trPr>
        <w:tc>
          <w:tcPr>
            <w:tcW w:w="2850" w:type="dxa"/>
            <w:tcBorders>
              <w:top w:val="single" w:color="000000" w:sz="4" w:space="0"/>
              <w:left w:val="single" w:color="000000" w:sz="4" w:space="0"/>
              <w:bottom w:val="single" w:color="auto" w:sz="4" w:space="0"/>
              <w:right w:val="single" w:color="000000" w:sz="4" w:space="0"/>
            </w:tcBorders>
            <w:noWrap w:val="0"/>
            <w:vAlign w:val="center"/>
          </w:tcPr>
          <w:p>
            <w:pPr>
              <w:widowControl w:val="0"/>
              <w:spacing w:line="52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挖掘机(斗容量1立方米及以上）</w:t>
            </w:r>
          </w:p>
        </w:tc>
        <w:tc>
          <w:tcPr>
            <w:tcW w:w="1184" w:type="dxa"/>
            <w:tcBorders>
              <w:top w:val="single" w:color="000000" w:sz="4" w:space="0"/>
              <w:left w:val="single" w:color="000000" w:sz="4" w:space="0"/>
              <w:bottom w:val="single" w:color="auto" w:sz="4" w:space="0"/>
              <w:right w:val="single" w:color="000000" w:sz="4" w:space="0"/>
            </w:tcBorders>
            <w:noWrap w:val="0"/>
            <w:vAlign w:val="center"/>
          </w:tcPr>
          <w:p>
            <w:pPr>
              <w:widowControl w:val="0"/>
              <w:spacing w:line="52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1台</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沟槽挖填、场地平整、配合前期建设</w:t>
            </w:r>
          </w:p>
        </w:tc>
        <w:tc>
          <w:tcPr>
            <w:tcW w:w="240" w:type="dxa"/>
            <w:tcBorders>
              <w:top w:val="nil"/>
              <w:left w:val="nil"/>
              <w:bottom w:val="nil"/>
              <w:right w:val="nil"/>
            </w:tcBorders>
            <w:noWrap w:val="0"/>
            <w:vAlign w:val="center"/>
          </w:tcPr>
          <w:p>
            <w:pPr>
              <w:spacing w:line="520" w:lineRule="exact"/>
              <w:jc w:val="center"/>
              <w:rPr>
                <w:rFonts w:ascii="Arial" w:hAnsi="Arial" w:cs="Arial"/>
                <w:color w:val="auto"/>
                <w:sz w:val="24"/>
                <w:szCs w:val="24"/>
                <w:highlight w:val="none"/>
              </w:rPr>
            </w:pPr>
          </w:p>
        </w:tc>
      </w:tr>
    </w:tbl>
    <w:p>
      <w:pPr>
        <w:widowControl/>
        <w:spacing w:line="520" w:lineRule="exact"/>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3.2 服务内容包括但不限于渣土消纳业务推荐、蓝天保卫战绿网覆盖、扬尘治理费、雾炮机及临电开通、对外协调（含周边施工环境协调）、劳务人员人工成本及现场人员餐补</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消纳</w:t>
      </w:r>
      <w:r>
        <w:rPr>
          <w:rFonts w:hint="eastAsia" w:ascii="宋体" w:hAnsi="宋体" w:cs="宋体"/>
          <w:b/>
          <w:bCs/>
          <w:color w:val="auto"/>
          <w:sz w:val="24"/>
          <w:szCs w:val="24"/>
          <w:highlight w:val="none"/>
        </w:rPr>
        <w:t>场</w:t>
      </w:r>
      <w:r>
        <w:rPr>
          <w:rFonts w:hint="eastAsia" w:ascii="宋体" w:hAnsi="宋体" w:cs="宋体"/>
          <w:b/>
          <w:bCs/>
          <w:color w:val="auto"/>
          <w:sz w:val="24"/>
          <w:szCs w:val="24"/>
          <w:highlight w:val="none"/>
          <w:lang w:val="en-US" w:eastAsia="zh-CN"/>
        </w:rPr>
        <w:t>运营过程中产生的</w:t>
      </w:r>
      <w:r>
        <w:rPr>
          <w:rFonts w:hint="eastAsia" w:ascii="宋体" w:hAnsi="宋体" w:cs="宋体"/>
          <w:b/>
          <w:bCs/>
          <w:color w:val="auto"/>
          <w:sz w:val="24"/>
          <w:szCs w:val="24"/>
          <w:highlight w:val="none"/>
        </w:rPr>
        <w:t>材料工具采购、维修费用</w:t>
      </w:r>
      <w:r>
        <w:rPr>
          <w:rFonts w:hint="eastAsia" w:ascii="宋体" w:hAnsi="宋体" w:cs="宋体"/>
          <w:b/>
          <w:bCs/>
          <w:color w:val="auto"/>
          <w:sz w:val="24"/>
          <w:szCs w:val="24"/>
          <w:highlight w:val="none"/>
          <w:lang w:val="en-US" w:eastAsia="zh-CN"/>
        </w:rPr>
        <w:t>；机械水车沟槽挖填、场地平整、配合前期建设、路面清洗、消纳场降尘撒水、消纳场内土方平整</w:t>
      </w:r>
      <w:r>
        <w:rPr>
          <w:rFonts w:hint="eastAsia" w:ascii="宋体" w:hAnsi="宋体" w:cs="宋体"/>
          <w:b/>
          <w:bCs/>
          <w:color w:val="auto"/>
          <w:sz w:val="24"/>
          <w:szCs w:val="24"/>
          <w:highlight w:val="none"/>
        </w:rPr>
        <w:t>等，预计</w:t>
      </w:r>
      <w:r>
        <w:rPr>
          <w:rFonts w:hint="eastAsia" w:ascii="宋体" w:hAnsi="宋体" w:cs="宋体"/>
          <w:b/>
          <w:bCs/>
          <w:color w:val="auto"/>
          <w:sz w:val="24"/>
          <w:szCs w:val="24"/>
          <w:highlight w:val="none"/>
          <w:lang w:val="en-US" w:eastAsia="zh-CN"/>
        </w:rPr>
        <w:t>2024年度消纳场消纳土方100万</w:t>
      </w:r>
      <w:r>
        <w:rPr>
          <w:rFonts w:hint="eastAsia" w:ascii="宋体" w:hAnsi="宋体" w:cs="宋体"/>
          <w:b/>
          <w:bCs/>
          <w:color w:val="auto"/>
          <w:sz w:val="24"/>
          <w:szCs w:val="24"/>
          <w:highlight w:val="none"/>
        </w:rPr>
        <w:t>M</w:t>
      </w:r>
      <w:r>
        <w:rPr>
          <w:rFonts w:hint="eastAsia" w:ascii="宋体" w:hAnsi="宋体" w:cs="宋体"/>
          <w:b/>
          <w:bCs/>
          <w:color w:val="auto"/>
          <w:sz w:val="24"/>
          <w:szCs w:val="24"/>
          <w:highlight w:val="none"/>
          <w:vertAlign w:val="superscript"/>
        </w:rPr>
        <w:t>3</w:t>
      </w:r>
      <w:r>
        <w:rPr>
          <w:rFonts w:hint="eastAsia" w:ascii="宋体" w:hAnsi="宋体" w:cs="宋体"/>
          <w:b/>
          <w:bCs/>
          <w:color w:val="auto"/>
          <w:sz w:val="24"/>
          <w:szCs w:val="24"/>
          <w:highlight w:val="none"/>
          <w:lang w:val="en-US" w:eastAsia="zh-CN"/>
        </w:rPr>
        <w:t>，消纳场运营中的场地平整、服务费用暂估198万</w:t>
      </w:r>
      <w:r>
        <w:rPr>
          <w:rFonts w:hint="eastAsia" w:ascii="宋体" w:hAnsi="宋体" w:cs="宋体"/>
          <w:b/>
          <w:bCs/>
          <w:color w:val="auto"/>
          <w:sz w:val="24"/>
          <w:szCs w:val="24"/>
          <w:highlight w:val="none"/>
        </w:rPr>
        <w:t>元。</w:t>
      </w:r>
    </w:p>
    <w:p>
      <w:pPr>
        <w:spacing w:line="520" w:lineRule="exact"/>
        <w:ind w:firstLine="480" w:firstLineChars="200"/>
        <w:jc w:val="left"/>
        <w:rPr>
          <w:rFonts w:hint="eastAsia" w:ascii="宋体" w:hAnsi="宋体" w:cs="宋体"/>
          <w:b/>
          <w:bCs/>
          <w:color w:val="auto"/>
          <w:kern w:val="2"/>
          <w:sz w:val="24"/>
          <w:szCs w:val="24"/>
          <w:highlight w:val="none"/>
        </w:rPr>
      </w:pPr>
      <w:r>
        <w:rPr>
          <w:rFonts w:hint="eastAsia" w:ascii="宋体" w:hAnsi="宋体" w:cs="宋体"/>
          <w:color w:val="auto"/>
          <w:sz w:val="24"/>
          <w:szCs w:val="24"/>
          <w:highlight w:val="none"/>
        </w:rPr>
        <w:t>3.3 该项目服务费用根据</w:t>
      </w:r>
      <w:r>
        <w:rPr>
          <w:rFonts w:hint="eastAsia" w:ascii="宋体" w:hAnsi="宋体" w:cs="宋体"/>
          <w:color w:val="auto"/>
          <w:sz w:val="24"/>
          <w:szCs w:val="24"/>
          <w:highlight w:val="none"/>
          <w:lang w:val="en-US" w:eastAsia="zh-CN"/>
        </w:rPr>
        <w:t>实际使用机械设备台班、洗车工工日数量及中标单价进行计算，最终结算总价不超过198万元且按消纳土方数量不超2元/m³</w:t>
      </w:r>
      <w:r>
        <w:rPr>
          <w:rFonts w:hint="eastAsia" w:ascii="宋体" w:hAnsi="宋体" w:cs="宋体"/>
          <w:color w:val="auto"/>
          <w:sz w:val="24"/>
          <w:szCs w:val="24"/>
          <w:highlight w:val="none"/>
        </w:rPr>
        <w:t>进行结算</w:t>
      </w:r>
      <w:r>
        <w:rPr>
          <w:rFonts w:hint="eastAsia" w:ascii="宋体" w:hAnsi="宋体" w:cs="宋体"/>
          <w:color w:val="auto"/>
          <w:sz w:val="24"/>
          <w:szCs w:val="24"/>
          <w:highlight w:val="none"/>
          <w:lang w:val="en-US" w:eastAsia="zh-CN"/>
        </w:rPr>
        <w:t>(含9%机械设备增值税、6%洗车工服务增值税)</w:t>
      </w:r>
      <w:r>
        <w:rPr>
          <w:rFonts w:hint="eastAsia" w:ascii="宋体" w:hAnsi="宋体" w:cs="宋体"/>
          <w:color w:val="auto"/>
          <w:sz w:val="24"/>
          <w:szCs w:val="24"/>
          <w:highlight w:val="none"/>
        </w:rPr>
        <w:t>，服务期限</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个月，因回填场现场管理人员原因造成的进度滞后，凡每推迟1个月完成消纳任务，扣除服务费用的15%。</w:t>
      </w:r>
    </w:p>
    <w:p>
      <w:pPr>
        <w:widowControl w:val="0"/>
        <w:autoSpaceDE w:val="0"/>
        <w:autoSpaceDN w:val="0"/>
        <w:adjustRightInd w:val="0"/>
        <w:spacing w:after="120" w:line="520" w:lineRule="exact"/>
        <w:ind w:left="0"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4、上述清单中的数量为估算量，采购人可根据</w:t>
      </w:r>
      <w:r>
        <w:rPr>
          <w:rFonts w:hint="eastAsia" w:ascii="宋体" w:hAnsi="宋体" w:eastAsia="宋体" w:cs="宋体"/>
          <w:color w:val="auto"/>
          <w:kern w:val="2"/>
          <w:sz w:val="24"/>
          <w:szCs w:val="24"/>
          <w:highlight w:val="none"/>
          <w:lang w:val="en-US" w:eastAsia="zh-CN" w:bidi="ar-SA"/>
        </w:rPr>
        <w:t>项目</w:t>
      </w:r>
      <w:r>
        <w:rPr>
          <w:rFonts w:hint="eastAsia" w:ascii="宋体" w:hAnsi="宋体" w:eastAsia="宋体" w:cs="宋体"/>
          <w:b w:val="0"/>
          <w:bCs w:val="0"/>
          <w:color w:val="auto"/>
          <w:kern w:val="2"/>
          <w:sz w:val="24"/>
          <w:szCs w:val="24"/>
          <w:highlight w:val="none"/>
          <w:lang w:val="en-US" w:eastAsia="zh-CN" w:bidi="ar-SA"/>
        </w:rPr>
        <w:t>实际需要调整数量及规格，如人员和设备进行增补</w:t>
      </w:r>
      <w:r>
        <w:rPr>
          <w:rFonts w:hint="eastAsia" w:ascii="宋体" w:hAnsi="宋体" w:eastAsia="宋体" w:cs="宋体"/>
          <w:color w:val="auto"/>
          <w:kern w:val="2"/>
          <w:sz w:val="24"/>
          <w:szCs w:val="24"/>
          <w:highlight w:val="none"/>
          <w:lang w:val="en-US" w:eastAsia="zh-CN" w:bidi="ar-SA"/>
        </w:rPr>
        <w:t>的，成交供应商同意按采购人要求无条件执行，保质保量完成项目运营目标。</w:t>
      </w:r>
    </w:p>
    <w:p>
      <w:pPr>
        <w:spacing w:line="520" w:lineRule="exact"/>
        <w:jc w:val="left"/>
        <w:rPr>
          <w:rFonts w:hint="default" w:ascii="宋体" w:hAnsi="宋体" w:eastAsia="宋体" w:cs="宋体"/>
          <w:bCs/>
          <w:color w:val="auto"/>
          <w:sz w:val="24"/>
          <w:szCs w:val="24"/>
          <w:highlight w:val="none"/>
          <w:lang w:val="en-US" w:eastAsia="zh-CN"/>
        </w:rPr>
      </w:pPr>
      <w:r>
        <w:rPr>
          <w:rFonts w:hint="eastAsia" w:ascii="宋体" w:hAnsi="宋体" w:cs="宋体"/>
          <w:b/>
          <w:bCs/>
          <w:color w:val="auto"/>
          <w:sz w:val="24"/>
          <w:szCs w:val="24"/>
          <w:highlight w:val="none"/>
        </w:rPr>
        <w:t>三、服务要求</w:t>
      </w:r>
      <w:r>
        <w:rPr>
          <w:rFonts w:hint="eastAsia" w:ascii="宋体" w:hAnsi="宋体" w:cs="宋体"/>
          <w:b/>
          <w:bCs/>
          <w:color w:val="auto"/>
          <w:sz w:val="24"/>
          <w:szCs w:val="24"/>
          <w:highlight w:val="none"/>
          <w:lang w:val="en-US" w:eastAsia="zh-CN"/>
        </w:rPr>
        <w:t>及说明</w:t>
      </w:r>
    </w:p>
    <w:p>
      <w:pPr>
        <w:widowControl/>
        <w:shd w:val="clear" w:color="auto" w:fill="auto"/>
        <w:wordWrap/>
        <w:spacing w:line="520" w:lineRule="exact"/>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（一）整体要求</w:t>
      </w:r>
    </w:p>
    <w:p>
      <w:pPr>
        <w:widowControl/>
        <w:shd w:val="clear" w:color="auto" w:fill="auto"/>
        <w:wordWrap/>
        <w:spacing w:line="520" w:lineRule="exact"/>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1、供应商应针对此次采购内容制定详尽的服务方案和实施计划，以确保成交后能按采购人要求及时圆满的完成各项工作任务，达到采购人所要求的服务标准，并在服务期内完成渣土消纳业务。</w:t>
      </w:r>
    </w:p>
    <w:p>
      <w:pPr>
        <w:widowControl/>
        <w:shd w:val="clear" w:color="auto" w:fill="auto"/>
        <w:wordWrap/>
        <w:spacing w:line="520" w:lineRule="exact"/>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供应商在提供服务的过程中应服从采购人的监督、管理、指导，若因成交供应商不遵守规定或管理不善给采购人造成不良影响的或者服务内容不符合采购需求的，采购人有权扣除相应的服务费用作为违约金；给采购人造成直接或间接损失的，供应商除予以赔偿外，采购人有权扣除相应的服务费用作为违约金。供应商必须严格遵守操作规程，如因供应商自身原因或违反操作规程而造成采购人或第三方人、财、物损失的，供应商应负全部赔偿责任。</w:t>
      </w:r>
    </w:p>
    <w:p>
      <w:pPr>
        <w:widowControl/>
        <w:shd w:val="clear" w:color="auto" w:fill="auto"/>
        <w:wordWrap/>
        <w:spacing w:line="520" w:lineRule="exact"/>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3、供应商负责消纳场的一切协调工作，对整个项目的安全负责。一旦发生非采购人责任导致的安全事故，费用全部由供应商自行承担。</w:t>
      </w:r>
    </w:p>
    <w:p>
      <w:pPr>
        <w:widowControl/>
        <w:shd w:val="clear" w:color="auto" w:fill="auto"/>
        <w:wordWrap/>
        <w:spacing w:line="520" w:lineRule="exact"/>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4、供应商应指定1名现场主要负责人，负责现场全部事务管理；对供应商在提供服务期间出现的各种问题应积极妥善处理。</w:t>
      </w:r>
    </w:p>
    <w:p>
      <w:pPr>
        <w:widowControl/>
        <w:shd w:val="clear" w:color="auto" w:fill="auto"/>
        <w:wordWrap/>
        <w:spacing w:line="520" w:lineRule="exact"/>
        <w:ind w:firstLine="480" w:firstLineChars="200"/>
        <w:jc w:val="left"/>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（二）劳务服务外包要求</w:t>
      </w:r>
    </w:p>
    <w:p>
      <w:pPr>
        <w:widowControl/>
        <w:shd w:val="clear" w:color="auto" w:fill="auto"/>
        <w:wordWrap/>
        <w:spacing w:line="520" w:lineRule="exact"/>
        <w:ind w:firstLine="480" w:firstLineChars="200"/>
        <w:jc w:val="left"/>
        <w:rPr>
          <w:rFonts w:hint="eastAsia" w:ascii="宋体" w:hAnsi="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1、成交供应商应确保各方安全，必须加强其聘用人员劳动安全教育，若发生交通、劳动安全等一切事故，均由成交供应商</w:t>
      </w:r>
      <w:r>
        <w:rPr>
          <w:rFonts w:hint="eastAsia" w:ascii="宋体" w:hAnsi="宋体" w:cs="宋体"/>
          <w:bCs/>
          <w:color w:val="auto"/>
          <w:sz w:val="24"/>
          <w:szCs w:val="24"/>
          <w:highlight w:val="none"/>
        </w:rPr>
        <w:t>负责。</w:t>
      </w:r>
    </w:p>
    <w:p>
      <w:pPr>
        <w:widowControl/>
        <w:shd w:val="clear" w:color="auto" w:fill="auto"/>
        <w:wordWrap/>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shd w:val="clear" w:color="auto" w:fill="FEFFFF"/>
          <w:lang w:bidi="ar"/>
        </w:rPr>
        <w:t>2、供应商应与所属劳务人员按照国家规定签订劳动合同，办理有关劳动用工手续，并及时为所属劳务人员购买国家规定的社会保险及其它保险，按时交纳规定费用(含单位及个人应缴纳的部分)，若供应商未办理相关保险或未及时参保并缴纳费用，所有与此相关的责任由供应商完全承担。</w:t>
      </w:r>
    </w:p>
    <w:p>
      <w:pPr>
        <w:widowControl/>
        <w:shd w:val="clear" w:color="auto" w:fill="FEFFFF"/>
        <w:wordWrap w:val="0"/>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shd w:val="clear" w:color="auto" w:fill="FEFFFF"/>
          <w:lang w:bidi="ar"/>
        </w:rPr>
        <w:t>3、供应商必须对下属服务人员严格管理，如发现服务人员有赌博、滋事、扰乱治安、偷盗物资、拿一次性消耗品回家等情况，以及在服务期间出现损害采购人利益的行为而给采购人带来经济损失的，供应商必须承担全部责任。</w:t>
      </w:r>
    </w:p>
    <w:p>
      <w:pPr>
        <w:widowControl/>
        <w:shd w:val="clear" w:color="auto" w:fill="FEFFFF"/>
        <w:wordWrap w:val="0"/>
        <w:spacing w:line="520" w:lineRule="exact"/>
        <w:ind w:firstLine="480" w:firstLineChars="200"/>
        <w:jc w:val="left"/>
        <w:rPr>
          <w:rFonts w:hint="eastAsia" w:ascii="宋体" w:hAnsi="宋体" w:eastAsia="宋体" w:cs="宋体"/>
          <w:color w:val="auto"/>
          <w:kern w:val="0"/>
          <w:sz w:val="24"/>
          <w:szCs w:val="24"/>
          <w:highlight w:val="none"/>
          <w:shd w:val="clear" w:color="auto" w:fill="FEFFFF"/>
          <w:lang w:bidi="ar"/>
        </w:rPr>
      </w:pPr>
      <w:r>
        <w:rPr>
          <w:rFonts w:hint="eastAsia" w:ascii="宋体" w:hAnsi="宋体" w:cs="宋体"/>
          <w:bCs/>
          <w:color w:val="auto"/>
          <w:sz w:val="24"/>
          <w:szCs w:val="24"/>
          <w:highlight w:val="none"/>
        </w:rPr>
        <w:t>4、成交供应商</w:t>
      </w:r>
      <w:r>
        <w:rPr>
          <w:rFonts w:hint="eastAsia" w:ascii="宋体" w:hAnsi="宋体" w:cs="Calibri"/>
          <w:color w:val="auto"/>
          <w:sz w:val="24"/>
          <w:szCs w:val="24"/>
          <w:highlight w:val="none"/>
        </w:rPr>
        <w:t>所派人员年龄18－55周岁，五官端正，身体健康，无传染性疾病，持有健康证，无违法犯罪</w:t>
      </w:r>
      <w:r>
        <w:rPr>
          <w:rFonts w:hint="eastAsia" w:ascii="宋体" w:hAnsi="宋体" w:eastAsia="宋体" w:cs="宋体"/>
          <w:color w:val="auto"/>
          <w:kern w:val="0"/>
          <w:sz w:val="24"/>
          <w:szCs w:val="24"/>
          <w:highlight w:val="none"/>
          <w:shd w:val="clear" w:color="auto" w:fill="FEFFFF"/>
          <w:lang w:bidi="ar"/>
        </w:rPr>
        <w:t xml:space="preserve">记录，服从指挥，听从安排，安全操作，严禁与第三方人员发生冲突，按工作任务情况合理安排所需的设备及人员，产生的相关费用及人员工资应按时支付不得拖欠。  </w:t>
      </w:r>
    </w:p>
    <w:p>
      <w:pPr>
        <w:widowControl/>
        <w:shd w:val="clear" w:color="auto" w:fill="FEFFFF"/>
        <w:wordWrap w:val="0"/>
        <w:spacing w:line="520" w:lineRule="exact"/>
        <w:ind w:firstLine="480" w:firstLineChars="200"/>
        <w:jc w:val="left"/>
        <w:rPr>
          <w:rFonts w:hint="eastAsia" w:ascii="宋体" w:hAnsi="宋体" w:eastAsia="宋体" w:cs="宋体"/>
          <w:color w:val="auto"/>
          <w:kern w:val="0"/>
          <w:sz w:val="24"/>
          <w:szCs w:val="24"/>
          <w:highlight w:val="none"/>
          <w:shd w:val="clear" w:color="auto" w:fill="FEFFFF"/>
          <w:lang w:bidi="ar"/>
        </w:rPr>
      </w:pPr>
      <w:r>
        <w:rPr>
          <w:rFonts w:hint="eastAsia" w:ascii="宋体" w:hAnsi="宋体" w:eastAsia="宋体" w:cs="宋体"/>
          <w:color w:val="auto"/>
          <w:kern w:val="0"/>
          <w:sz w:val="24"/>
          <w:szCs w:val="24"/>
          <w:highlight w:val="none"/>
          <w:shd w:val="clear" w:color="auto" w:fill="FEFFFF"/>
          <w:lang w:bidi="ar"/>
        </w:rPr>
        <w:t>5、服从工作安排，接受采购人的监督和检查，采购人有权要求更换态度不好，工作能力差的服务人员。</w:t>
      </w:r>
    </w:p>
    <w:p>
      <w:pPr>
        <w:widowControl/>
        <w:shd w:val="clear" w:color="auto" w:fill="FEFFFF"/>
        <w:wordWrap w:val="0"/>
        <w:spacing w:line="520" w:lineRule="exact"/>
        <w:ind w:firstLine="480" w:firstLineChars="200"/>
        <w:jc w:val="left"/>
        <w:rPr>
          <w:rFonts w:hint="eastAsia" w:ascii="宋体" w:hAnsi="宋体" w:eastAsia="宋体" w:cs="宋体"/>
          <w:color w:val="auto"/>
          <w:kern w:val="0"/>
          <w:sz w:val="24"/>
          <w:szCs w:val="24"/>
          <w:highlight w:val="none"/>
          <w:shd w:val="clear" w:color="auto" w:fill="FEFFFF"/>
          <w:lang w:bidi="ar"/>
        </w:rPr>
      </w:pPr>
      <w:r>
        <w:rPr>
          <w:rFonts w:hint="eastAsia" w:ascii="宋体" w:hAnsi="宋体" w:eastAsia="宋体" w:cs="宋体"/>
          <w:color w:val="auto"/>
          <w:kern w:val="0"/>
          <w:sz w:val="24"/>
          <w:szCs w:val="24"/>
          <w:highlight w:val="none"/>
          <w:shd w:val="clear" w:color="auto" w:fill="FEFFFF"/>
          <w:lang w:bidi="ar"/>
        </w:rPr>
        <w:t>6、供应商应加强组织管理，所有人员须遵守文明安全的有关规章制度，具有相应的操作资格证件、无不良行为记录、持证上岗。</w:t>
      </w:r>
    </w:p>
    <w:p>
      <w:pPr>
        <w:widowControl/>
        <w:shd w:val="clear" w:color="auto" w:fill="FEFFFF"/>
        <w:wordWrap w:val="0"/>
        <w:spacing w:line="520" w:lineRule="exact"/>
        <w:ind w:firstLine="480" w:firstLineChars="200"/>
        <w:jc w:val="left"/>
        <w:rPr>
          <w:rFonts w:hint="eastAsia" w:ascii="宋体" w:hAnsi="宋体" w:eastAsia="宋体" w:cs="宋体"/>
          <w:color w:val="auto"/>
          <w:kern w:val="0"/>
          <w:sz w:val="24"/>
          <w:szCs w:val="24"/>
          <w:highlight w:val="none"/>
          <w:shd w:val="clear" w:color="auto" w:fill="FEFFFF"/>
          <w:lang w:bidi="ar"/>
        </w:rPr>
      </w:pPr>
      <w:r>
        <w:rPr>
          <w:rFonts w:hint="eastAsia" w:ascii="宋体" w:hAnsi="宋体" w:eastAsia="宋体" w:cs="宋体"/>
          <w:color w:val="auto"/>
          <w:kern w:val="0"/>
          <w:sz w:val="24"/>
          <w:szCs w:val="24"/>
          <w:highlight w:val="none"/>
          <w:shd w:val="clear" w:color="auto" w:fill="FEFFFF"/>
          <w:lang w:bidi="ar"/>
        </w:rPr>
        <w:t>7、劳务人员应应认真履行岗位职责，根据工作需要做出的统一安排调配，遇紧急突发事件发生，必须积极作为。</w:t>
      </w:r>
    </w:p>
    <w:p>
      <w:pPr>
        <w:widowControl w:val="0"/>
        <w:autoSpaceDE w:val="0"/>
        <w:autoSpaceDN w:val="0"/>
        <w:adjustRightInd w:val="0"/>
        <w:spacing w:after="120"/>
        <w:ind w:left="420" w:leftChars="200"/>
        <w:jc w:val="left"/>
        <w:rPr>
          <w:rFonts w:hint="eastAsia" w:ascii="宋体" w:hAnsi="宋体" w:eastAsia="宋体" w:cs="宋体"/>
          <w:b/>
          <w:bCs/>
          <w:color w:val="auto"/>
          <w:kern w:val="2"/>
          <w:sz w:val="24"/>
          <w:szCs w:val="24"/>
          <w:highlight w:val="none"/>
          <w:lang w:val="en-US" w:eastAsia="zh-CN" w:bidi="ar-SA"/>
        </w:rPr>
      </w:pPr>
    </w:p>
    <w:p>
      <w:pPr>
        <w:widowControl w:val="0"/>
        <w:autoSpaceDE w:val="0"/>
        <w:autoSpaceDN w:val="0"/>
        <w:adjustRightInd w:val="0"/>
        <w:spacing w:after="120"/>
        <w:ind w:left="420" w:leftChars="200"/>
        <w:jc w:val="left"/>
        <w:rPr>
          <w:rFonts w:ascii="Times New Roman" w:hAnsi="Times New Roman" w:eastAsia="宋体" w:cs="Calibri"/>
          <w:color w:val="auto"/>
          <w:kern w:val="0"/>
          <w:sz w:val="21"/>
          <w:szCs w:val="21"/>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（三）机械设备租赁要求</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shd w:val="clear" w:color="auto" w:fill="FEFFFF"/>
          <w:lang w:bidi="ar"/>
        </w:rPr>
        <w:t>1、所租赁设备由供应商配备操作人员，负责设备的操作和维护保养</w:t>
      </w:r>
      <w:r>
        <w:rPr>
          <w:rFonts w:hint="eastAsia" w:ascii="宋体" w:hAnsi="宋体" w:cs="宋体"/>
          <w:color w:val="auto"/>
          <w:kern w:val="0"/>
          <w:sz w:val="24"/>
          <w:szCs w:val="24"/>
          <w:highlight w:val="none"/>
          <w:shd w:val="clear" w:color="auto" w:fill="FEFFFF"/>
          <w:lang w:eastAsia="zh-CN" w:bidi="ar"/>
        </w:rPr>
        <w:t>、</w:t>
      </w:r>
      <w:r>
        <w:rPr>
          <w:rFonts w:hint="eastAsia" w:ascii="宋体" w:hAnsi="宋体" w:cs="宋体"/>
          <w:color w:val="auto"/>
          <w:kern w:val="0"/>
          <w:sz w:val="24"/>
          <w:szCs w:val="24"/>
          <w:highlight w:val="none"/>
          <w:shd w:val="clear" w:color="auto" w:fill="FEFFFF"/>
          <w:lang w:val="en-US" w:eastAsia="zh-CN" w:bidi="ar"/>
        </w:rPr>
        <w:t>使用</w:t>
      </w:r>
      <w:r>
        <w:rPr>
          <w:rFonts w:hint="eastAsia" w:ascii="宋体" w:hAnsi="宋体" w:cs="宋体"/>
          <w:color w:val="auto"/>
          <w:kern w:val="0"/>
          <w:sz w:val="24"/>
          <w:szCs w:val="24"/>
          <w:highlight w:val="none"/>
          <w:shd w:val="clear" w:color="auto" w:fill="FEFFFF"/>
          <w:lang w:bidi="ar"/>
        </w:rPr>
        <w:t>以及产品运输保险保管</w:t>
      </w:r>
      <w:r>
        <w:rPr>
          <w:rFonts w:hint="eastAsia" w:ascii="宋体" w:hAnsi="宋体" w:cs="宋体"/>
          <w:color w:val="auto"/>
          <w:kern w:val="0"/>
          <w:sz w:val="24"/>
          <w:szCs w:val="24"/>
          <w:highlight w:val="none"/>
          <w:shd w:val="clear" w:color="auto" w:fill="FEFFFF"/>
          <w:lang w:eastAsia="zh-CN" w:bidi="ar"/>
        </w:rPr>
        <w:t>、</w:t>
      </w:r>
      <w:r>
        <w:rPr>
          <w:rFonts w:hint="eastAsia" w:ascii="宋体" w:hAnsi="宋体" w:cs="宋体"/>
          <w:color w:val="auto"/>
          <w:sz w:val="24"/>
          <w:szCs w:val="24"/>
          <w:highlight w:val="none"/>
        </w:rPr>
        <w:t>燃油</w:t>
      </w:r>
      <w:r>
        <w:rPr>
          <w:rFonts w:hint="eastAsia" w:ascii="宋体" w:hAnsi="宋体" w:cs="宋体"/>
          <w:color w:val="auto"/>
          <w:kern w:val="0"/>
          <w:sz w:val="24"/>
          <w:szCs w:val="24"/>
          <w:highlight w:val="none"/>
          <w:shd w:val="clear" w:color="auto" w:fill="FEFFFF"/>
          <w:lang w:bidi="ar"/>
        </w:rPr>
        <w:t>等所有人工、管理、财务</w:t>
      </w:r>
      <w:r>
        <w:rPr>
          <w:rFonts w:hint="eastAsia" w:ascii="宋体" w:hAnsi="宋体" w:cs="宋体"/>
          <w:color w:val="auto"/>
          <w:kern w:val="0"/>
          <w:sz w:val="24"/>
          <w:szCs w:val="24"/>
          <w:highlight w:val="none"/>
          <w:shd w:val="clear" w:color="auto" w:fill="FEFFFF"/>
          <w:lang w:eastAsia="zh-CN" w:bidi="ar"/>
        </w:rPr>
        <w:t>、</w:t>
      </w:r>
      <w:r>
        <w:rPr>
          <w:rFonts w:hint="eastAsia" w:ascii="宋体" w:hAnsi="宋体" w:cs="宋体"/>
          <w:color w:val="auto"/>
          <w:kern w:val="0"/>
          <w:sz w:val="24"/>
          <w:szCs w:val="24"/>
          <w:highlight w:val="none"/>
          <w:shd w:val="clear" w:color="auto" w:fill="FEFFFF"/>
          <w:lang w:val="en-US" w:eastAsia="zh-CN" w:bidi="ar"/>
        </w:rPr>
        <w:t>保险</w:t>
      </w:r>
      <w:r>
        <w:rPr>
          <w:rFonts w:hint="eastAsia" w:ascii="宋体" w:hAnsi="宋体" w:cs="宋体"/>
          <w:color w:val="auto"/>
          <w:kern w:val="0"/>
          <w:sz w:val="24"/>
          <w:szCs w:val="24"/>
          <w:highlight w:val="none"/>
          <w:shd w:val="clear" w:color="auto" w:fill="FEFFFF"/>
          <w:lang w:bidi="ar"/>
        </w:rPr>
        <w:t>等相关工作及费用，并承担一切风险责任及相应法律责任。</w:t>
      </w:r>
    </w:p>
    <w:p>
      <w:pPr>
        <w:widowControl/>
        <w:shd w:val="clear" w:color="auto" w:fill="FEFFFF"/>
        <w:wordWrap w:val="0"/>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shd w:val="clear" w:color="auto" w:fill="FEFFFF"/>
          <w:lang w:val="en-US" w:eastAsia="zh-CN" w:bidi="ar"/>
        </w:rPr>
        <w:t>2</w:t>
      </w:r>
      <w:r>
        <w:rPr>
          <w:rFonts w:hint="eastAsia" w:ascii="宋体" w:hAnsi="宋体" w:cs="宋体"/>
          <w:color w:val="auto"/>
          <w:kern w:val="0"/>
          <w:sz w:val="24"/>
          <w:szCs w:val="24"/>
          <w:highlight w:val="none"/>
          <w:shd w:val="clear" w:color="auto" w:fill="FEFFFF"/>
          <w:lang w:bidi="ar"/>
        </w:rPr>
        <w:t>、租赁设备及操作人员发生事故时，由供应商担负相应法律责任，并承担由此产生的一切相关费用，采购人不负责任何赔偿及不承担任何连带责任。</w:t>
      </w:r>
    </w:p>
    <w:p>
      <w:pPr>
        <w:widowControl/>
        <w:shd w:val="clear" w:color="auto" w:fill="FEFFFF"/>
        <w:wordWrap w:val="0"/>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kern w:val="0"/>
          <w:sz w:val="24"/>
          <w:szCs w:val="24"/>
          <w:highlight w:val="none"/>
          <w:shd w:val="clear" w:color="auto" w:fill="FEFFFF"/>
          <w:lang w:val="en-US" w:eastAsia="zh-CN" w:bidi="ar"/>
        </w:rPr>
        <w:t>3</w:t>
      </w:r>
      <w:r>
        <w:rPr>
          <w:rFonts w:hint="eastAsia" w:ascii="宋体" w:hAnsi="宋体" w:cs="宋体"/>
          <w:color w:val="auto"/>
          <w:kern w:val="0"/>
          <w:sz w:val="24"/>
          <w:szCs w:val="24"/>
          <w:highlight w:val="none"/>
          <w:shd w:val="clear" w:color="auto" w:fill="FEFFFF"/>
          <w:lang w:bidi="ar"/>
        </w:rPr>
        <w:t>、供应商</w:t>
      </w:r>
      <w:r>
        <w:rPr>
          <w:rFonts w:hint="eastAsia" w:ascii="宋体" w:hAnsi="宋体" w:cs="宋体"/>
          <w:color w:val="auto"/>
          <w:sz w:val="24"/>
          <w:szCs w:val="24"/>
          <w:highlight w:val="none"/>
        </w:rPr>
        <w:t>提供的机械(设备)必须符合国家或地方的质量技术标准</w:t>
      </w:r>
      <w:r>
        <w:rPr>
          <w:rFonts w:hint="eastAsia" w:ascii="宋体" w:hAnsi="宋体" w:cs="宋体"/>
          <w:color w:val="auto"/>
          <w:sz w:val="24"/>
          <w:szCs w:val="24"/>
          <w:highlight w:val="none"/>
          <w:lang w:eastAsia="zh-CN"/>
        </w:rPr>
        <w:t>，</w:t>
      </w:r>
      <w:r>
        <w:rPr>
          <w:rFonts w:hint="eastAsia" w:ascii="宋体" w:hAnsi="宋体" w:cs="宋体"/>
          <w:color w:val="auto"/>
          <w:kern w:val="0"/>
          <w:sz w:val="24"/>
          <w:szCs w:val="24"/>
          <w:highlight w:val="none"/>
          <w:shd w:val="clear" w:color="auto" w:fill="FEFFFF"/>
          <w:lang w:bidi="ar"/>
        </w:rPr>
        <w:t>保证所供租赁设备性能完好，设备维修、保养工作应在不影响正常工作的前提下进行，否则要及时与采购人对接，经确认后方可进行。</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、供应商应拥有出租机械(设备)的所有权或依法享有出租权。机械(设备)安装由供应商负责，供应商需保证机械(设备)配件齐全，应确保采购人要求使用时间内机械(设备)正常运行</w:t>
      </w:r>
      <w:r>
        <w:rPr>
          <w:rFonts w:hint="eastAsia" w:ascii="宋体" w:hAnsi="宋体" w:cs="宋体"/>
          <w:color w:val="auto"/>
          <w:sz w:val="24"/>
          <w:szCs w:val="24"/>
          <w:highlight w:val="none"/>
          <w:lang w:eastAsia="zh-CN"/>
        </w:rPr>
        <w:t>，</w:t>
      </w:r>
      <w:r>
        <w:rPr>
          <w:rFonts w:hint="eastAsia" w:ascii="宋体" w:hAnsi="宋体" w:cs="宋体"/>
          <w:color w:val="auto"/>
          <w:sz w:val="24"/>
          <w:szCs w:val="21"/>
          <w:highlight w:val="none"/>
        </w:rPr>
        <w:t>根据采购人需求安排使用，</w:t>
      </w:r>
      <w:r>
        <w:rPr>
          <w:rFonts w:hint="eastAsia" w:ascii="宋体" w:hAnsi="宋体" w:cs="宋体"/>
          <w:color w:val="auto"/>
          <w:sz w:val="24"/>
          <w:szCs w:val="24"/>
          <w:highlight w:val="none"/>
        </w:rPr>
        <w:t>保证采购人所需设备随叫随到。操作员须服从采购人现场管理人员安排。</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 xml:space="preserve">、供应商负责其所派出的操作员的安全责任，并为其派出人员购买相应的人身安全保险。供应商用于项目的机具、设备、设施由供应商负责看守和保管，采购人不承担供应商所派出的设备与人员(操作员)所产生的任何安全与经济责任(如丢失或被偷(盗)和损坏等)，其设备停放现场的相关责任亦由供应商承担。 </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、供应商须办理与机械(设备)相关的保险与证照，并确保供应商操作人员具备操作证。机械(设备)操作人员及其工作、工资安排由供应商负责。</w:t>
      </w:r>
    </w:p>
    <w:p>
      <w:pPr>
        <w:widowControl w:val="0"/>
        <w:spacing w:line="52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7、供应商应做好设备故障排险、维修工作，保持良好状态。服务期内机械出现任何故障，由供应商负责全免费（免全部工时费、材料费、管理费、财务费等）更换或维修。 </w:t>
      </w:r>
    </w:p>
    <w:p>
      <w:pPr>
        <w:widowControl/>
        <w:numPr>
          <w:ilvl w:val="0"/>
          <w:numId w:val="7"/>
        </w:numPr>
        <w:spacing w:line="520" w:lineRule="exact"/>
        <w:ind w:firstLine="480"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其他</w:t>
      </w:r>
    </w:p>
    <w:p>
      <w:pPr>
        <w:widowControl/>
        <w:spacing w:line="52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1、供应商接到采购人临时安排的紧急任务时，应即刻启动应急预案及紧急情况处理方案，按采购人要求在规定时间安排人员和设备到位，不得以任何理由推诿。</w:t>
      </w:r>
    </w:p>
    <w:p>
      <w:pPr>
        <w:adjustRightInd w:val="0"/>
        <w:snapToGrid w:val="0"/>
        <w:spacing w:line="52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1.1 技术支持：1）提供7×24小时的技术现场服务。</w:t>
      </w:r>
    </w:p>
    <w:p>
      <w:pPr>
        <w:adjustRightInd w:val="0"/>
        <w:snapToGrid w:val="0"/>
        <w:spacing w:line="520" w:lineRule="exact"/>
        <w:ind w:firstLine="2280" w:firstLineChars="95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2）敏感时期、重大节假日提供人员值守服务。</w:t>
      </w:r>
    </w:p>
    <w:p>
      <w:pPr>
        <w:adjustRightInd w:val="0"/>
        <w:snapToGrid w:val="0"/>
        <w:spacing w:line="52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1.2 响应时间：1）提供7×24小时的现场故障服务受理，1小时响应，2小时到达现场。 2）备件服务：遇到重大故障，提供系统所需更换的任何备件。</w:t>
      </w:r>
    </w:p>
    <w:p>
      <w:pPr>
        <w:spacing w:line="52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四、验收标准</w:t>
      </w:r>
    </w:p>
    <w:p>
      <w:pPr>
        <w:widowControl/>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1、参照长财采购[2016]6号文件“关于进一步规范政府采购项目履约验收工作管理的通知”，该项目采用简易程序验收，由采购人自行组织。</w:t>
      </w:r>
    </w:p>
    <w:p>
      <w:pPr>
        <w:spacing w:line="520" w:lineRule="exact"/>
        <w:ind w:firstLine="480" w:firstLineChars="200"/>
        <w:rPr>
          <w:rFonts w:hint="eastAsia" w:eastAsia="宋体" w:cs="Calibri"/>
          <w:color w:val="auto"/>
          <w:sz w:val="24"/>
          <w:szCs w:val="24"/>
          <w:highlight w:val="none"/>
          <w:lang w:eastAsia="zh-CN"/>
        </w:rPr>
      </w:pPr>
      <w:r>
        <w:rPr>
          <w:rFonts w:hint="eastAsia" w:ascii="宋体" w:hAnsi="宋体" w:cs="宋体"/>
          <w:color w:val="auto"/>
          <w:kern w:val="0"/>
          <w:sz w:val="24"/>
          <w:szCs w:val="24"/>
          <w:highlight w:val="none"/>
          <w:lang w:bidi="ar"/>
        </w:rPr>
        <w:t>2、质量要求：供应商</w:t>
      </w:r>
      <w:r>
        <w:rPr>
          <w:rFonts w:hint="eastAsia" w:ascii="宋体" w:hAnsi="宋体" w:cs="宋体"/>
          <w:color w:val="auto"/>
          <w:sz w:val="24"/>
          <w:szCs w:val="24"/>
          <w:highlight w:val="none"/>
          <w:shd w:val="clear" w:color="auto" w:fill="FEFFFF"/>
        </w:rPr>
        <w:t>提供服务质量须符合采购人要求</w:t>
      </w:r>
      <w:r>
        <w:rPr>
          <w:rFonts w:hint="eastAsia" w:ascii="宋体" w:hAnsi="宋体" w:cs="宋体"/>
          <w:color w:val="auto"/>
          <w:sz w:val="24"/>
          <w:szCs w:val="24"/>
          <w:highlight w:val="none"/>
          <w:shd w:val="clear" w:color="auto" w:fill="FEFFFF"/>
          <w:lang w:eastAsia="zh-CN"/>
        </w:rPr>
        <w:t>。</w:t>
      </w:r>
    </w:p>
    <w:p>
      <w:pPr>
        <w:spacing w:line="52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五、项目其他要求及说明</w:t>
      </w:r>
    </w:p>
    <w:p>
      <w:pPr>
        <w:spacing w:line="52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1、服务时间及地点</w:t>
      </w:r>
    </w:p>
    <w:p>
      <w:pPr>
        <w:spacing w:line="520" w:lineRule="exact"/>
        <w:ind w:firstLine="480" w:firstLineChars="2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1.1、服务时间：</w:t>
      </w:r>
      <w:r>
        <w:rPr>
          <w:rFonts w:hint="eastAsia" w:ascii="宋体" w:hAnsi="宋体" w:cs="宋体"/>
          <w:color w:val="auto"/>
          <w:sz w:val="24"/>
          <w:szCs w:val="24"/>
          <w:highlight w:val="none"/>
          <w:lang w:val="en-US" w:eastAsia="zh-CN"/>
        </w:rPr>
        <w:t>2024年内完成消纳任务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具体开工时间以采购人通知时间为准，服务频次、方式等按采购人要求执行。</w:t>
      </w:r>
    </w:p>
    <w:p>
      <w:pPr>
        <w:spacing w:line="52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1.2、服务地点：</w:t>
      </w:r>
      <w:r>
        <w:rPr>
          <w:rFonts w:hint="eastAsia" w:ascii="宋体" w:hAnsi="宋体" w:eastAsia="宋体" w:cs="宋体"/>
          <w:color w:val="auto"/>
          <w:sz w:val="24"/>
          <w:szCs w:val="24"/>
          <w:highlight w:val="none"/>
          <w:lang w:val="zh-TW"/>
        </w:rPr>
        <w:t>采购人</w:t>
      </w:r>
      <w:r>
        <w:rPr>
          <w:rFonts w:hint="eastAsia" w:ascii="宋体" w:hAnsi="宋体" w:eastAsia="宋体" w:cs="宋体"/>
          <w:color w:val="auto"/>
          <w:sz w:val="24"/>
          <w:szCs w:val="24"/>
          <w:highlight w:val="none"/>
          <w:lang w:val="zh-TW" w:eastAsia="zh-TW"/>
        </w:rPr>
        <w:t>指定地点</w:t>
      </w:r>
    </w:p>
    <w:p>
      <w:pPr>
        <w:spacing w:line="52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2、结算方式</w:t>
      </w:r>
    </w:p>
    <w:p>
      <w:pPr>
        <w:spacing w:line="52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2.1 付款人：</w:t>
      </w:r>
      <w:r>
        <w:rPr>
          <w:rFonts w:hint="eastAsia" w:ascii="宋体" w:hAnsi="宋体" w:cs="宋体"/>
          <w:color w:val="auto"/>
          <w:sz w:val="24"/>
          <w:szCs w:val="24"/>
          <w:highlight w:val="none"/>
          <w:lang w:val="en-US" w:eastAsia="zh-CN"/>
        </w:rPr>
        <w:t>湖南智晟建设</w:t>
      </w:r>
      <w:r>
        <w:rPr>
          <w:rFonts w:hint="eastAsia" w:ascii="宋体" w:hAnsi="宋体" w:cs="宋体"/>
          <w:color w:val="auto"/>
          <w:sz w:val="24"/>
          <w:szCs w:val="24"/>
          <w:highlight w:val="none"/>
        </w:rPr>
        <w:t>有限</w:t>
      </w:r>
      <w:r>
        <w:rPr>
          <w:rFonts w:hint="eastAsia" w:ascii="宋体" w:hAnsi="宋体" w:cs="宋体"/>
          <w:color w:val="auto"/>
          <w:sz w:val="24"/>
          <w:szCs w:val="24"/>
          <w:highlight w:val="none"/>
          <w:lang w:val="en-US" w:eastAsia="zh-CN"/>
        </w:rPr>
        <w:t>责任</w:t>
      </w:r>
      <w:r>
        <w:rPr>
          <w:rFonts w:hint="eastAsia" w:ascii="宋体" w:hAnsi="宋体" w:cs="宋体"/>
          <w:color w:val="auto"/>
          <w:sz w:val="24"/>
          <w:szCs w:val="24"/>
          <w:highlight w:val="none"/>
        </w:rPr>
        <w:t>公司</w:t>
      </w:r>
    </w:p>
    <w:p>
      <w:pPr>
        <w:spacing w:line="5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2.2 付款方式：</w:t>
      </w:r>
      <w:r>
        <w:rPr>
          <w:rFonts w:hint="eastAsia" w:ascii="宋体" w:hAnsi="宋体" w:cs="宋体"/>
          <w:color w:val="auto"/>
          <w:sz w:val="24"/>
          <w:szCs w:val="24"/>
          <w:highlight w:val="none"/>
          <w:lang w:val="en-US" w:eastAsia="zh-CN"/>
        </w:rPr>
        <w:t>施工过程按月</w:t>
      </w:r>
      <w:r>
        <w:rPr>
          <w:rFonts w:hint="eastAsia" w:ascii="宋体" w:hAnsi="宋体" w:cs="宋体"/>
          <w:color w:val="auto"/>
          <w:sz w:val="24"/>
          <w:szCs w:val="24"/>
          <w:highlight w:val="none"/>
        </w:rPr>
        <w:t>度付款，</w:t>
      </w:r>
      <w:r>
        <w:rPr>
          <w:rFonts w:hint="eastAsia" w:ascii="宋体" w:hAnsi="宋体" w:cs="宋体"/>
          <w:color w:val="auto"/>
          <w:sz w:val="24"/>
          <w:szCs w:val="24"/>
          <w:highlight w:val="none"/>
          <w:lang w:val="en-US" w:eastAsia="zh-CN"/>
        </w:rPr>
        <w:t>由发包方进行审核后，按90%支付至承包方，余款待项目完成，费用通过结算审核后一次性付清</w:t>
      </w:r>
      <w:r>
        <w:rPr>
          <w:rFonts w:hint="eastAsia" w:ascii="宋体" w:hAnsi="宋体" w:cs="宋体"/>
          <w:color w:val="auto"/>
          <w:sz w:val="24"/>
          <w:szCs w:val="24"/>
          <w:highlight w:val="none"/>
        </w:rPr>
        <w:t>。</w:t>
      </w:r>
    </w:p>
    <w:p>
      <w:pPr>
        <w:spacing w:line="520" w:lineRule="exact"/>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付款前，</w:t>
      </w:r>
      <w:r>
        <w:rPr>
          <w:rFonts w:hint="eastAsia" w:ascii="宋体" w:hAnsi="宋体" w:cs="宋体"/>
          <w:color w:val="auto"/>
          <w:sz w:val="24"/>
          <w:szCs w:val="24"/>
          <w:highlight w:val="none"/>
          <w:lang w:val="en-US" w:eastAsia="zh-CN"/>
        </w:rPr>
        <w:t>成交供应商应提供相关的付款单据（含采购人确认的土方数据等）以及符合采购人财务要求的增值税专用发票（该项目增值税税率机械设备为 9%、洗车工服务为6%，若供应商不能提供相应的增值税专用发票，采购人将根据最终不含税价进行总价调整），逾期采购人有权顺延付款期限。</w:t>
      </w:r>
    </w:p>
    <w:p>
      <w:pPr>
        <w:spacing w:line="520" w:lineRule="exact"/>
        <w:ind w:firstLine="480" w:firstLineChars="200"/>
        <w:jc w:val="left"/>
        <w:rPr>
          <w:rFonts w:ascii="宋体" w:hAnsi="宋体" w:cs="Times New Roman"/>
          <w:color w:val="auto"/>
          <w:sz w:val="24"/>
          <w:szCs w:val="24"/>
          <w:highlight w:val="none"/>
        </w:rPr>
      </w:pPr>
      <w:r>
        <w:rPr>
          <w:rFonts w:hint="eastAsia" w:ascii="宋体" w:hAnsi="宋体" w:cs="宋体"/>
          <w:color w:val="auto"/>
          <w:sz w:val="24"/>
          <w:szCs w:val="24"/>
          <w:highlight w:val="none"/>
          <w:lang w:val="en-US" w:eastAsia="zh-CN"/>
        </w:rPr>
        <w:t>4、成交供应商应根据项目要求和现场情况</w:t>
      </w:r>
      <w:r>
        <w:rPr>
          <w:rFonts w:hint="eastAsia" w:ascii="宋体" w:hAnsi="宋体" w:cs="Times New Roman"/>
          <w:color w:val="auto"/>
          <w:sz w:val="24"/>
          <w:szCs w:val="24"/>
          <w:highlight w:val="none"/>
        </w:rPr>
        <w:t>，详细列明项目所需的设备及材料购置，以及培训、人工、管理、财务等所有费用，如一旦成交，在项目实施中出现任何遗漏，均由成交供应商免费提供，采购人不再支付任何费用。</w:t>
      </w:r>
    </w:p>
    <w:p>
      <w:pPr>
        <w:spacing w:line="520" w:lineRule="exact"/>
        <w:ind w:firstLine="480" w:firstLineChars="200"/>
        <w:jc w:val="left"/>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5</w:t>
      </w:r>
      <w:r>
        <w:rPr>
          <w:rFonts w:hint="eastAsia" w:ascii="宋体" w:hAnsi="宋体" w:cs="Times New Roman"/>
          <w:color w:val="auto"/>
          <w:sz w:val="24"/>
          <w:szCs w:val="24"/>
          <w:highlight w:val="none"/>
        </w:rPr>
        <w:t>、供应商在响应前，如需踏勘现场，有关费用自理，踏勘期间发生的意外自负。</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6</w:t>
      </w:r>
      <w:r>
        <w:rPr>
          <w:rFonts w:hint="eastAsia" w:ascii="宋体" w:hAnsi="宋体" w:cs="宋体"/>
          <w:b/>
          <w:bCs/>
          <w:color w:val="auto"/>
          <w:sz w:val="24"/>
          <w:szCs w:val="24"/>
          <w:highlight w:val="none"/>
        </w:rPr>
        <w:t>、对于上述项目要求，供应商应在投标文件中进行回应，作出承诺及说明。</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cs="宋体"/>
          <w:b/>
          <w:bCs/>
          <w:color w:val="auto"/>
          <w:sz w:val="24"/>
          <w:szCs w:val="24"/>
          <w:highlight w:val="none"/>
          <w:lang w:val="en-US" w:eastAsia="zh-CN"/>
        </w:rPr>
        <w:t>六、其他事项及说明</w:t>
      </w:r>
    </w:p>
    <w:p>
      <w:pPr>
        <w:pStyle w:val="6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本项目付款</w:t>
      </w:r>
      <w:r>
        <w:rPr>
          <w:rFonts w:hint="eastAsia" w:ascii="宋体" w:hAnsi="宋体" w:cs="宋体"/>
          <w:color w:val="auto"/>
          <w:kern w:val="2"/>
          <w:sz w:val="24"/>
          <w:szCs w:val="24"/>
          <w:highlight w:val="none"/>
          <w:lang w:val="en-US" w:eastAsia="zh-CN" w:bidi="ar-SA"/>
        </w:rPr>
        <w:t>单位</w:t>
      </w:r>
      <w:r>
        <w:rPr>
          <w:rFonts w:hint="eastAsia" w:ascii="宋体" w:hAnsi="宋体" w:eastAsia="宋体" w:cs="宋体"/>
          <w:color w:val="auto"/>
          <w:kern w:val="2"/>
          <w:sz w:val="24"/>
          <w:szCs w:val="24"/>
          <w:highlight w:val="none"/>
          <w:lang w:val="en-US" w:eastAsia="zh-CN" w:bidi="ar-SA"/>
        </w:rPr>
        <w:t>：湖南智晟建设有限责任公司</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因集团扁平化管理，采购人为湖南智谷投资发展集团有限公司，但合同签订、项目验收及项目付款为湖南智晟建设有限责任公司，该公司系湖南智谷投资发展集团有限公司的子公司。)</w:t>
      </w:r>
    </w:p>
    <w:p>
      <w:pP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br w:type="page"/>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第五章 响应文件组成</w:t>
      </w:r>
    </w:p>
    <w:p>
      <w:pPr>
        <w:spacing w:line="360" w:lineRule="auto"/>
        <w:rPr>
          <w:rFonts w:ascii="宋体" w:hAnsi="宋体" w:cs="宋体"/>
          <w:color w:val="auto"/>
        </w:rPr>
      </w:pPr>
      <w:r>
        <w:rPr>
          <w:rFonts w:hint="eastAsia" w:ascii="宋体" w:hAnsi="宋体" w:cs="宋体"/>
          <w:color w:val="auto"/>
        </w:rPr>
        <w:t>供应商的响应文件应包含以下部分：</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一、磋商响应声明</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附件1：法定代表人身份证明</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附件2：法定代表人授权委托书</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二、供应商的资格证明资料</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附件3：资格证明文件承诺函</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附件4：供应商基本情况表</w:t>
      </w:r>
    </w:p>
    <w:p>
      <w:pPr>
        <w:adjustRightInd w:val="0"/>
        <w:snapToGrid w:val="0"/>
        <w:spacing w:line="360" w:lineRule="auto"/>
        <w:ind w:firstLine="420" w:firstLineChars="200"/>
        <w:outlineLvl w:val="0"/>
        <w:rPr>
          <w:rFonts w:ascii="宋体" w:hAnsi="宋体" w:cs="宋体"/>
          <w:color w:val="auto"/>
          <w:szCs w:val="21"/>
        </w:rPr>
      </w:pPr>
      <w:r>
        <w:rPr>
          <w:rFonts w:hint="eastAsia" w:ascii="宋体" w:hAnsi="宋体" w:cs="宋体"/>
          <w:color w:val="auto"/>
          <w:szCs w:val="21"/>
        </w:rPr>
        <w:t>附件5：磋商文件规定的基本资格条件证明资料</w:t>
      </w:r>
    </w:p>
    <w:p>
      <w:pPr>
        <w:adjustRightInd w:val="0"/>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附件</w:t>
      </w:r>
      <w:r>
        <w:rPr>
          <w:rFonts w:hint="eastAsia" w:ascii="宋体" w:hAnsi="宋体" w:cs="宋体"/>
          <w:bCs/>
          <w:color w:val="auto"/>
          <w:szCs w:val="21"/>
          <w:lang w:val="en-US" w:eastAsia="zh-CN"/>
        </w:rPr>
        <w:t>6</w:t>
      </w:r>
      <w:r>
        <w:rPr>
          <w:rFonts w:hint="eastAsia" w:ascii="宋体" w:hAnsi="宋体" w:cs="宋体"/>
          <w:bCs/>
          <w:color w:val="auto"/>
          <w:szCs w:val="21"/>
        </w:rPr>
        <w:t>：其他说明</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三、服务方案说明</w:t>
      </w:r>
    </w:p>
    <w:p>
      <w:pPr>
        <w:adjustRightInd w:val="0"/>
        <w:snapToGrid w:val="0"/>
        <w:spacing w:line="360" w:lineRule="auto"/>
        <w:ind w:firstLine="435"/>
        <w:rPr>
          <w:rFonts w:hint="eastAsia" w:ascii="宋体" w:hAnsi="宋体" w:cs="宋体"/>
          <w:color w:val="auto"/>
          <w:szCs w:val="21"/>
        </w:rPr>
      </w:pPr>
      <w:r>
        <w:rPr>
          <w:rFonts w:hint="eastAsia" w:ascii="宋体" w:hAnsi="宋体" w:cs="宋体"/>
          <w:color w:val="auto"/>
          <w:szCs w:val="21"/>
        </w:rPr>
        <w:t>附件</w:t>
      </w:r>
      <w:r>
        <w:rPr>
          <w:rFonts w:hint="eastAsia" w:ascii="宋体" w:hAnsi="宋体" w:cs="宋体"/>
          <w:color w:val="auto"/>
          <w:szCs w:val="21"/>
          <w:lang w:val="en-US" w:eastAsia="zh-CN"/>
        </w:rPr>
        <w:t>7-1</w:t>
      </w:r>
      <w:r>
        <w:rPr>
          <w:rFonts w:hint="eastAsia" w:ascii="宋体" w:hAnsi="宋体" w:cs="宋体"/>
          <w:color w:val="auto"/>
          <w:szCs w:val="21"/>
        </w:rPr>
        <w:t>：服务方案说明</w:t>
      </w:r>
    </w:p>
    <w:p>
      <w:pPr>
        <w:adjustRightInd w:val="0"/>
        <w:snapToGrid w:val="0"/>
        <w:spacing w:line="360" w:lineRule="auto"/>
        <w:ind w:firstLine="435"/>
        <w:rPr>
          <w:rFonts w:ascii="宋体" w:hAnsi="宋体" w:cs="宋体"/>
          <w:color w:val="auto"/>
          <w:szCs w:val="21"/>
        </w:rPr>
      </w:pPr>
      <w:r>
        <w:rPr>
          <w:rFonts w:hint="eastAsia" w:ascii="宋体" w:hAnsi="宋体" w:cs="宋体"/>
          <w:color w:val="auto"/>
          <w:szCs w:val="21"/>
        </w:rPr>
        <w:t>附件</w:t>
      </w:r>
      <w:r>
        <w:rPr>
          <w:rFonts w:hint="eastAsia" w:ascii="宋体" w:hAnsi="宋体" w:cs="宋体"/>
          <w:color w:val="auto"/>
          <w:szCs w:val="21"/>
          <w:lang w:val="en-US" w:eastAsia="zh-CN"/>
        </w:rPr>
        <w:t>7-2</w:t>
      </w:r>
      <w:r>
        <w:rPr>
          <w:rFonts w:hint="eastAsia" w:ascii="宋体" w:hAnsi="宋体" w:cs="宋体"/>
          <w:color w:val="auto"/>
          <w:szCs w:val="21"/>
        </w:rPr>
        <w:t>：主要人员简历表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四、技术/商务响应与偏离表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五、报价一览表及分项价格表</w:t>
      </w:r>
    </w:p>
    <w:p>
      <w:pPr>
        <w:adjustRightInd w:val="0"/>
        <w:snapToGrid w:val="0"/>
        <w:spacing w:line="360" w:lineRule="auto"/>
        <w:ind w:firstLine="420" w:firstLineChars="200"/>
        <w:jc w:val="left"/>
        <w:outlineLvl w:val="0"/>
        <w:rPr>
          <w:rFonts w:ascii="宋体" w:hAnsi="宋体" w:cs="宋体"/>
          <w:bCs/>
          <w:color w:val="auto"/>
          <w:szCs w:val="21"/>
        </w:rPr>
      </w:pPr>
      <w:r>
        <w:rPr>
          <w:rFonts w:hint="eastAsia" w:ascii="宋体" w:hAnsi="宋体" w:cs="宋体"/>
          <w:color w:val="auto"/>
          <w:szCs w:val="21"/>
        </w:rPr>
        <w:t>附件</w:t>
      </w:r>
      <w:r>
        <w:rPr>
          <w:rFonts w:hint="eastAsia" w:ascii="宋体" w:hAnsi="宋体" w:cs="宋体"/>
          <w:color w:val="auto"/>
          <w:szCs w:val="21"/>
          <w:lang w:val="en-US" w:eastAsia="zh-CN"/>
        </w:rPr>
        <w:t>8</w:t>
      </w:r>
      <w:r>
        <w:rPr>
          <w:rFonts w:hint="eastAsia" w:ascii="宋体" w:hAnsi="宋体" w:cs="宋体"/>
          <w:color w:val="auto"/>
          <w:szCs w:val="21"/>
        </w:rPr>
        <w:t>：</w:t>
      </w:r>
      <w:r>
        <w:rPr>
          <w:rFonts w:hint="eastAsia" w:ascii="宋体" w:hAnsi="宋体" w:cs="宋体"/>
          <w:bCs/>
          <w:color w:val="auto"/>
          <w:szCs w:val="21"/>
        </w:rPr>
        <w:t>报价一览表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六、供应商认为需提供的其它资料</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七、最后报价</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45"/>
        <w:ind w:firstLine="0" w:firstLineChars="0"/>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一、磋商响应声明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 xml:space="preserve"> (采购人或采购代理机构)：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我方已仔细研究了</w:t>
      </w:r>
      <w:r>
        <w:rPr>
          <w:rFonts w:hint="eastAsia" w:ascii="宋体" w:hAnsi="宋体" w:cs="宋体"/>
          <w:color w:val="auto"/>
          <w:szCs w:val="21"/>
          <w:u w:val="single"/>
        </w:rPr>
        <w:t xml:space="preserve">             (</w:t>
      </w:r>
      <w:r>
        <w:rPr>
          <w:rFonts w:hint="eastAsia" w:ascii="宋体" w:hAnsi="宋体" w:cs="宋体"/>
          <w:color w:val="auto"/>
          <w:szCs w:val="21"/>
        </w:rPr>
        <w:t>项目名称)的竞争性磋商文件</w:t>
      </w:r>
      <w:r>
        <w:rPr>
          <w:rFonts w:hint="eastAsia" w:ascii="宋体" w:hAnsi="宋体" w:cs="宋体"/>
          <w:color w:val="auto"/>
          <w:szCs w:val="21"/>
          <w:lang w:eastAsia="zh-CN"/>
        </w:rPr>
        <w:t>（</w:t>
      </w:r>
      <w:r>
        <w:rPr>
          <w:rFonts w:hint="eastAsia" w:ascii="宋体" w:hAnsi="宋体" w:cs="宋体"/>
          <w:color w:val="auto"/>
          <w:szCs w:val="21"/>
        </w:rPr>
        <w:t>采购代理编号：</w:t>
      </w:r>
      <w:r>
        <w:rPr>
          <w:rFonts w:hint="eastAsia" w:ascii="宋体" w:hAnsi="宋体" w:cs="宋体"/>
          <w:color w:val="auto"/>
          <w:szCs w:val="21"/>
          <w:u w:val="single"/>
        </w:rPr>
        <w:t xml:space="preserve">           </w:t>
      </w:r>
      <w:r>
        <w:rPr>
          <w:rFonts w:hint="eastAsia" w:ascii="宋体" w:hAnsi="宋体" w:cs="宋体"/>
          <w:color w:val="auto"/>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一、我方同意在磋商文件中规定的提交首次响应文件截止时间起</w:t>
      </w:r>
      <w:r>
        <w:rPr>
          <w:rFonts w:hint="eastAsia" w:ascii="宋体" w:hAnsi="宋体" w:cs="宋体"/>
          <w:color w:val="auto"/>
          <w:szCs w:val="21"/>
          <w:u w:val="single"/>
        </w:rPr>
        <w:t xml:space="preserve">    </w:t>
      </w:r>
      <w:r>
        <w:rPr>
          <w:rFonts w:hint="eastAsia" w:ascii="宋体" w:hAnsi="宋体" w:cs="宋体"/>
          <w:color w:val="auto"/>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二、我方提交响应文件正本一份和副本一式</w:t>
      </w:r>
      <w:r>
        <w:rPr>
          <w:rFonts w:hint="eastAsia" w:ascii="宋体" w:hAnsi="宋体" w:cs="宋体"/>
          <w:color w:val="auto"/>
          <w:szCs w:val="21"/>
          <w:u w:val="single"/>
        </w:rPr>
        <w:t xml:space="preserve">     </w:t>
      </w:r>
      <w:r>
        <w:rPr>
          <w:rFonts w:hint="eastAsia" w:ascii="宋体" w:hAnsi="宋体" w:cs="宋体"/>
          <w:color w:val="auto"/>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六</w:t>
      </w:r>
      <w:r>
        <w:rPr>
          <w:rFonts w:hint="eastAsia" w:ascii="宋体" w:hAnsi="宋体" w:cs="宋体"/>
          <w:color w:val="auto"/>
          <w:szCs w:val="21"/>
        </w:rPr>
        <w:t xml:space="preserve">、我方在此声明：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（三）我方未为本项目前期准备提供设计或咨询服务。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2、我方在经营活动中没有存在下列重大违法记录：</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附件1：</w:t>
      </w:r>
      <w:r>
        <w:rPr>
          <w:rFonts w:hint="eastAsia" w:ascii="宋体" w:hAnsi="宋体" w:cs="宋体"/>
          <w:color w:val="auto"/>
          <w:szCs w:val="21"/>
        </w:rPr>
        <w:t>法定代表人身份证明</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附件2</w:t>
      </w:r>
      <w:r>
        <w:rPr>
          <w:rFonts w:hint="eastAsia" w:ascii="宋体" w:hAnsi="宋体" w:cs="宋体"/>
          <w:color w:val="auto"/>
          <w:szCs w:val="21"/>
        </w:rPr>
        <w:t>：法定代表人授权书</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 (签字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r>
        <w:rPr>
          <w:rFonts w:hint="eastAsia" w:ascii="宋体" w:hAnsi="宋体" w:cs="宋体"/>
          <w:bCs/>
          <w:color w:val="auto"/>
          <w:szCs w:val="21"/>
        </w:rPr>
        <w:t>附件1</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法定代表人身份证明</w:t>
      </w:r>
    </w:p>
    <w:p>
      <w:pPr>
        <w:snapToGrid w:val="0"/>
        <w:spacing w:line="480" w:lineRule="auto"/>
        <w:rPr>
          <w:rFonts w:ascii="宋体" w:hAnsi="宋体" w:cs="宋体"/>
          <w:color w:val="auto"/>
          <w:szCs w:val="21"/>
        </w:rPr>
      </w:pP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szCs w:val="21"/>
        </w:rPr>
        <w:t>供应商</w:t>
      </w:r>
      <w:r>
        <w:rPr>
          <w:rFonts w:hint="eastAsia" w:ascii="宋体" w:hAnsi="宋体" w:cs="宋体"/>
          <w:color w:val="auto"/>
          <w:kern w:val="0"/>
          <w:szCs w:val="21"/>
        </w:rPr>
        <w:t>名称：</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注册号：</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注册地址：</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成立时间： </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年 </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日</w:t>
      </w:r>
    </w:p>
    <w:p>
      <w:pPr>
        <w:autoSpaceDE w:val="0"/>
        <w:autoSpaceDN w:val="0"/>
        <w:adjustRightInd w:val="0"/>
        <w:snapToGrid w:val="0"/>
        <w:spacing w:line="360" w:lineRule="auto"/>
        <w:jc w:val="left"/>
        <w:rPr>
          <w:rFonts w:ascii="宋体" w:hAnsi="宋体" w:cs="宋体"/>
          <w:color w:val="auto"/>
          <w:kern w:val="0"/>
          <w:szCs w:val="21"/>
          <w:u w:val="single"/>
        </w:rPr>
      </w:pPr>
      <w:r>
        <w:rPr>
          <w:rFonts w:hint="eastAsia" w:ascii="宋体" w:hAnsi="宋体" w:cs="宋体"/>
          <w:color w:val="auto"/>
          <w:kern w:val="0"/>
          <w:szCs w:val="21"/>
        </w:rPr>
        <w:t>经营期限：</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u w:val="single"/>
        </w:rPr>
      </w:pPr>
      <w:r>
        <w:rPr>
          <w:rFonts w:hint="eastAsia" w:ascii="宋体" w:hAnsi="宋体" w:cs="宋体"/>
          <w:color w:val="auto"/>
          <w:kern w:val="0"/>
          <w:szCs w:val="21"/>
        </w:rPr>
        <w:t>经营范围：主营：</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；兼营：</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姓名：</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性别：</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年龄：</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系</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szCs w:val="21"/>
        </w:rPr>
        <w:t>供应商</w:t>
      </w:r>
      <w:r>
        <w:rPr>
          <w:rFonts w:hint="eastAsia" w:ascii="宋体" w:hAnsi="宋体" w:cs="宋体"/>
          <w:color w:val="auto"/>
          <w:kern w:val="0"/>
          <w:szCs w:val="21"/>
        </w:rPr>
        <w:t>名称）的法定代表人。</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特此证明。</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szCs w:val="21"/>
        </w:rPr>
        <w:t>附：法定代表人身份证复印件</w:t>
      </w:r>
    </w:p>
    <w:p>
      <w:pPr>
        <w:snapToGrid w:val="0"/>
        <w:spacing w:line="480" w:lineRule="auto"/>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adjustRightInd w:val="0"/>
        <w:snapToGrid w:val="0"/>
        <w:spacing w:before="156" w:beforeLines="50" w:line="360" w:lineRule="auto"/>
        <w:rPr>
          <w:rFonts w:ascii="宋体" w:hAnsi="宋体" w:cs="宋体"/>
          <w:color w:val="auto"/>
          <w:szCs w:val="21"/>
        </w:rPr>
      </w:pPr>
    </w:p>
    <w:p>
      <w:pPr>
        <w:adjustRightInd w:val="0"/>
        <w:snapToGrid w:val="0"/>
        <w:spacing w:before="156" w:beforeLines="50" w:line="360" w:lineRule="auto"/>
        <w:rPr>
          <w:rFonts w:ascii="宋体" w:hAnsi="宋体" w:cs="宋体"/>
          <w:color w:val="auto"/>
          <w:szCs w:val="21"/>
        </w:rPr>
      </w:pP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r>
        <w:rPr>
          <w:rFonts w:hint="eastAsia" w:ascii="宋体" w:hAnsi="宋体" w:cs="宋体"/>
          <w:b/>
          <w:color w:val="auto"/>
          <w:szCs w:val="21"/>
        </w:rPr>
        <w:t>注：（此法定代表人身份证明由供应商单位加盖单位公章，除响应文件中须提供外，还须另外准备一份，不装入响应文件，与项目的响应文件同时分别递交，否则，视为自动放弃磋商）</w:t>
      </w: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p>
    <w:p>
      <w:pPr>
        <w:pStyle w:val="64"/>
        <w:rPr>
          <w:rFonts w:ascii="宋体" w:hAnsi="宋体" w:eastAsia="宋体" w:cs="宋体"/>
          <w:bCs/>
          <w:color w:val="auto"/>
          <w:sz w:val="21"/>
          <w:szCs w:val="21"/>
        </w:rPr>
      </w:pPr>
    </w:p>
    <w:p>
      <w:pPr>
        <w:pStyle w:val="45"/>
        <w:ind w:left="0" w:leftChars="0" w:firstLine="0" w:firstLineChars="0"/>
        <w:rPr>
          <w:rFonts w:ascii="宋体" w:hAnsi="宋体" w:cs="宋体"/>
          <w:color w:val="auto"/>
          <w:szCs w:val="21"/>
        </w:rPr>
      </w:pPr>
    </w:p>
    <w:p>
      <w:pPr>
        <w:rPr>
          <w:rFonts w:ascii="宋体" w:hAnsi="宋体" w:cs="宋体"/>
          <w:bCs/>
          <w:color w:val="auto"/>
          <w:szCs w:val="21"/>
        </w:rPr>
      </w:pPr>
      <w:r>
        <w:rPr>
          <w:rFonts w:hint="eastAsia" w:ascii="宋体" w:hAnsi="宋体" w:cs="宋体"/>
          <w:bCs/>
          <w:color w:val="auto"/>
          <w:szCs w:val="21"/>
        </w:rPr>
        <w:br w:type="page"/>
      </w:r>
    </w:p>
    <w:p>
      <w:pPr>
        <w:adjustRightInd w:val="0"/>
        <w:snapToGrid w:val="0"/>
        <w:spacing w:before="156" w:beforeLines="50" w:line="360" w:lineRule="auto"/>
        <w:rPr>
          <w:rFonts w:ascii="宋体" w:hAnsi="宋体" w:cs="宋体"/>
          <w:color w:val="auto"/>
          <w:szCs w:val="21"/>
        </w:rPr>
      </w:pPr>
      <w:r>
        <w:rPr>
          <w:rFonts w:hint="eastAsia" w:ascii="宋体" w:hAnsi="宋体" w:cs="宋体"/>
          <w:bCs/>
          <w:color w:val="auto"/>
          <w:szCs w:val="21"/>
        </w:rPr>
        <w:t>附件2</w:t>
      </w:r>
    </w:p>
    <w:p>
      <w:pPr>
        <w:jc w:val="center"/>
        <w:rPr>
          <w:rFonts w:ascii="宋体" w:hAnsi="宋体" w:cs="宋体"/>
          <w:b/>
          <w:color w:val="auto"/>
          <w:szCs w:val="21"/>
        </w:rPr>
      </w:pPr>
      <w:r>
        <w:rPr>
          <w:rFonts w:hint="eastAsia" w:ascii="宋体" w:hAnsi="宋体" w:cs="宋体"/>
          <w:b/>
          <w:color w:val="auto"/>
          <w:szCs w:val="21"/>
        </w:rPr>
        <w:t>法定代表人授权委托书</w:t>
      </w:r>
    </w:p>
    <w:p>
      <w:pPr>
        <w:adjustRightInd w:val="0"/>
        <w:snapToGrid w:val="0"/>
        <w:spacing w:line="360" w:lineRule="auto"/>
        <w:jc w:val="center"/>
        <w:rPr>
          <w:rFonts w:ascii="宋体" w:hAnsi="宋体" w:cs="宋体"/>
          <w:b/>
          <w:color w:val="auto"/>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s="宋体"/>
          <w:color w:val="auto"/>
          <w:szCs w:val="21"/>
        </w:rPr>
        <w:t>供应商</w:t>
      </w:r>
      <w:r>
        <w:rPr>
          <w:rFonts w:hint="eastAsia" w:ascii="宋体" w:hAnsi="宋体" w:cs="宋体"/>
          <w:color w:val="auto"/>
          <w:kern w:val="0"/>
          <w:szCs w:val="21"/>
        </w:rPr>
        <w:t>名称）的法定代表人，现授权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（姓名、职务）为我方代理人。代理人根据授权，以我方名义：(1)签署、澄清、补正、修改、撤回、提交</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spacing w:line="360" w:lineRule="auto"/>
        <w:ind w:firstLine="435"/>
        <w:rPr>
          <w:rFonts w:ascii="宋体" w:hAnsi="宋体" w:cs="宋体"/>
          <w:color w:val="auto"/>
          <w:kern w:val="0"/>
          <w:szCs w:val="21"/>
        </w:rPr>
      </w:pPr>
      <w:r>
        <w:rPr>
          <w:rFonts w:hint="eastAsia" w:ascii="宋体" w:hAnsi="宋体" w:cs="宋体"/>
          <w:color w:val="auto"/>
          <w:kern w:val="0"/>
          <w:szCs w:val="21"/>
        </w:rPr>
        <w:t>代理人无转委托权。</w:t>
      </w:r>
    </w:p>
    <w:p>
      <w:pPr>
        <w:spacing w:line="360" w:lineRule="auto"/>
        <w:ind w:firstLine="435"/>
        <w:rPr>
          <w:rFonts w:ascii="宋体" w:hAnsi="宋体" w:cs="宋体"/>
          <w:color w:val="auto"/>
          <w:szCs w:val="21"/>
        </w:rPr>
      </w:pPr>
      <w:r>
        <w:rPr>
          <w:rFonts w:hint="eastAsia" w:ascii="宋体" w:hAnsi="宋体" w:cs="宋体"/>
          <w:color w:val="auto"/>
          <w:szCs w:val="21"/>
        </w:rPr>
        <w:t>本授权书于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日签字生效，特此声明。</w:t>
      </w:r>
    </w:p>
    <w:p>
      <w:pPr>
        <w:adjustRightInd w:val="0"/>
        <w:snapToGrid w:val="0"/>
        <w:spacing w:before="156" w:beforeLines="50" w:line="360" w:lineRule="auto"/>
        <w:ind w:firstLine="420" w:firstLineChars="200"/>
        <w:rPr>
          <w:rFonts w:ascii="宋体" w:hAnsi="宋体" w:cs="宋体"/>
          <w:color w:val="auto"/>
          <w:szCs w:val="21"/>
        </w:rPr>
      </w:pPr>
      <w:r>
        <w:rPr>
          <w:rFonts w:hint="eastAsia" w:ascii="宋体" w:hAnsi="宋体" w:cs="宋体"/>
          <w:color w:val="auto"/>
          <w:szCs w:val="21"/>
        </w:rPr>
        <w:t>附：委托代理人身份证复印件及法定代表人身份证明(附件1，原件)</w:t>
      </w: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法定代表人（签字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ind w:right="24"/>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spacing w:line="360" w:lineRule="exact"/>
        <w:rPr>
          <w:rFonts w:ascii="宋体" w:hAnsi="宋体" w:cs="宋体"/>
          <w:b/>
          <w:color w:val="auto"/>
          <w:szCs w:val="21"/>
        </w:rPr>
      </w:pPr>
      <w:r>
        <w:rPr>
          <w:rFonts w:hint="eastAsia" w:ascii="宋体" w:hAnsi="宋体" w:cs="宋体"/>
          <w:b/>
          <w:color w:val="auto"/>
          <w:szCs w:val="21"/>
        </w:rPr>
        <w:t>（注：此法定代表人授权委托书由投标单位法定代表人和委托代理人亲笔签署，并加盖单位公章，除响应文件中须提供外，还须另外准备一份，不装入响应文件，与项目的响应文件同时分别递交，否则，视为自动放弃磋商。如供应商单位委托代理人即为法定代表人，可不提供）</w:t>
      </w: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rPr>
          <w:rFonts w:ascii="宋体" w:hAnsi="宋体" w:cs="宋体"/>
          <w:bCs/>
          <w:color w:val="auto"/>
          <w:szCs w:val="21"/>
        </w:rPr>
      </w:pPr>
      <w:r>
        <w:rPr>
          <w:rFonts w:hint="eastAsia" w:ascii="宋体" w:hAnsi="宋体" w:cs="宋体"/>
          <w:bCs/>
          <w:color w:val="auto"/>
          <w:szCs w:val="21"/>
        </w:rPr>
        <w:br w:type="page"/>
      </w:r>
    </w:p>
    <w:p>
      <w:pPr>
        <w:adjustRightInd w:val="0"/>
        <w:snapToGrid w:val="0"/>
        <w:spacing w:before="156" w:beforeLines="50" w:line="360" w:lineRule="auto"/>
        <w:rPr>
          <w:rFonts w:ascii="宋体" w:hAnsi="宋体" w:cs="宋体"/>
          <w:bCs/>
          <w:color w:val="auto"/>
          <w:szCs w:val="21"/>
        </w:rPr>
      </w:pPr>
      <w:r>
        <w:rPr>
          <w:rFonts w:hint="eastAsia" w:ascii="宋体" w:hAnsi="宋体" w:cs="宋体"/>
          <w:bCs/>
          <w:color w:val="auto"/>
          <w:szCs w:val="21"/>
        </w:rPr>
        <w:t>附件3：</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资格证明材料承诺函</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我们，</w:t>
      </w:r>
      <w:r>
        <w:rPr>
          <w:rFonts w:hint="eastAsia" w:ascii="宋体" w:hAnsi="宋体" w:cs="宋体"/>
          <w:color w:val="auto"/>
          <w:szCs w:val="21"/>
          <w:u w:val="single"/>
        </w:rPr>
        <w:t xml:space="preserve">                 （</w:t>
      </w:r>
      <w:r>
        <w:rPr>
          <w:rFonts w:hint="eastAsia" w:ascii="宋体" w:hAnsi="宋体" w:cs="宋体"/>
          <w:color w:val="auto"/>
          <w:szCs w:val="21"/>
        </w:rPr>
        <w:t xml:space="preserve">供应商名称）已认真阅读《竞争性磋商邀请公告[ </w:t>
      </w:r>
      <w:r>
        <w:rPr>
          <w:rFonts w:hint="eastAsia" w:ascii="宋体" w:hAnsi="宋体" w:cs="宋体"/>
          <w:color w:val="auto"/>
          <w:szCs w:val="21"/>
          <w:u w:val="single"/>
        </w:rPr>
        <w:t xml:space="preserve">            </w:t>
      </w:r>
      <w:r>
        <w:rPr>
          <w:rFonts w:hint="eastAsia" w:ascii="宋体" w:hAnsi="宋体" w:cs="宋体"/>
          <w:color w:val="auto"/>
          <w:szCs w:val="21"/>
        </w:rPr>
        <w:t>（项目名称），委托代理编号：</w:t>
      </w:r>
      <w:r>
        <w:rPr>
          <w:rFonts w:hint="eastAsia" w:ascii="宋体" w:hAnsi="宋体" w:cs="宋体"/>
          <w:color w:val="auto"/>
          <w:szCs w:val="21"/>
          <w:u w:val="single"/>
        </w:rPr>
        <w:t xml:space="preserve">            </w:t>
      </w:r>
      <w:r>
        <w:rPr>
          <w:rFonts w:hint="eastAsia" w:ascii="宋体" w:hAnsi="宋体" w:cs="宋体"/>
          <w:color w:val="auto"/>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 xml:space="preserve">一、我方在此声明： </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（三）我方未为本项目前期准备提供技术或咨询服务。</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（二）我方在经营活动中没有存在下列重大违法记录：</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color w:val="auto"/>
          <w:szCs w:val="21"/>
        </w:rPr>
      </w:pP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法定代表人（签名</w:t>
      </w:r>
      <w:r>
        <w:rPr>
          <w:rFonts w:hint="eastAsia" w:ascii="宋体" w:hAnsi="宋体" w:cs="宋体"/>
          <w:color w:val="auto"/>
          <w:szCs w:val="21"/>
          <w:lang w:val="en-US" w:eastAsia="zh-CN"/>
        </w:rPr>
        <w:t>或盖章</w:t>
      </w:r>
      <w:r>
        <w:rPr>
          <w:rFonts w:hint="eastAsia" w:ascii="宋体" w:hAnsi="宋体" w:cs="宋体"/>
          <w:color w:val="auto"/>
          <w:szCs w:val="21"/>
        </w:rPr>
        <w:t xml:space="preserve">）：  </w:t>
      </w:r>
    </w:p>
    <w:p>
      <w:pPr>
        <w:adjustRightInd w:val="0"/>
        <w:snapToGrid w:val="0"/>
        <w:spacing w:line="560" w:lineRule="exact"/>
        <w:ind w:firstLine="5197" w:firstLineChars="2475"/>
        <w:rPr>
          <w:rFonts w:ascii="宋体" w:hAnsi="宋体" w:cs="宋体"/>
          <w:color w:val="auto"/>
          <w:szCs w:val="21"/>
        </w:rPr>
      </w:pPr>
      <w:r>
        <w:rPr>
          <w:rFonts w:hint="eastAsia" w:ascii="宋体" w:hAnsi="宋体" w:cs="宋体"/>
          <w:color w:val="auto"/>
          <w:szCs w:val="21"/>
        </w:rPr>
        <w:t>日    期：   年   月  日</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45"/>
        <w:rPr>
          <w:color w:val="auto"/>
        </w:rPr>
      </w:pPr>
    </w:p>
    <w:p>
      <w:pPr>
        <w:spacing w:line="360" w:lineRule="exact"/>
        <w:jc w:val="center"/>
        <w:rPr>
          <w:rFonts w:ascii="宋体" w:hAnsi="宋体" w:cs="宋体"/>
          <w:b/>
          <w:color w:val="auto"/>
          <w:szCs w:val="21"/>
        </w:rPr>
      </w:pPr>
    </w:p>
    <w:p>
      <w:pPr>
        <w:pStyle w:val="45"/>
        <w:rPr>
          <w:color w:val="auto"/>
        </w:rPr>
      </w:pPr>
    </w:p>
    <w:p>
      <w:pPr>
        <w:adjustRightInd w:val="0"/>
        <w:snapToGrid w:val="0"/>
        <w:spacing w:line="360" w:lineRule="auto"/>
        <w:jc w:val="center"/>
        <w:rPr>
          <w:rFonts w:ascii="宋体" w:hAnsi="宋体" w:cs="宋体"/>
          <w:b/>
          <w:bCs/>
          <w:color w:val="auto"/>
          <w:sz w:val="32"/>
          <w:szCs w:val="32"/>
        </w:rPr>
      </w:pPr>
      <w:r>
        <w:rPr>
          <w:rFonts w:hint="eastAsia" w:ascii="宋体" w:hAnsi="宋体" w:cs="宋体"/>
          <w:b/>
          <w:color w:val="auto"/>
          <w:sz w:val="32"/>
          <w:szCs w:val="32"/>
        </w:rPr>
        <w:t>二、供应商</w:t>
      </w:r>
      <w:r>
        <w:rPr>
          <w:rFonts w:hint="eastAsia" w:ascii="宋体" w:hAnsi="宋体" w:cs="宋体"/>
          <w:b/>
          <w:bCs/>
          <w:color w:val="auto"/>
          <w:sz w:val="32"/>
          <w:szCs w:val="32"/>
        </w:rPr>
        <w:t>的资格证明资料</w:t>
      </w:r>
    </w:p>
    <w:p>
      <w:pPr>
        <w:spacing w:line="480" w:lineRule="exact"/>
        <w:rPr>
          <w:rFonts w:ascii="宋体" w:hAnsi="宋体" w:cs="宋体"/>
          <w:b/>
          <w:bCs/>
          <w:color w:val="auto"/>
          <w:szCs w:val="21"/>
        </w:rPr>
      </w:pPr>
      <w:r>
        <w:rPr>
          <w:rFonts w:hint="eastAsia" w:ascii="宋体" w:hAnsi="宋体" w:cs="宋体"/>
          <w:b/>
          <w:bCs/>
          <w:color w:val="auto"/>
          <w:szCs w:val="21"/>
        </w:rPr>
        <w:t xml:space="preserve">附件4              </w:t>
      </w:r>
    </w:p>
    <w:p>
      <w:pPr>
        <w:spacing w:line="480" w:lineRule="exact"/>
        <w:jc w:val="center"/>
        <w:rPr>
          <w:rFonts w:ascii="宋体" w:hAnsi="宋体" w:cs="宋体"/>
          <w:color w:val="auto"/>
          <w:szCs w:val="21"/>
        </w:rPr>
      </w:pPr>
      <w:r>
        <w:rPr>
          <w:rFonts w:hint="eastAsia" w:ascii="宋体" w:hAnsi="宋体" w:cs="宋体"/>
          <w:b/>
          <w:bCs/>
          <w:color w:val="auto"/>
          <w:szCs w:val="21"/>
        </w:rPr>
        <w:t>供应商基本情况表</w:t>
      </w:r>
    </w:p>
    <w:tbl>
      <w:tblPr>
        <w:tblStyle w:val="46"/>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5"/>
        <w:gridCol w:w="573"/>
        <w:gridCol w:w="387"/>
        <w:gridCol w:w="1218"/>
        <w:gridCol w:w="906"/>
        <w:gridCol w:w="628"/>
        <w:gridCol w:w="314"/>
        <w:gridCol w:w="1154"/>
        <w:gridCol w:w="1415"/>
        <w:gridCol w:w="20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topLinePunct/>
              <w:spacing w:line="320" w:lineRule="exact"/>
              <w:jc w:val="center"/>
              <w:rPr>
                <w:rFonts w:ascii="宋体" w:hAnsi="宋体" w:cs="宋体"/>
                <w:color w:val="auto"/>
                <w:szCs w:val="21"/>
              </w:rPr>
            </w:pPr>
            <w:r>
              <w:rPr>
                <w:rFonts w:hint="eastAsia" w:ascii="宋体" w:hAnsi="宋体" w:cs="宋体"/>
                <w:color w:val="auto"/>
                <w:szCs w:val="21"/>
              </w:rPr>
              <w:t>供应商名称</w:t>
            </w:r>
          </w:p>
          <w:p>
            <w:pPr>
              <w:topLinePunct/>
              <w:spacing w:line="320" w:lineRule="exact"/>
              <w:jc w:val="center"/>
              <w:rPr>
                <w:rFonts w:ascii="宋体" w:hAnsi="宋体" w:cs="宋体"/>
                <w:color w:val="auto"/>
                <w:szCs w:val="21"/>
              </w:rPr>
            </w:pPr>
            <w:r>
              <w:rPr>
                <w:rFonts w:hint="eastAsia" w:ascii="宋体" w:hAnsi="宋体" w:cs="宋体"/>
                <w:color w:val="auto"/>
                <w:szCs w:val="21"/>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法定代表人</w:t>
            </w:r>
          </w:p>
        </w:tc>
        <w:tc>
          <w:tcPr>
            <w:tcW w:w="1083" w:type="pct"/>
            <w:tcBorders>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邮政编码</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电子邮箱</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员工总人数</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注册地址</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发证日期</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营业范围（主营）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营业范围（兼营）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基本账户开户行及账号</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税务登记机关</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等级</w:t>
            </w: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4287" w:type="pct"/>
            <w:gridSpan w:val="8"/>
            <w:tcBorders>
              <w:top w:val="single" w:color="auto" w:sz="6" w:space="0"/>
              <w:left w:val="single" w:color="auto" w:sz="6" w:space="0"/>
            </w:tcBorders>
            <w:vAlign w:val="center"/>
          </w:tcPr>
          <w:p>
            <w:pPr>
              <w:topLinePunct/>
              <w:spacing w:line="440" w:lineRule="exact"/>
              <w:rPr>
                <w:rFonts w:ascii="宋体" w:hAnsi="宋体" w:cs="宋体"/>
                <w:color w:val="auto"/>
                <w:szCs w:val="21"/>
              </w:rPr>
            </w:pPr>
            <w:r>
              <w:rPr>
                <w:rFonts w:hint="eastAsia" w:ascii="宋体" w:hAnsi="宋体" w:cs="宋体"/>
                <w:color w:val="auto"/>
                <w:szCs w:val="21"/>
              </w:rPr>
              <w:t>附《营业执照》（副本）复印件</w:t>
            </w:r>
          </w:p>
        </w:tc>
      </w:tr>
    </w:tbl>
    <w:p>
      <w:pPr>
        <w:spacing w:line="480" w:lineRule="exact"/>
        <w:rPr>
          <w:rFonts w:ascii="宋体" w:hAnsi="宋体" w:cs="宋体"/>
          <w:color w:val="auto"/>
          <w:szCs w:val="21"/>
        </w:rPr>
      </w:pPr>
    </w:p>
    <w:p>
      <w:pPr>
        <w:spacing w:line="480" w:lineRule="exact"/>
        <w:rPr>
          <w:rFonts w:ascii="宋体" w:hAnsi="宋体" w:cs="宋体"/>
          <w:b/>
          <w:bCs/>
          <w:color w:val="auto"/>
          <w:szCs w:val="21"/>
        </w:rPr>
      </w:pPr>
    </w:p>
    <w:p>
      <w:pPr>
        <w:spacing w:line="480" w:lineRule="exact"/>
        <w:rPr>
          <w:rFonts w:ascii="宋体" w:hAnsi="宋体" w:cs="宋体"/>
          <w:b/>
          <w:bCs/>
          <w:color w:val="auto"/>
          <w:szCs w:val="21"/>
          <w:highlight w:val="none"/>
        </w:rPr>
      </w:pPr>
      <w:r>
        <w:rPr>
          <w:rFonts w:hint="eastAsia" w:ascii="宋体" w:hAnsi="宋体" w:cs="宋体"/>
          <w:b/>
          <w:bCs/>
          <w:color w:val="auto"/>
          <w:szCs w:val="21"/>
        </w:rPr>
        <w:t xml:space="preserve">附件5    </w:t>
      </w:r>
      <w:r>
        <w:rPr>
          <w:rFonts w:hint="eastAsia" w:ascii="宋体" w:hAnsi="宋体" w:cs="宋体"/>
          <w:b/>
          <w:bCs/>
          <w:color w:val="auto"/>
          <w:szCs w:val="21"/>
          <w:highlight w:val="none"/>
        </w:rPr>
        <w:t xml:space="preserve">  磋商文件规定的基本资格条件证明资料</w:t>
      </w:r>
    </w:p>
    <w:p>
      <w:pPr>
        <w:spacing w:line="480" w:lineRule="exact"/>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投标人按招标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①非法人组织参与投标需提供证明材料。</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③资格证明文件复印件需加盖供应商公章。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1</w:t>
      </w:r>
      <w:r>
        <w:rPr>
          <w:rFonts w:hint="eastAsia" w:ascii="宋体" w:hAnsi="宋体" w:eastAsia="宋体" w:cs="宋体"/>
          <w:bCs/>
          <w:color w:val="auto"/>
          <w:szCs w:val="21"/>
          <w:lang w:eastAsia="zh-CN"/>
        </w:rPr>
        <w:t>月至202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3</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rPr>
          <w:rStyle w:val="49"/>
          <w:rFonts w:ascii="FZXBSK--GBK1-0" w:hAnsi="FZXBSK--GBK1-0"/>
          <w:b/>
          <w:color w:val="auto"/>
          <w:sz w:val="32"/>
          <w:szCs w:val="32"/>
        </w:rPr>
      </w:pPr>
      <w:r>
        <w:rPr>
          <w:rStyle w:val="49"/>
          <w:rFonts w:ascii="FZXBSK--GBK1-0" w:hAnsi="FZXBSK--GBK1-0"/>
          <w:b/>
          <w:color w:val="auto"/>
          <w:sz w:val="32"/>
          <w:szCs w:val="32"/>
        </w:rPr>
        <w:br w:type="page"/>
      </w:r>
    </w:p>
    <w:p>
      <w:pPr>
        <w:pStyle w:val="304"/>
        <w:jc w:val="center"/>
        <w:rPr>
          <w:rStyle w:val="49"/>
          <w:rFonts w:ascii="FZXBSK--GBK1-0" w:hAnsi="FZXBSK--GBK1-0"/>
          <w:b/>
          <w:color w:val="auto"/>
          <w:sz w:val="32"/>
          <w:szCs w:val="32"/>
        </w:rPr>
      </w:pPr>
      <w:r>
        <w:rPr>
          <w:rStyle w:val="49"/>
          <w:rFonts w:ascii="FZXBSK--GBK1-0" w:hAnsi="FZXBSK--GBK1-0"/>
          <w:b/>
          <w:color w:val="auto"/>
          <w:sz w:val="32"/>
          <w:szCs w:val="32"/>
        </w:rPr>
        <w:t>湖南省政府采购供应商资格承诺函</w:t>
      </w:r>
    </w:p>
    <w:p>
      <w:pPr>
        <w:pStyle w:val="304"/>
        <w:jc w:val="center"/>
        <w:rPr>
          <w:rStyle w:val="49"/>
          <w:rFonts w:ascii="FZXBSK--GBK1-0" w:hAnsi="FZXBSK--GBK1-0"/>
          <w:b/>
          <w:color w:val="auto"/>
          <w:sz w:val="32"/>
          <w:szCs w:val="32"/>
        </w:rPr>
      </w:pPr>
    </w:p>
    <w:p>
      <w:pPr>
        <w:pStyle w:val="304"/>
        <w:ind w:firstLine="560" w:firstLineChars="200"/>
        <w:jc w:val="left"/>
        <w:rPr>
          <w:rStyle w:val="49"/>
          <w:rFonts w:ascii="仿宋_GB2312" w:hAnsi="Times New Roman" w:eastAsia="仿宋_GB2312"/>
          <w:color w:val="auto"/>
          <w:sz w:val="28"/>
          <w:szCs w:val="28"/>
        </w:rPr>
      </w:pPr>
      <w:r>
        <w:rPr>
          <w:rStyle w:val="49"/>
          <w:rFonts w:ascii="仿宋_GB2312" w:hAnsi="Times New Roman" w:eastAsia="仿宋_GB2312"/>
          <w:color w:val="auto"/>
          <w:sz w:val="28"/>
          <w:szCs w:val="28"/>
        </w:rPr>
        <w:t>本</w:t>
      </w:r>
      <w:r>
        <w:rPr>
          <w:rStyle w:val="49"/>
          <w:rFonts w:hint="eastAsia" w:ascii="仿宋_GB2312" w:hAnsi="Times New Roman" w:eastAsia="仿宋_GB2312"/>
          <w:color w:val="auto"/>
          <w:sz w:val="28"/>
          <w:szCs w:val="28"/>
        </w:rPr>
        <w:t>公司（本单位）独立承担民事责任、具有良好的商业信誉和健全的财务会计制度、依法缴纳税收和社会保障资金,在前三年的经营活动中无重大违法记录,未列入严重失信行为名单,符合政府采购供应商的基本资格要求。</w:t>
      </w:r>
    </w:p>
    <w:p>
      <w:pPr>
        <w:pStyle w:val="304"/>
        <w:ind w:firstLine="560" w:firstLineChars="200"/>
        <w:jc w:val="left"/>
        <w:rPr>
          <w:rStyle w:val="49"/>
          <w:rFonts w:ascii="仿宋_GB2312" w:hAnsi="Times New Roman" w:eastAsia="仿宋_GB2312"/>
          <w:color w:val="auto"/>
          <w:sz w:val="28"/>
          <w:szCs w:val="28"/>
        </w:rPr>
      </w:pPr>
      <w:r>
        <w:rPr>
          <w:rStyle w:val="49"/>
          <w:rFonts w:hint="eastAsia" w:ascii="仿宋_GB2312" w:hAnsi="Times New Roman" w:eastAsia="仿宋_GB2312"/>
          <w:color w:val="auto"/>
          <w:sz w:val="28"/>
          <w:szCs w:val="28"/>
        </w:rPr>
        <w:t>按照《政府采购促进中小企业发展管理办法》(财库〔2020〕46号),本公司企业规模为: 大型□  中型□  小型□  微型□。（非公司性质单位无需勾选）</w:t>
      </w:r>
    </w:p>
    <w:p>
      <w:pPr>
        <w:pStyle w:val="304"/>
        <w:ind w:firstLine="560" w:firstLineChars="200"/>
        <w:jc w:val="right"/>
        <w:rPr>
          <w:rStyle w:val="49"/>
          <w:rFonts w:ascii="仿宋_GB2312" w:hAnsi="Times New Roman" w:eastAsia="仿宋_GB2312"/>
          <w:color w:val="auto"/>
          <w:sz w:val="28"/>
          <w:szCs w:val="28"/>
        </w:rPr>
      </w:pPr>
      <w:r>
        <w:rPr>
          <w:rStyle w:val="49"/>
          <w:rFonts w:ascii="仿宋_GB2312" w:hAnsi="Times New Roman" w:eastAsia="仿宋_GB2312"/>
          <w:color w:val="auto"/>
          <w:sz w:val="28"/>
          <w:szCs w:val="28"/>
        </w:rPr>
        <w:t>公司（单位）名称</w:t>
      </w:r>
      <w:r>
        <w:rPr>
          <w:rStyle w:val="49"/>
          <w:rFonts w:hint="eastAsia" w:ascii="仿宋_GB2312" w:hAnsi="Times New Roman" w:eastAsia="仿宋_GB2312"/>
          <w:color w:val="auto"/>
          <w:sz w:val="28"/>
          <w:szCs w:val="28"/>
        </w:rPr>
        <w:t>：</w:t>
      </w:r>
      <w:r>
        <w:rPr>
          <w:rStyle w:val="49"/>
          <w:rFonts w:ascii="仿宋_GB2312" w:hAnsi="Times New Roman" w:eastAsia="仿宋_GB2312"/>
          <w:color w:val="auto"/>
          <w:sz w:val="28"/>
          <w:szCs w:val="28"/>
        </w:rPr>
        <w:t>（盖章）</w:t>
      </w:r>
    </w:p>
    <w:p>
      <w:pPr>
        <w:pStyle w:val="304"/>
        <w:adjustRightInd w:val="0"/>
        <w:snapToGrid w:val="0"/>
        <w:spacing w:line="360" w:lineRule="auto"/>
        <w:jc w:val="right"/>
        <w:rPr>
          <w:rStyle w:val="49"/>
          <w:rFonts w:ascii="黑体" w:hAnsi="宋体" w:eastAsia="黑体"/>
          <w:b/>
          <w:bCs/>
          <w:color w:val="auto"/>
          <w:sz w:val="28"/>
          <w:szCs w:val="28"/>
        </w:rPr>
      </w:pPr>
      <w:r>
        <w:rPr>
          <w:rStyle w:val="49"/>
          <w:rFonts w:ascii="仿宋_GB2312" w:hAnsi="Times New Roman" w:eastAsia="仿宋_GB2312"/>
          <w:color w:val="auto"/>
          <w:sz w:val="28"/>
          <w:szCs w:val="28"/>
        </w:rPr>
        <w:t xml:space="preserve">年 </w:t>
      </w:r>
      <w:r>
        <w:rPr>
          <w:rStyle w:val="49"/>
          <w:rFonts w:hint="eastAsia" w:ascii="仿宋_GB2312" w:hAnsi="Times New Roman" w:eastAsia="仿宋_GB2312"/>
          <w:color w:val="auto"/>
          <w:sz w:val="28"/>
          <w:szCs w:val="28"/>
        </w:rPr>
        <w:t xml:space="preserve">  </w:t>
      </w:r>
      <w:r>
        <w:rPr>
          <w:rStyle w:val="49"/>
          <w:rFonts w:ascii="仿宋_GB2312" w:hAnsi="Times New Roman" w:eastAsia="仿宋_GB2312"/>
          <w:color w:val="auto"/>
          <w:sz w:val="28"/>
          <w:szCs w:val="28"/>
        </w:rPr>
        <w:t xml:space="preserve">月 </w:t>
      </w:r>
      <w:r>
        <w:rPr>
          <w:rStyle w:val="49"/>
          <w:rFonts w:hint="eastAsia" w:ascii="仿宋_GB2312" w:hAnsi="Times New Roman" w:eastAsia="仿宋_GB2312"/>
          <w:color w:val="auto"/>
          <w:sz w:val="28"/>
          <w:szCs w:val="28"/>
        </w:rPr>
        <w:t xml:space="preserve">  </w:t>
      </w:r>
      <w:r>
        <w:rPr>
          <w:rStyle w:val="49"/>
          <w:rFonts w:ascii="仿宋_GB2312" w:hAnsi="Times New Roman" w:eastAsia="仿宋_GB2312"/>
          <w:color w:val="auto"/>
          <w:sz w:val="28"/>
          <w:szCs w:val="28"/>
        </w:rPr>
        <w:t>日</w:t>
      </w:r>
    </w:p>
    <w:p>
      <w:pPr>
        <w:spacing w:line="480" w:lineRule="exact"/>
        <w:rPr>
          <w:rFonts w:ascii="宋体" w:hAnsi="宋体" w:cs="宋体"/>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jc w:val="center"/>
        <w:rPr>
          <w:rFonts w:ascii="宋体" w:hAnsi="宋体" w:cs="宋体"/>
          <w:b/>
          <w:color w:val="auto"/>
          <w:szCs w:val="21"/>
        </w:rPr>
      </w:pPr>
    </w:p>
    <w:p>
      <w:pPr>
        <w:rPr>
          <w:rFonts w:ascii="宋体" w:hAnsi="宋体" w:cs="宋体"/>
          <w:color w:val="auto"/>
          <w:szCs w:val="21"/>
        </w:rPr>
      </w:pPr>
    </w:p>
    <w:p>
      <w:pPr>
        <w:spacing w:line="480" w:lineRule="exact"/>
        <w:rPr>
          <w:rFonts w:ascii="宋体" w:hAnsi="宋体" w:cs="宋体"/>
          <w:color w:val="auto"/>
          <w:szCs w:val="21"/>
        </w:rPr>
      </w:pPr>
    </w:p>
    <w:p>
      <w:pPr>
        <w:adjustRightInd w:val="0"/>
        <w:snapToGrid w:val="0"/>
        <w:spacing w:line="360" w:lineRule="auto"/>
        <w:rPr>
          <w:rFonts w:ascii="宋体" w:hAnsi="宋体" w:cs="宋体"/>
          <w:bCs/>
          <w:color w:val="auto"/>
          <w:szCs w:val="21"/>
        </w:rPr>
      </w:pPr>
    </w:p>
    <w:p>
      <w:pPr>
        <w:rPr>
          <w:rFonts w:ascii="宋体" w:hAnsi="宋体" w:cs="宋体"/>
          <w:b/>
          <w:color w:val="auto"/>
          <w:szCs w:val="21"/>
        </w:rPr>
      </w:pPr>
      <w:r>
        <w:rPr>
          <w:rFonts w:hint="eastAsia" w:ascii="宋体" w:hAnsi="宋体" w:cs="宋体"/>
          <w:b/>
          <w:color w:val="auto"/>
          <w:szCs w:val="21"/>
        </w:rPr>
        <w:t>附件</w:t>
      </w:r>
      <w:r>
        <w:rPr>
          <w:rFonts w:hint="eastAsia" w:ascii="宋体" w:hAnsi="宋体" w:cs="宋体"/>
          <w:b/>
          <w:color w:val="auto"/>
          <w:szCs w:val="21"/>
          <w:lang w:val="en-US" w:eastAsia="zh-CN"/>
        </w:rPr>
        <w:t>6</w:t>
      </w:r>
      <w:r>
        <w:rPr>
          <w:rFonts w:hint="eastAsia" w:ascii="宋体" w:hAnsi="宋体" w:cs="宋体"/>
          <w:b/>
          <w:color w:val="auto"/>
          <w:szCs w:val="21"/>
        </w:rPr>
        <w:t xml:space="preserve">           </w:t>
      </w:r>
    </w:p>
    <w:p>
      <w:pPr>
        <w:adjustRightInd w:val="0"/>
        <w:snapToGrid w:val="0"/>
        <w:spacing w:line="360" w:lineRule="auto"/>
        <w:jc w:val="center"/>
        <w:rPr>
          <w:rFonts w:ascii="宋体" w:hAnsi="宋体" w:cs="宋体"/>
          <w:b/>
          <w:color w:val="auto"/>
          <w:szCs w:val="21"/>
        </w:rPr>
      </w:pPr>
      <w:r>
        <w:rPr>
          <w:rFonts w:hint="eastAsia" w:ascii="宋体" w:hAnsi="宋体" w:cs="宋体"/>
          <w:b/>
          <w:color w:val="auto"/>
          <w:szCs w:val="21"/>
        </w:rPr>
        <w:t>其他证明资料或说明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提供磋商文件或评分标准需要提供的相关证明文件复印件</w:t>
      </w: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4"/>
        <w:rPr>
          <w:rFonts w:ascii="宋体" w:hAnsi="宋体" w:eastAsia="宋体" w:cs="宋体"/>
          <w:color w:val="auto"/>
          <w:sz w:val="21"/>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4"/>
        <w:rPr>
          <w:rFonts w:ascii="宋体" w:hAnsi="宋体" w:eastAsia="宋体" w:cs="宋体"/>
          <w:b/>
          <w:color w:val="auto"/>
          <w:sz w:val="21"/>
          <w:szCs w:val="21"/>
        </w:rPr>
      </w:pPr>
    </w:p>
    <w:p>
      <w:pPr>
        <w:pStyle w:val="64"/>
        <w:rPr>
          <w:rFonts w:ascii="宋体" w:hAnsi="宋体" w:eastAsia="宋体" w:cs="宋体"/>
          <w:b/>
          <w:color w:val="auto"/>
          <w:sz w:val="21"/>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三、服务方案说明</w:t>
      </w:r>
    </w:p>
    <w:p>
      <w:pPr>
        <w:rPr>
          <w:rFonts w:hint="eastAsia" w:ascii="宋体" w:hAnsi="宋体" w:cs="宋体"/>
          <w:b/>
          <w:color w:val="auto"/>
          <w:szCs w:val="21"/>
        </w:rPr>
      </w:pPr>
      <w:r>
        <w:rPr>
          <w:rFonts w:hint="eastAsia" w:ascii="宋体" w:hAnsi="宋体" w:cs="宋体"/>
          <w:b/>
          <w:color w:val="auto"/>
          <w:szCs w:val="21"/>
        </w:rPr>
        <w:t>附件</w:t>
      </w:r>
      <w:r>
        <w:rPr>
          <w:rFonts w:hint="eastAsia" w:ascii="宋体" w:hAnsi="宋体" w:cs="宋体"/>
          <w:b/>
          <w:color w:val="auto"/>
          <w:szCs w:val="21"/>
          <w:lang w:val="en-US" w:eastAsia="zh-CN"/>
        </w:rPr>
        <w:t>7-1</w:t>
      </w:r>
      <w:r>
        <w:rPr>
          <w:rFonts w:hint="eastAsia" w:ascii="宋体" w:hAnsi="宋体" w:cs="宋体"/>
          <w:b/>
          <w:color w:val="auto"/>
          <w:szCs w:val="21"/>
        </w:rPr>
        <w:t xml:space="preserve"> 服务方案说明</w:t>
      </w:r>
    </w:p>
    <w:p>
      <w:pPr>
        <w:pStyle w:val="45"/>
        <w:spacing w:after="0" w:line="360" w:lineRule="auto"/>
        <w:rPr>
          <w:rFonts w:ascii="宋体" w:hAnsi="宋体" w:cs="宋体"/>
          <w:color w:val="auto"/>
          <w:szCs w:val="21"/>
        </w:rPr>
      </w:pP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供应商应根据第四章规定和本项目评标标准要求编写项目服务方案。服务方案应包括：（1）整体服务方案；(2)机械设备管理方案；(</w:t>
      </w:r>
      <w:r>
        <w:rPr>
          <w:rFonts w:hint="eastAsia" w:ascii="宋体" w:hAnsi="宋体" w:cs="宋体"/>
          <w:bCs/>
          <w:color w:val="auto"/>
          <w:szCs w:val="21"/>
          <w:lang w:val="en-US" w:eastAsia="zh-CN"/>
        </w:rPr>
        <w:t>3</w:t>
      </w:r>
      <w:r>
        <w:rPr>
          <w:rFonts w:hint="eastAsia" w:ascii="宋体" w:hAnsi="宋体" w:cs="宋体"/>
          <w:bCs/>
          <w:color w:val="auto"/>
          <w:szCs w:val="21"/>
        </w:rPr>
        <w:t>)应急方案。</w:t>
      </w:r>
    </w:p>
    <w:p>
      <w:pPr>
        <w:pStyle w:val="64"/>
        <w:spacing w:line="360" w:lineRule="auto"/>
        <w:rPr>
          <w:rFonts w:ascii="宋体" w:hAnsi="宋体" w:eastAsia="宋体" w:cs="宋体"/>
          <w:bCs/>
          <w:color w:val="auto"/>
          <w:sz w:val="21"/>
          <w:szCs w:val="21"/>
        </w:rPr>
      </w:pPr>
    </w:p>
    <w:p>
      <w:pPr>
        <w:pStyle w:val="64"/>
        <w:spacing w:line="360" w:lineRule="auto"/>
        <w:rPr>
          <w:rFonts w:ascii="宋体" w:hAnsi="宋体" w:eastAsia="宋体" w:cs="宋体"/>
          <w:bCs/>
          <w:color w:val="auto"/>
          <w:sz w:val="21"/>
          <w:szCs w:val="21"/>
        </w:rPr>
      </w:pPr>
    </w:p>
    <w:p>
      <w:pPr>
        <w:pStyle w:val="64"/>
        <w:spacing w:line="360" w:lineRule="auto"/>
        <w:rPr>
          <w:rFonts w:ascii="宋体" w:hAnsi="宋体" w:eastAsia="宋体" w:cs="宋体"/>
          <w:bCs/>
          <w:color w:val="auto"/>
          <w:sz w:val="21"/>
          <w:szCs w:val="21"/>
        </w:rPr>
      </w:pPr>
    </w:p>
    <w:p>
      <w:pPr>
        <w:pStyle w:val="64"/>
        <w:spacing w:line="360" w:lineRule="auto"/>
        <w:rPr>
          <w:rFonts w:ascii="宋体" w:hAnsi="宋体" w:eastAsia="宋体" w:cs="宋体"/>
          <w:bCs/>
          <w:color w:val="auto"/>
          <w:sz w:val="21"/>
          <w:szCs w:val="21"/>
        </w:rPr>
      </w:pPr>
    </w:p>
    <w:p>
      <w:pPr>
        <w:pStyle w:val="64"/>
        <w:spacing w:line="360" w:lineRule="auto"/>
        <w:rPr>
          <w:rFonts w:ascii="宋体" w:hAnsi="宋体" w:eastAsia="宋体" w:cs="宋体"/>
          <w:bCs/>
          <w:color w:val="auto"/>
          <w:sz w:val="21"/>
          <w:szCs w:val="21"/>
        </w:rPr>
      </w:pP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rPr>
          <w:rFonts w:ascii="宋体" w:hAnsi="宋体" w:cs="宋体"/>
          <w:color w:val="auto"/>
          <w:szCs w:val="21"/>
        </w:rPr>
      </w:pPr>
      <w:r>
        <w:rPr>
          <w:rFonts w:hint="eastAsia" w:ascii="宋体" w:hAnsi="宋体" w:cs="宋体"/>
          <w:color w:val="auto"/>
          <w:szCs w:val="21"/>
        </w:rPr>
        <w:br w:type="page"/>
      </w:r>
    </w:p>
    <w:p>
      <w:pPr>
        <w:adjustRightInd w:val="0"/>
        <w:snapToGrid w:val="0"/>
        <w:rPr>
          <w:rFonts w:ascii="宋体" w:hAnsi="宋体" w:cs="宋体"/>
          <w:color w:val="auto"/>
          <w:szCs w:val="21"/>
        </w:rPr>
      </w:pPr>
    </w:p>
    <w:p>
      <w:pPr>
        <w:adjustRightInd w:val="0"/>
        <w:snapToGrid w:val="0"/>
        <w:rPr>
          <w:rFonts w:ascii="宋体" w:hAnsi="宋体" w:cs="宋体"/>
          <w:b/>
          <w:bCs/>
          <w:color w:val="auto"/>
          <w:szCs w:val="21"/>
        </w:rPr>
      </w:pPr>
      <w:r>
        <w:rPr>
          <w:rFonts w:hint="eastAsia" w:ascii="宋体" w:hAnsi="宋体" w:cs="宋体"/>
          <w:b/>
          <w:bCs/>
          <w:color w:val="auto"/>
          <w:szCs w:val="21"/>
        </w:rPr>
        <w:t>附件</w:t>
      </w:r>
      <w:r>
        <w:rPr>
          <w:rFonts w:hint="eastAsia" w:ascii="宋体" w:hAnsi="宋体" w:cs="宋体"/>
          <w:b/>
          <w:bCs/>
          <w:color w:val="auto"/>
          <w:szCs w:val="21"/>
          <w:lang w:val="en-US" w:eastAsia="zh-CN"/>
        </w:rPr>
        <w:t>7</w:t>
      </w:r>
      <w:r>
        <w:rPr>
          <w:rFonts w:hint="eastAsia" w:ascii="宋体" w:hAnsi="宋体" w:cs="宋体"/>
          <w:b/>
          <w:bCs/>
          <w:color w:val="auto"/>
          <w:szCs w:val="21"/>
        </w:rPr>
        <w:t>-</w:t>
      </w:r>
      <w:r>
        <w:rPr>
          <w:rFonts w:hint="eastAsia" w:ascii="宋体" w:hAnsi="宋体" w:cs="宋体"/>
          <w:b/>
          <w:bCs/>
          <w:color w:val="auto"/>
          <w:szCs w:val="21"/>
          <w:lang w:val="en-US" w:eastAsia="zh-CN"/>
        </w:rPr>
        <w:t>2</w:t>
      </w:r>
      <w:r>
        <w:rPr>
          <w:rFonts w:hint="eastAsia" w:ascii="宋体" w:hAnsi="宋体" w:cs="宋体"/>
          <w:b/>
          <w:bCs/>
          <w:color w:val="auto"/>
          <w:szCs w:val="21"/>
        </w:rPr>
        <w:t>：</w:t>
      </w:r>
    </w:p>
    <w:p>
      <w:pPr>
        <w:spacing w:line="360" w:lineRule="atLeast"/>
        <w:jc w:val="center"/>
        <w:rPr>
          <w:rFonts w:ascii="宋体" w:hAnsi="宋体" w:cs="宋体"/>
          <w:b/>
          <w:bCs/>
          <w:color w:val="auto"/>
          <w:sz w:val="28"/>
          <w:szCs w:val="28"/>
        </w:rPr>
      </w:pPr>
      <w:r>
        <w:rPr>
          <w:rFonts w:hint="eastAsia" w:ascii="宋体" w:hAnsi="宋体" w:cs="宋体"/>
          <w:b/>
          <w:bCs/>
          <w:color w:val="auto"/>
          <w:sz w:val="28"/>
          <w:szCs w:val="28"/>
        </w:rPr>
        <w:t>主要人员简历表</w:t>
      </w:r>
    </w:p>
    <w:tbl>
      <w:tblPr>
        <w:tblStyle w:val="46"/>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0"/>
        <w:gridCol w:w="853"/>
        <w:gridCol w:w="2727"/>
        <w:gridCol w:w="436"/>
        <w:gridCol w:w="1550"/>
        <w:gridCol w:w="598"/>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姓   名</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性  别</w:t>
            </w:r>
          </w:p>
        </w:tc>
        <w:tc>
          <w:tcPr>
            <w:tcW w:w="977" w:type="pct"/>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职   务</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职  称</w:t>
            </w:r>
          </w:p>
        </w:tc>
        <w:tc>
          <w:tcPr>
            <w:tcW w:w="977" w:type="pct"/>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毕业学校、专业</w:t>
            </w:r>
          </w:p>
        </w:tc>
        <w:tc>
          <w:tcPr>
            <w:tcW w:w="3805" w:type="pct"/>
            <w:gridSpan w:val="5"/>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身份证号</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拟在本合同任职</w:t>
            </w:r>
          </w:p>
        </w:tc>
        <w:tc>
          <w:tcPr>
            <w:tcW w:w="977" w:type="pct"/>
            <w:vAlign w:val="center"/>
          </w:tcPr>
          <w:p>
            <w:pPr>
              <w:spacing w:line="360" w:lineRule="atLeast"/>
              <w:ind w:right="-105" w:right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执业资格证</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执业资格证书号</w:t>
            </w:r>
          </w:p>
        </w:tc>
        <w:tc>
          <w:tcPr>
            <w:tcW w:w="977" w:type="pct"/>
            <w:vAlign w:val="center"/>
          </w:tcPr>
          <w:p>
            <w:pP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5000" w:type="pct"/>
            <w:gridSpan w:val="7"/>
            <w:vAlign w:val="center"/>
          </w:tcPr>
          <w:p>
            <w:pPr>
              <w:spacing w:line="360" w:lineRule="atLeast"/>
              <w:rPr>
                <w:rFonts w:ascii="宋体" w:hAnsi="宋体" w:cs="宋体"/>
                <w:color w:val="auto"/>
                <w:szCs w:val="21"/>
              </w:rPr>
            </w:pPr>
            <w:r>
              <w:rPr>
                <w:rFonts w:hint="eastAsia" w:ascii="宋体" w:hAnsi="宋体" w:cs="宋体"/>
                <w:color w:val="auto"/>
                <w:szCs w:val="21"/>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r>
              <w:rPr>
                <w:rFonts w:hint="eastAsia" w:ascii="宋体" w:hAnsi="宋体" w:cs="宋体"/>
                <w:color w:val="auto"/>
                <w:szCs w:val="21"/>
              </w:rPr>
              <w:t>时间</w:t>
            </w:r>
          </w:p>
        </w:tc>
        <w:tc>
          <w:tcPr>
            <w:tcW w:w="2137"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类似项目名称</w:t>
            </w:r>
          </w:p>
        </w:tc>
        <w:tc>
          <w:tcPr>
            <w:tcW w:w="825" w:type="pct"/>
            <w:vAlign w:val="center"/>
          </w:tcPr>
          <w:p>
            <w:pPr>
              <w:spacing w:line="360" w:lineRule="atLeast"/>
              <w:jc w:val="center"/>
              <w:rPr>
                <w:rFonts w:ascii="宋体" w:hAnsi="宋体" w:cs="宋体"/>
                <w:color w:val="auto"/>
                <w:szCs w:val="21"/>
              </w:rPr>
            </w:pPr>
            <w:r>
              <w:rPr>
                <w:rFonts w:hint="eastAsia" w:ascii="宋体" w:hAnsi="宋体" w:cs="宋体"/>
                <w:color w:val="auto"/>
                <w:szCs w:val="21"/>
              </w:rPr>
              <w:t>担任职务</w:t>
            </w:r>
          </w:p>
        </w:tc>
        <w:tc>
          <w:tcPr>
            <w:tcW w:w="1296"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bl>
    <w:p>
      <w:pPr>
        <w:spacing w:line="360" w:lineRule="atLeast"/>
        <w:rPr>
          <w:rFonts w:ascii="宋体" w:hAnsi="宋体" w:cs="宋体"/>
          <w:color w:val="auto"/>
          <w:szCs w:val="21"/>
        </w:rPr>
      </w:pPr>
      <w:r>
        <w:rPr>
          <w:rFonts w:hint="eastAsia" w:ascii="宋体" w:hAnsi="宋体" w:cs="宋体"/>
          <w:color w:val="auto"/>
          <w:szCs w:val="21"/>
        </w:rPr>
        <w:t>说明：主要人员证书、类似项目证明资料等按第四章要求提供。</w:t>
      </w:r>
    </w:p>
    <w:p>
      <w:pPr>
        <w:adjustRightInd w:val="0"/>
        <w:snapToGrid w:val="0"/>
        <w:spacing w:line="360" w:lineRule="auto"/>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供应商名称（盖单位章）：</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spacing w:line="360" w:lineRule="exact"/>
        <w:rPr>
          <w:rFonts w:ascii="宋体" w:hAnsi="宋体" w:cs="宋体"/>
          <w:color w:val="auto"/>
          <w:szCs w:val="21"/>
        </w:rPr>
      </w:pPr>
      <w:r>
        <w:rPr>
          <w:rFonts w:hint="eastAsia" w:ascii="宋体" w:hAnsi="宋体" w:cs="宋体"/>
          <w:color w:val="auto"/>
          <w:szCs w:val="21"/>
        </w:rPr>
        <w:t xml:space="preserve">日期：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pStyle w:val="64"/>
        <w:rPr>
          <w:rFonts w:ascii="宋体" w:hAnsi="宋体" w:eastAsia="宋体" w:cs="宋体"/>
          <w:color w:val="auto"/>
          <w:sz w:val="21"/>
          <w:szCs w:val="21"/>
        </w:rPr>
      </w:pPr>
    </w:p>
    <w:p>
      <w:pPr>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jc w:val="center"/>
        <w:rPr>
          <w:rFonts w:ascii="宋体" w:hAnsi="宋体" w:cs="宋体"/>
          <w:color w:val="auto"/>
          <w:szCs w:val="21"/>
          <w:u w:val="single"/>
        </w:rPr>
      </w:pPr>
      <w:r>
        <w:rPr>
          <w:rFonts w:hint="eastAsia" w:ascii="宋体" w:hAnsi="宋体" w:cs="宋体"/>
          <w:b/>
          <w:color w:val="auto"/>
          <w:sz w:val="32"/>
          <w:szCs w:val="32"/>
        </w:rPr>
        <w:t>四、技术/商务响应与偏离表</w:t>
      </w:r>
    </w:p>
    <w:tbl>
      <w:tblPr>
        <w:tblStyle w:val="46"/>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52"/>
        <w:gridCol w:w="1735"/>
        <w:gridCol w:w="2005"/>
        <w:gridCol w:w="2678"/>
        <w:gridCol w:w="125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53" w:type="pct"/>
            <w:vAlign w:val="center"/>
          </w:tcPr>
          <w:p>
            <w:pPr>
              <w:adjustRightInd w:val="0"/>
              <w:snapToGrid w:val="0"/>
              <w:ind w:left="-88" w:leftChars="-42"/>
              <w:jc w:val="center"/>
              <w:rPr>
                <w:rFonts w:ascii="宋体" w:hAnsi="宋体" w:cs="宋体"/>
                <w:bCs/>
                <w:color w:val="auto"/>
                <w:szCs w:val="21"/>
              </w:rPr>
            </w:pPr>
            <w:r>
              <w:rPr>
                <w:rFonts w:hint="eastAsia" w:ascii="宋体" w:hAnsi="宋体" w:cs="宋体"/>
                <w:bCs/>
                <w:color w:val="auto"/>
                <w:szCs w:val="21"/>
              </w:rPr>
              <w:t>序号</w:t>
            </w:r>
          </w:p>
        </w:tc>
        <w:tc>
          <w:tcPr>
            <w:tcW w:w="93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磋商文件条目号</w:t>
            </w:r>
          </w:p>
        </w:tc>
        <w:tc>
          <w:tcPr>
            <w:tcW w:w="1085"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采购规格/商务条款</w:t>
            </w:r>
          </w:p>
        </w:tc>
        <w:tc>
          <w:tcPr>
            <w:tcW w:w="144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响应文件的规格/商务条款</w:t>
            </w:r>
          </w:p>
        </w:tc>
        <w:tc>
          <w:tcPr>
            <w:tcW w:w="676"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响应与偏离</w:t>
            </w:r>
          </w:p>
        </w:tc>
        <w:tc>
          <w:tcPr>
            <w:tcW w:w="494"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bl>
    <w:p>
      <w:pPr>
        <w:adjustRightInd w:val="0"/>
        <w:snapToGrid w:val="0"/>
        <w:spacing w:line="360" w:lineRule="auto"/>
        <w:ind w:left="-88" w:leftChars="-42"/>
        <w:rPr>
          <w:rFonts w:ascii="宋体" w:hAnsi="宋体" w:cs="宋体"/>
          <w:color w:val="auto"/>
          <w:szCs w:val="21"/>
        </w:rPr>
      </w:pPr>
      <w:r>
        <w:rPr>
          <w:rFonts w:hint="eastAsia" w:ascii="宋体" w:hAnsi="宋体" w:cs="宋体"/>
          <w:color w:val="auto"/>
          <w:szCs w:val="21"/>
        </w:rPr>
        <w:t>说明：1、“响应与偏离”应注明“响应”或“偏离”。</w:t>
      </w:r>
    </w:p>
    <w:p>
      <w:pPr>
        <w:adjustRightInd w:val="0"/>
        <w:snapToGrid w:val="0"/>
        <w:spacing w:line="360" w:lineRule="auto"/>
        <w:rPr>
          <w:rFonts w:ascii="宋体" w:hAnsi="宋体" w:cs="宋体"/>
          <w:color w:val="auto"/>
          <w:szCs w:val="21"/>
        </w:rPr>
      </w:pPr>
      <w:r>
        <w:rPr>
          <w:rFonts w:hint="eastAsia" w:ascii="宋体" w:hAnsi="宋体" w:cs="宋体"/>
          <w:b/>
          <w:color w:val="auto"/>
          <w:szCs w:val="21"/>
        </w:rPr>
        <w:t xml:space="preserve">     </w:t>
      </w:r>
      <w:r>
        <w:rPr>
          <w:rFonts w:hint="eastAsia" w:ascii="宋体" w:hAnsi="宋体" w:cs="宋体"/>
          <w:color w:val="auto"/>
          <w:szCs w:val="21"/>
        </w:rPr>
        <w:t>2、属磋商文件规定可能变动的内容在“说明”栏中注明。</w:t>
      </w:r>
    </w:p>
    <w:p>
      <w:pPr>
        <w:adjustRightInd w:val="0"/>
        <w:snapToGrid w:val="0"/>
        <w:spacing w:line="360" w:lineRule="auto"/>
        <w:outlineLvl w:val="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供应商名称（盖单位章）：</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 xml:space="preserve">日          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adjustRightInd w:val="0"/>
        <w:snapToGrid w:val="0"/>
        <w:spacing w:line="360" w:lineRule="auto"/>
        <w:rPr>
          <w:rFonts w:ascii="宋体" w:hAnsi="宋体" w:cs="宋体"/>
          <w:color w:val="auto"/>
          <w:szCs w:val="21"/>
        </w:rPr>
      </w:pPr>
    </w:p>
    <w:p>
      <w:pPr>
        <w:tabs>
          <w:tab w:val="left" w:pos="3600"/>
        </w:tabs>
        <w:adjustRightInd w:val="0"/>
        <w:snapToGrid w:val="0"/>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pStyle w:val="64"/>
        <w:rPr>
          <w:rFonts w:ascii="宋体" w:hAnsi="宋体" w:eastAsia="宋体" w:cs="宋体"/>
          <w:color w:val="auto"/>
          <w:sz w:val="21"/>
          <w:szCs w:val="21"/>
        </w:rPr>
      </w:pPr>
    </w:p>
    <w:p>
      <w:pPr>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jc w:val="center"/>
        <w:rPr>
          <w:rFonts w:ascii="宋体" w:hAnsi="宋体" w:cs="宋体"/>
          <w:b/>
          <w:color w:val="auto"/>
          <w:sz w:val="32"/>
          <w:szCs w:val="32"/>
        </w:rPr>
      </w:pPr>
      <w:r>
        <w:rPr>
          <w:rFonts w:hint="eastAsia" w:ascii="宋体" w:hAnsi="宋体" w:cs="宋体"/>
          <w:b/>
          <w:color w:val="auto"/>
          <w:sz w:val="32"/>
          <w:szCs w:val="32"/>
        </w:rPr>
        <w:t>五、报价一览表</w:t>
      </w:r>
    </w:p>
    <w:p>
      <w:pPr>
        <w:tabs>
          <w:tab w:val="left" w:pos="1680"/>
        </w:tabs>
        <w:adjustRightInd w:val="0"/>
        <w:snapToGrid w:val="0"/>
        <w:rPr>
          <w:rFonts w:ascii="宋体" w:hAnsi="宋体" w:cs="宋体"/>
          <w:b/>
          <w:bCs/>
          <w:color w:val="auto"/>
          <w:szCs w:val="21"/>
        </w:rPr>
      </w:pPr>
      <w:r>
        <w:rPr>
          <w:rFonts w:hint="eastAsia" w:ascii="宋体" w:hAnsi="宋体" w:cs="宋体"/>
          <w:b/>
          <w:bCs/>
          <w:color w:val="auto"/>
          <w:szCs w:val="21"/>
        </w:rPr>
        <w:t>附件</w:t>
      </w:r>
      <w:r>
        <w:rPr>
          <w:rFonts w:hint="eastAsia" w:ascii="宋体" w:hAnsi="宋体" w:cs="宋体"/>
          <w:b/>
          <w:bCs/>
          <w:color w:val="auto"/>
          <w:szCs w:val="21"/>
          <w:lang w:val="en-US" w:eastAsia="zh-CN"/>
        </w:rPr>
        <w:t>8</w:t>
      </w:r>
      <w:r>
        <w:rPr>
          <w:rFonts w:hint="eastAsia" w:ascii="宋体" w:hAnsi="宋体" w:cs="宋体"/>
          <w:b/>
          <w:bCs/>
          <w:color w:val="auto"/>
          <w:szCs w:val="21"/>
        </w:rPr>
        <w:tab/>
      </w:r>
    </w:p>
    <w:p>
      <w:pPr>
        <w:adjustRightInd w:val="0"/>
        <w:snapToGrid w:val="0"/>
        <w:jc w:val="center"/>
        <w:rPr>
          <w:rFonts w:ascii="宋体" w:hAnsi="宋体" w:cs="宋体"/>
          <w:b/>
          <w:bCs/>
          <w:color w:val="auto"/>
          <w:szCs w:val="21"/>
        </w:rPr>
      </w:pPr>
    </w:p>
    <w:p>
      <w:pPr>
        <w:adjustRightInd w:val="0"/>
        <w:snapToGrid w:val="0"/>
        <w:jc w:val="center"/>
        <w:rPr>
          <w:rFonts w:ascii="宋体" w:hAnsi="宋体" w:cs="宋体"/>
          <w:b/>
          <w:bCs/>
          <w:color w:val="auto"/>
          <w:sz w:val="28"/>
          <w:szCs w:val="28"/>
        </w:rPr>
      </w:pPr>
      <w:r>
        <w:rPr>
          <w:rFonts w:hint="eastAsia" w:ascii="宋体" w:hAnsi="宋体" w:cs="宋体"/>
          <w:b/>
          <w:bCs/>
          <w:color w:val="auto"/>
          <w:sz w:val="28"/>
          <w:szCs w:val="28"/>
        </w:rPr>
        <w:t>报价一览表（服务类适用）</w:t>
      </w:r>
    </w:p>
    <w:tbl>
      <w:tblPr>
        <w:tblStyle w:val="4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3637"/>
        <w:gridCol w:w="31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79"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项目</w:t>
            </w:r>
            <w:r>
              <w:rPr>
                <w:rFonts w:hint="eastAsia" w:ascii="宋体" w:hAnsi="宋体"/>
                <w:color w:val="auto"/>
                <w:szCs w:val="21"/>
              </w:rPr>
              <w:t>名称</w:t>
            </w:r>
          </w:p>
        </w:tc>
        <w:tc>
          <w:tcPr>
            <w:tcW w:w="3620" w:type="pct"/>
            <w:gridSpan w:val="2"/>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379" w:type="pct"/>
            <w:vMerge w:val="restart"/>
            <w:tcBorders>
              <w:tl2br w:val="nil"/>
              <w:tr2bl w:val="nil"/>
            </w:tcBorders>
            <w:vAlign w:val="center"/>
          </w:tcPr>
          <w:p>
            <w:pPr>
              <w:ind w:right="23" w:rightChars="11"/>
              <w:jc w:val="center"/>
              <w:rPr>
                <w:rFonts w:hint="default" w:ascii="宋体" w:hAnsi="宋体" w:eastAsia="宋体"/>
                <w:color w:val="auto"/>
                <w:szCs w:val="21"/>
                <w:lang w:val="en-US" w:eastAsia="zh-CN"/>
              </w:rPr>
            </w:pPr>
            <w:r>
              <w:rPr>
                <w:rFonts w:hint="eastAsia" w:ascii="宋体" w:hAnsi="宋体" w:eastAsia="宋体" w:cs="宋体"/>
                <w:color w:val="auto"/>
                <w:szCs w:val="21"/>
                <w:lang w:val="en-US" w:eastAsia="zh-CN"/>
              </w:rPr>
              <w:t>消纳场机械设备租赁</w:t>
            </w:r>
            <w:r>
              <w:rPr>
                <w:rFonts w:hint="eastAsia" w:ascii="宋体" w:hAnsi="宋体" w:cs="宋体"/>
                <w:color w:val="auto"/>
                <w:szCs w:val="21"/>
                <w:lang w:val="en-US" w:eastAsia="zh-CN"/>
              </w:rPr>
              <w:t>单价（</w:t>
            </w:r>
            <w:r>
              <w:rPr>
                <w:rFonts w:hint="eastAsia" w:ascii="宋体" w:hAnsi="宋体" w:eastAsia="宋体" w:cs="宋体"/>
                <w:color w:val="auto"/>
                <w:szCs w:val="21"/>
                <w:lang w:val="en-US" w:eastAsia="zh-CN"/>
              </w:rPr>
              <w:t>元/台班</w:t>
            </w:r>
            <w:r>
              <w:rPr>
                <w:rFonts w:hint="eastAsia" w:ascii="宋体" w:hAnsi="宋体" w:cs="宋体"/>
                <w:color w:val="auto"/>
                <w:szCs w:val="21"/>
                <w:lang w:val="en-US" w:eastAsia="zh-CN"/>
              </w:rPr>
              <w:t>）</w:t>
            </w:r>
          </w:p>
        </w:tc>
        <w:tc>
          <w:tcPr>
            <w:tcW w:w="1934" w:type="pct"/>
            <w:tcBorders>
              <w:tl2br w:val="nil"/>
              <w:tr2bl w:val="nil"/>
            </w:tcBorders>
            <w:vAlign w:val="center"/>
          </w:tcPr>
          <w:p>
            <w:pPr>
              <w:ind w:right="23" w:rightChars="11"/>
              <w:jc w:val="center"/>
              <w:rPr>
                <w:rFonts w:ascii="宋体" w:hAnsi="宋体"/>
                <w:color w:val="auto"/>
                <w:szCs w:val="21"/>
              </w:rPr>
            </w:pPr>
            <w:r>
              <w:rPr>
                <w:rFonts w:hint="eastAsia" w:ascii="宋体" w:hAnsi="宋体" w:eastAsia="宋体" w:cs="宋体"/>
                <w:color w:val="auto"/>
                <w:szCs w:val="21"/>
                <w:lang w:val="en-US" w:eastAsia="zh-CN"/>
              </w:rPr>
              <w:t>挖掘机(斗容量1立方米及以上)</w:t>
            </w:r>
          </w:p>
        </w:tc>
        <w:tc>
          <w:tcPr>
            <w:tcW w:w="1686" w:type="pct"/>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379" w:type="pct"/>
            <w:vMerge w:val="continue"/>
            <w:tcBorders>
              <w:tl2br w:val="nil"/>
              <w:tr2bl w:val="nil"/>
            </w:tcBorders>
            <w:vAlign w:val="center"/>
          </w:tcPr>
          <w:p>
            <w:pPr>
              <w:ind w:right="23" w:rightChars="11"/>
              <w:jc w:val="center"/>
              <w:rPr>
                <w:rFonts w:hint="eastAsia" w:ascii="宋体" w:hAnsi="宋体" w:eastAsia="宋体" w:cs="宋体"/>
                <w:color w:val="auto"/>
                <w:szCs w:val="21"/>
                <w:lang w:val="en-US" w:eastAsia="zh-CN"/>
              </w:rPr>
            </w:pPr>
          </w:p>
        </w:tc>
        <w:tc>
          <w:tcPr>
            <w:tcW w:w="1934" w:type="pct"/>
            <w:tcBorders>
              <w:tl2br w:val="nil"/>
              <w:tr2bl w:val="nil"/>
            </w:tcBorders>
            <w:vAlign w:val="center"/>
          </w:tcPr>
          <w:p>
            <w:pPr>
              <w:ind w:right="23" w:rightChars="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推土机(D85)</w:t>
            </w:r>
          </w:p>
        </w:tc>
        <w:tc>
          <w:tcPr>
            <w:tcW w:w="1686" w:type="pct"/>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379" w:type="pct"/>
            <w:vMerge w:val="continue"/>
            <w:tcBorders>
              <w:tl2br w:val="nil"/>
              <w:tr2bl w:val="nil"/>
            </w:tcBorders>
            <w:vAlign w:val="center"/>
          </w:tcPr>
          <w:p>
            <w:pPr>
              <w:ind w:right="23" w:rightChars="11"/>
              <w:jc w:val="center"/>
              <w:rPr>
                <w:rFonts w:hint="eastAsia" w:ascii="宋体" w:hAnsi="宋体" w:eastAsia="宋体" w:cs="宋体"/>
                <w:color w:val="auto"/>
                <w:szCs w:val="21"/>
                <w:lang w:val="en-US" w:eastAsia="zh-CN"/>
              </w:rPr>
            </w:pPr>
          </w:p>
        </w:tc>
        <w:tc>
          <w:tcPr>
            <w:tcW w:w="1934" w:type="pct"/>
            <w:tcBorders>
              <w:tl2br w:val="nil"/>
              <w:tr2bl w:val="nil"/>
            </w:tcBorders>
            <w:vAlign w:val="center"/>
          </w:tcPr>
          <w:p>
            <w:pPr>
              <w:ind w:right="23" w:rightChars="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推土机(山推160)</w:t>
            </w:r>
          </w:p>
        </w:tc>
        <w:tc>
          <w:tcPr>
            <w:tcW w:w="1686" w:type="pct"/>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379" w:type="pct"/>
            <w:vMerge w:val="continue"/>
            <w:tcBorders>
              <w:tl2br w:val="nil"/>
              <w:tr2bl w:val="nil"/>
            </w:tcBorders>
            <w:vAlign w:val="center"/>
          </w:tcPr>
          <w:p>
            <w:pPr>
              <w:ind w:right="23" w:rightChars="11"/>
              <w:jc w:val="center"/>
              <w:rPr>
                <w:rFonts w:hint="eastAsia" w:ascii="宋体" w:hAnsi="宋体" w:eastAsia="宋体" w:cs="宋体"/>
                <w:color w:val="auto"/>
                <w:szCs w:val="21"/>
                <w:lang w:val="en-US" w:eastAsia="zh-CN"/>
              </w:rPr>
            </w:pPr>
          </w:p>
        </w:tc>
        <w:tc>
          <w:tcPr>
            <w:tcW w:w="1934" w:type="pct"/>
            <w:tcBorders>
              <w:tl2br w:val="nil"/>
              <w:tr2bl w:val="nil"/>
            </w:tcBorders>
            <w:vAlign w:val="center"/>
          </w:tcPr>
          <w:p>
            <w:pPr>
              <w:ind w:right="23" w:rightChars="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洒水车(10m3)</w:t>
            </w:r>
          </w:p>
        </w:tc>
        <w:tc>
          <w:tcPr>
            <w:tcW w:w="1686" w:type="pct"/>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137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eastAsia="宋体" w:cs="宋体"/>
                <w:color w:val="auto"/>
                <w:szCs w:val="21"/>
                <w:lang w:val="en-US" w:eastAsia="zh-CN"/>
              </w:rPr>
              <w:t>洗车工劳务外包服务单价</w:t>
            </w:r>
            <w:r>
              <w:rPr>
                <w:rFonts w:hint="eastAsia" w:ascii="宋体" w:hAnsi="宋体" w:cs="宋体"/>
                <w:color w:val="auto"/>
                <w:szCs w:val="21"/>
                <w:lang w:val="en-US" w:eastAsia="zh-CN"/>
              </w:rPr>
              <w:t>（</w:t>
            </w:r>
            <w:r>
              <w:rPr>
                <w:rFonts w:hint="eastAsia" w:ascii="宋体" w:hAnsi="宋体" w:eastAsia="宋体" w:cs="宋体"/>
                <w:color w:val="auto"/>
                <w:szCs w:val="21"/>
                <w:lang w:val="en-US" w:eastAsia="zh-CN"/>
              </w:rPr>
              <w:t>元/工日</w:t>
            </w:r>
            <w:r>
              <w:rPr>
                <w:rFonts w:hint="eastAsia" w:ascii="宋体" w:hAnsi="宋体" w:cs="宋体"/>
                <w:color w:val="auto"/>
                <w:szCs w:val="21"/>
                <w:lang w:val="en-US" w:eastAsia="zh-CN"/>
              </w:rPr>
              <w:t>）（夜间工作）</w:t>
            </w:r>
          </w:p>
        </w:tc>
        <w:tc>
          <w:tcPr>
            <w:tcW w:w="362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23" w:rightChars="11"/>
              <w:jc w:val="both"/>
              <w:textAlignment w:val="auto"/>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1379" w:type="pct"/>
            <w:tcBorders>
              <w:tl2br w:val="nil"/>
              <w:tr2bl w:val="nil"/>
            </w:tcBorders>
            <w:vAlign w:val="center"/>
          </w:tcPr>
          <w:p>
            <w:pPr>
              <w:ind w:right="23" w:rightChars="11"/>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总价</w:t>
            </w:r>
          </w:p>
        </w:tc>
        <w:tc>
          <w:tcPr>
            <w:tcW w:w="3620" w:type="pct"/>
            <w:gridSpan w:val="2"/>
            <w:tcBorders>
              <w:tl2br w:val="nil"/>
              <w:tr2bl w:val="nil"/>
            </w:tcBorders>
            <w:vAlign w:val="center"/>
          </w:tcPr>
          <w:p>
            <w:pPr>
              <w:ind w:right="23" w:rightChars="11"/>
              <w:jc w:val="both"/>
              <w:rPr>
                <w:rFonts w:hint="default" w:ascii="宋体" w:hAnsi="宋体" w:eastAsia="宋体" w:cs="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1379" w:type="pct"/>
            <w:tcBorders>
              <w:tl2br w:val="nil"/>
              <w:tr2bl w:val="nil"/>
            </w:tcBorders>
            <w:vAlign w:val="center"/>
          </w:tcPr>
          <w:p>
            <w:pPr>
              <w:ind w:right="23" w:rightChars="11"/>
              <w:jc w:val="center"/>
              <w:rPr>
                <w:rFonts w:hint="default" w:ascii="宋体" w:hAnsi="宋体"/>
                <w:color w:val="auto"/>
                <w:szCs w:val="21"/>
                <w:lang w:val="en-US" w:eastAsia="zh-CN"/>
              </w:rPr>
            </w:pPr>
            <w:r>
              <w:rPr>
                <w:rFonts w:hint="eastAsia" w:ascii="宋体" w:hAnsi="宋体"/>
                <w:color w:val="auto"/>
                <w:szCs w:val="21"/>
                <w:lang w:val="en-US" w:eastAsia="zh-CN"/>
              </w:rPr>
              <w:t>项目负责人</w:t>
            </w:r>
          </w:p>
        </w:tc>
        <w:tc>
          <w:tcPr>
            <w:tcW w:w="3620" w:type="pct"/>
            <w:gridSpan w:val="2"/>
            <w:tcBorders>
              <w:tl2br w:val="nil"/>
              <w:tr2bl w:val="nil"/>
            </w:tcBorders>
            <w:vAlign w:val="center"/>
          </w:tcPr>
          <w:p>
            <w:pPr>
              <w:ind w:right="23" w:rightChars="11"/>
              <w:jc w:val="both"/>
              <w:rPr>
                <w:rFonts w:hint="eastAsia" w:ascii="宋体" w:hAnsi="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1379" w:type="pct"/>
            <w:tcBorders>
              <w:tl2br w:val="nil"/>
              <w:tr2bl w:val="nil"/>
            </w:tcBorders>
            <w:vAlign w:val="center"/>
          </w:tcPr>
          <w:p>
            <w:pPr>
              <w:ind w:right="23" w:rightChars="11"/>
              <w:jc w:val="center"/>
              <w:rPr>
                <w:rFonts w:hint="eastAsia" w:ascii="宋体" w:hAnsi="宋体" w:eastAsia="宋体"/>
                <w:color w:val="auto"/>
                <w:szCs w:val="21"/>
                <w:lang w:val="en-US" w:eastAsia="zh-CN"/>
              </w:rPr>
            </w:pPr>
            <w:r>
              <w:rPr>
                <w:rFonts w:hint="eastAsia" w:ascii="宋体" w:hAnsi="宋体"/>
                <w:color w:val="auto"/>
                <w:szCs w:val="21"/>
                <w:lang w:val="en-US" w:eastAsia="zh-CN"/>
              </w:rPr>
              <w:t>备注</w:t>
            </w:r>
          </w:p>
        </w:tc>
        <w:tc>
          <w:tcPr>
            <w:tcW w:w="3620" w:type="pct"/>
            <w:gridSpan w:val="2"/>
            <w:tcBorders>
              <w:tl2br w:val="nil"/>
              <w:tr2bl w:val="nil"/>
            </w:tcBorders>
            <w:vAlign w:val="center"/>
          </w:tcPr>
          <w:p>
            <w:pPr>
              <w:rPr>
                <w:rFonts w:hint="default"/>
                <w:color w:val="auto"/>
                <w:lang w:val="en-US" w:eastAsia="zh-CN"/>
              </w:rPr>
            </w:pPr>
            <w:r>
              <w:rPr>
                <w:rFonts w:hint="eastAsia" w:ascii="宋体" w:hAnsi="宋体" w:eastAsia="宋体" w:cs="宋体"/>
                <w:color w:val="auto"/>
                <w:szCs w:val="21"/>
                <w:lang w:val="en-US" w:eastAsia="zh-CN"/>
              </w:rPr>
              <w:t>本项目各投标单价、投标总价均不能超过</w:t>
            </w:r>
            <w:r>
              <w:rPr>
                <w:rFonts w:hint="eastAsia" w:ascii="宋体" w:hAnsi="宋体" w:cs="宋体"/>
                <w:color w:val="auto"/>
                <w:szCs w:val="21"/>
                <w:lang w:val="en-US" w:eastAsia="zh-CN"/>
              </w:rPr>
              <w:t>上限单价和最高限价</w:t>
            </w:r>
            <w:r>
              <w:rPr>
                <w:rFonts w:hint="eastAsia" w:ascii="宋体" w:hAnsi="宋体" w:eastAsia="宋体" w:cs="宋体"/>
                <w:color w:val="auto"/>
                <w:szCs w:val="21"/>
                <w:lang w:val="en-US" w:eastAsia="zh-CN"/>
              </w:rPr>
              <w:t>，否则视为无效投标</w:t>
            </w:r>
            <w:r>
              <w:rPr>
                <w:rFonts w:hint="eastAsia" w:ascii="宋体" w:hAnsi="宋体" w:cs="宋体"/>
                <w:color w:val="auto"/>
                <w:szCs w:val="21"/>
                <w:lang w:val="en-US" w:eastAsia="zh-CN"/>
              </w:rPr>
              <w:t>。</w:t>
            </w:r>
          </w:p>
        </w:tc>
      </w:tr>
    </w:tbl>
    <w:p>
      <w:pPr>
        <w:adjustRightInd w:val="0"/>
        <w:snapToGrid w:val="0"/>
        <w:spacing w:line="360" w:lineRule="auto"/>
        <w:ind w:left="-88" w:leftChars="-42"/>
        <w:rPr>
          <w:rFonts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lang w:eastAsia="zh-CN"/>
        </w:rPr>
        <w:t>（</w:t>
      </w:r>
      <w:r>
        <w:rPr>
          <w:rFonts w:hint="eastAsia" w:ascii="宋体" w:hAnsi="宋体" w:cs="宋体"/>
          <w:color w:val="auto"/>
          <w:szCs w:val="21"/>
        </w:rPr>
        <w:t>签字</w:t>
      </w:r>
      <w:r>
        <w:rPr>
          <w:rFonts w:hint="eastAsia" w:ascii="宋体" w:hAnsi="宋体" w:cs="宋体"/>
          <w:color w:val="auto"/>
          <w:szCs w:val="21"/>
          <w:lang w:val="en-US" w:eastAsia="zh-CN"/>
        </w:rPr>
        <w:t>或盖章</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sectPr>
          <w:footerReference r:id="rId8" w:type="default"/>
          <w:pgSz w:w="11906" w:h="16838"/>
          <w:pgMar w:top="1361" w:right="1361" w:bottom="1361" w:left="1361" w:header="851" w:footer="992" w:gutter="0"/>
          <w:cols w:space="720" w:num="1"/>
          <w:docGrid w:type="linesAndChars" w:linePitch="312" w:charSpace="0"/>
        </w:sect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64"/>
        <w:rPr>
          <w:rFonts w:ascii="宋体" w:hAnsi="宋体" w:eastAsia="宋体" w:cs="宋体"/>
          <w:color w:val="auto"/>
          <w:sz w:val="21"/>
          <w:szCs w:val="21"/>
        </w:rPr>
      </w:pPr>
    </w:p>
    <w:p>
      <w:pPr>
        <w:tabs>
          <w:tab w:val="center" w:pos="4893"/>
          <w:tab w:val="left" w:pos="8541"/>
        </w:tabs>
        <w:adjustRightInd w:val="0"/>
        <w:snapToGrid w:val="0"/>
        <w:spacing w:line="360" w:lineRule="auto"/>
        <w:ind w:left="-88" w:leftChars="-42"/>
        <w:jc w:val="left"/>
        <w:rPr>
          <w:rFonts w:ascii="宋体" w:hAnsi="宋体" w:cs="宋体"/>
          <w:color w:val="auto"/>
          <w:sz w:val="32"/>
          <w:szCs w:val="32"/>
        </w:rPr>
      </w:pPr>
      <w:r>
        <w:rPr>
          <w:rFonts w:hint="eastAsia" w:ascii="宋体" w:hAnsi="宋体" w:cs="宋体"/>
          <w:b/>
          <w:color w:val="auto"/>
          <w:sz w:val="32"/>
          <w:szCs w:val="32"/>
        </w:rPr>
        <w:tab/>
      </w:r>
      <w:r>
        <w:rPr>
          <w:rFonts w:hint="eastAsia" w:ascii="宋体" w:hAnsi="宋体" w:cs="宋体"/>
          <w:b/>
          <w:color w:val="auto"/>
          <w:sz w:val="32"/>
          <w:szCs w:val="32"/>
        </w:rPr>
        <w:t>七</w:t>
      </w:r>
      <w:r>
        <w:rPr>
          <w:rFonts w:hint="eastAsia" w:ascii="宋体" w:hAnsi="宋体" w:cs="宋体"/>
          <w:b/>
          <w:bCs/>
          <w:color w:val="auto"/>
          <w:sz w:val="32"/>
          <w:szCs w:val="32"/>
        </w:rPr>
        <w:t>、供应商认为需要提供的其它资料</w:t>
      </w:r>
      <w:r>
        <w:rPr>
          <w:rFonts w:hint="eastAsia" w:ascii="宋体" w:hAnsi="宋体" w:cs="宋体"/>
          <w:b/>
          <w:bCs/>
          <w:color w:val="auto"/>
          <w:sz w:val="32"/>
          <w:szCs w:val="32"/>
        </w:rPr>
        <w:tab/>
      </w: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pStyle w:val="64"/>
        <w:rPr>
          <w:rFonts w:ascii="宋体" w:hAnsi="宋体" w:eastAsia="宋体" w:cs="宋体"/>
          <w:color w:val="auto"/>
          <w:sz w:val="21"/>
          <w:szCs w:val="21"/>
        </w:rPr>
      </w:pPr>
    </w:p>
    <w:p>
      <w:pPr>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before="120" w:beforeLines="50" w:line="360" w:lineRule="auto"/>
        <w:jc w:val="center"/>
        <w:outlineLvl w:val="0"/>
        <w:rPr>
          <w:rFonts w:ascii="宋体" w:hAnsi="宋体" w:cs="宋体"/>
          <w:b/>
          <w:color w:val="auto"/>
          <w:sz w:val="32"/>
          <w:szCs w:val="32"/>
        </w:rPr>
      </w:pPr>
      <w:r>
        <w:rPr>
          <w:rFonts w:hint="eastAsia" w:ascii="宋体" w:hAnsi="宋体" w:cs="宋体"/>
          <w:b/>
          <w:color w:val="auto"/>
          <w:sz w:val="32"/>
          <w:szCs w:val="32"/>
        </w:rPr>
        <w:t>八、最后报价</w:t>
      </w:r>
    </w:p>
    <w:p>
      <w:pPr>
        <w:adjustRightInd w:val="0"/>
        <w:snapToGrid w:val="0"/>
        <w:ind w:left="-88" w:leftChars="-42"/>
        <w:rPr>
          <w:rFonts w:ascii="宋体" w:hAnsi="宋体" w:cs="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说明：</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1、最后报价不需要与响应文件一起提交，磋商时按磋商小组的要求提供。</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2、</w:t>
      </w:r>
      <w:r>
        <w:rPr>
          <w:rFonts w:hint="eastAsia" w:ascii="宋体" w:hAnsi="宋体"/>
          <w:b/>
          <w:bCs/>
          <w:color w:val="auto"/>
          <w:szCs w:val="21"/>
        </w:rPr>
        <w:t>最后报价格式应按本章“附件9、报价一览表”中格式和内容提供两份</w:t>
      </w:r>
      <w:r>
        <w:rPr>
          <w:rFonts w:hint="eastAsia" w:ascii="宋体" w:hAnsi="宋体"/>
          <w:color w:val="auto"/>
          <w:szCs w:val="21"/>
        </w:rPr>
        <w:t>。否则，响应文件将被拒绝。</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3、最后报价应在规定时间内提交，如果未提交，视同前一次报价为最后报价；除非有实质性变更，供应商的最后报价不得高于</w:t>
      </w:r>
      <w:r>
        <w:rPr>
          <w:rFonts w:hint="eastAsia" w:ascii="宋体" w:hAnsi="宋体"/>
          <w:b/>
          <w:color w:val="auto"/>
          <w:szCs w:val="21"/>
        </w:rPr>
        <w:t>前面报价和最高限价</w:t>
      </w:r>
      <w:r>
        <w:rPr>
          <w:rFonts w:hint="eastAsia" w:ascii="宋体" w:hAnsi="宋体"/>
          <w:color w:val="auto"/>
          <w:szCs w:val="21"/>
        </w:rPr>
        <w:t>，否则，在磋商时将其视为无效响应文件。</w:t>
      </w:r>
    </w:p>
    <w:p>
      <w:pPr>
        <w:adjustRightInd w:val="0"/>
        <w:snapToGrid w:val="0"/>
        <w:spacing w:line="360" w:lineRule="auto"/>
        <w:rPr>
          <w:rFonts w:ascii="宋体" w:hAnsi="宋体" w:cs="宋体"/>
          <w:b/>
          <w:color w:val="auto"/>
          <w:sz w:val="32"/>
          <w:szCs w:val="32"/>
        </w:rPr>
      </w:pPr>
    </w:p>
    <w:sectPr>
      <w:footerReference r:id="rId9" w:type="default"/>
      <w:pgSz w:w="11906" w:h="16838"/>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FZXBSK--GBK1-0">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cs="宋体"/>
        <w:bCs/>
        <w:sz w:val="21"/>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right"/>
      <w:rPr>
        <w:rFonts w:hint="eastAsia"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8A79A"/>
    <w:multiLevelType w:val="singleLevel"/>
    <w:tmpl w:val="8F98A79A"/>
    <w:lvl w:ilvl="0" w:tentative="0">
      <w:start w:val="4"/>
      <w:numFmt w:val="chineseCounting"/>
      <w:suff w:val="nothing"/>
      <w:lvlText w:val="（%1）"/>
      <w:lvlJc w:val="left"/>
      <w:rPr>
        <w:rFonts w:hint="eastAsia"/>
      </w:rPr>
    </w:lvl>
  </w:abstractNum>
  <w:abstractNum w:abstractNumId="1">
    <w:nsid w:val="D32DF442"/>
    <w:multiLevelType w:val="singleLevel"/>
    <w:tmpl w:val="D32DF442"/>
    <w:lvl w:ilvl="0" w:tentative="0">
      <w:start w:val="1"/>
      <w:numFmt w:val="chineseCounting"/>
      <w:suff w:val="nothing"/>
      <w:lvlText w:val="%1、"/>
      <w:lvlJc w:val="left"/>
      <w:rPr>
        <w:rFonts w:hint="eastAsia"/>
      </w:rPr>
    </w:lvl>
  </w:abstractNum>
  <w:abstractNum w:abstractNumId="2">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CEFC568"/>
    <w:multiLevelType w:val="singleLevel"/>
    <w:tmpl w:val="3CEFC568"/>
    <w:lvl w:ilvl="0" w:tentative="0">
      <w:start w:val="1"/>
      <w:numFmt w:val="chineseCounting"/>
      <w:suff w:val="space"/>
      <w:lvlText w:val="第%1章"/>
      <w:lvlJc w:val="left"/>
      <w:pPr>
        <w:ind w:left="3780"/>
      </w:pPr>
      <w:rPr>
        <w:rFonts w:hint="eastAsia"/>
      </w:rPr>
    </w:lvl>
  </w:abstractNum>
  <w:abstractNum w:abstractNumId="4">
    <w:nsid w:val="55E3EEFE"/>
    <w:multiLevelType w:val="singleLevel"/>
    <w:tmpl w:val="55E3EEFE"/>
    <w:lvl w:ilvl="0" w:tentative="0">
      <w:start w:val="1"/>
      <w:numFmt w:val="chineseCounting"/>
      <w:suff w:val="nothing"/>
      <w:lvlText w:val="%1、"/>
      <w:lvlJc w:val="left"/>
      <w:rPr>
        <w:rFonts w:hint="eastAsia"/>
      </w:rPr>
    </w:lvl>
  </w:abstractNum>
  <w:abstractNum w:abstractNumId="5">
    <w:nsid w:val="564C79ED"/>
    <w:multiLevelType w:val="singleLevel"/>
    <w:tmpl w:val="564C79ED"/>
    <w:lvl w:ilvl="0" w:tentative="0">
      <w:start w:val="1"/>
      <w:numFmt w:val="chineseCounting"/>
      <w:suff w:val="nothing"/>
      <w:lvlText w:val="%1、"/>
      <w:lvlJc w:val="left"/>
      <w:rPr>
        <w:rFonts w:hint="eastAsia"/>
      </w:rPr>
    </w:lvl>
  </w:abstractNum>
  <w:abstractNum w:abstractNumId="6">
    <w:nsid w:val="7E5F5059"/>
    <w:multiLevelType w:val="singleLevel"/>
    <w:tmpl w:val="7E5F5059"/>
    <w:lvl w:ilvl="0" w:tentative="0">
      <w:start w:val="1"/>
      <w:numFmt w:val="chineseCounting"/>
      <w:suff w:val="nothing"/>
      <w:lvlText w:val="%1、"/>
      <w:lvlJc w:val="left"/>
      <w:rPr>
        <w:rFonts w:hint="eastAsia"/>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RjMTZjMmQxODRjODViYjZlMDc2ODgxNDgwMDAifQ=="/>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1A6C4F"/>
    <w:rsid w:val="021D2EE3"/>
    <w:rsid w:val="0222570D"/>
    <w:rsid w:val="0223618E"/>
    <w:rsid w:val="02323801"/>
    <w:rsid w:val="02434CF7"/>
    <w:rsid w:val="02B66554"/>
    <w:rsid w:val="03011F7B"/>
    <w:rsid w:val="03E65BF4"/>
    <w:rsid w:val="04123A07"/>
    <w:rsid w:val="043B4C5B"/>
    <w:rsid w:val="04D72BD5"/>
    <w:rsid w:val="053012A5"/>
    <w:rsid w:val="05356D11"/>
    <w:rsid w:val="05456756"/>
    <w:rsid w:val="05834B0B"/>
    <w:rsid w:val="059E1945"/>
    <w:rsid w:val="05C00253"/>
    <w:rsid w:val="06224324"/>
    <w:rsid w:val="06304C93"/>
    <w:rsid w:val="063E2A4E"/>
    <w:rsid w:val="06406F87"/>
    <w:rsid w:val="06677F89"/>
    <w:rsid w:val="0671785A"/>
    <w:rsid w:val="069223FA"/>
    <w:rsid w:val="06924E58"/>
    <w:rsid w:val="06F74371"/>
    <w:rsid w:val="07073453"/>
    <w:rsid w:val="070F06C1"/>
    <w:rsid w:val="070F4CB4"/>
    <w:rsid w:val="07400C9D"/>
    <w:rsid w:val="07633B1F"/>
    <w:rsid w:val="07814A8A"/>
    <w:rsid w:val="07A31495"/>
    <w:rsid w:val="07AA2823"/>
    <w:rsid w:val="07DC2068"/>
    <w:rsid w:val="07DF49B9"/>
    <w:rsid w:val="07E6254E"/>
    <w:rsid w:val="08027ECC"/>
    <w:rsid w:val="08204893"/>
    <w:rsid w:val="08215844"/>
    <w:rsid w:val="0837618C"/>
    <w:rsid w:val="089B03BE"/>
    <w:rsid w:val="089D7C92"/>
    <w:rsid w:val="08D0058E"/>
    <w:rsid w:val="08D36AB3"/>
    <w:rsid w:val="092208D6"/>
    <w:rsid w:val="092918E7"/>
    <w:rsid w:val="094814F1"/>
    <w:rsid w:val="09630085"/>
    <w:rsid w:val="09A82D92"/>
    <w:rsid w:val="09DA7CC8"/>
    <w:rsid w:val="0A2A37A7"/>
    <w:rsid w:val="0A3D4E0D"/>
    <w:rsid w:val="0A473469"/>
    <w:rsid w:val="0A4F3BD3"/>
    <w:rsid w:val="0B277301"/>
    <w:rsid w:val="0B6F0C4C"/>
    <w:rsid w:val="0B925135"/>
    <w:rsid w:val="0BB51797"/>
    <w:rsid w:val="0BF30382"/>
    <w:rsid w:val="0C0A07BD"/>
    <w:rsid w:val="0C367CBC"/>
    <w:rsid w:val="0CAF0AA7"/>
    <w:rsid w:val="0CC1756D"/>
    <w:rsid w:val="0D081A83"/>
    <w:rsid w:val="0D4C1C87"/>
    <w:rsid w:val="0D8F5085"/>
    <w:rsid w:val="0DD24882"/>
    <w:rsid w:val="0DED3B24"/>
    <w:rsid w:val="0E5539BD"/>
    <w:rsid w:val="0E9144CA"/>
    <w:rsid w:val="0EB65F51"/>
    <w:rsid w:val="0F4B202F"/>
    <w:rsid w:val="0F4E1CE6"/>
    <w:rsid w:val="1004486E"/>
    <w:rsid w:val="1006534B"/>
    <w:rsid w:val="100A0195"/>
    <w:rsid w:val="106704C4"/>
    <w:rsid w:val="10702130"/>
    <w:rsid w:val="10B70AE5"/>
    <w:rsid w:val="10F51BC1"/>
    <w:rsid w:val="11062460"/>
    <w:rsid w:val="1129570C"/>
    <w:rsid w:val="112C2F96"/>
    <w:rsid w:val="119F2CCD"/>
    <w:rsid w:val="11A76352"/>
    <w:rsid w:val="11D16BFE"/>
    <w:rsid w:val="12521AED"/>
    <w:rsid w:val="12802AFE"/>
    <w:rsid w:val="12CF660E"/>
    <w:rsid w:val="12D17438"/>
    <w:rsid w:val="130C4392"/>
    <w:rsid w:val="136241A1"/>
    <w:rsid w:val="13C8152F"/>
    <w:rsid w:val="13C8458F"/>
    <w:rsid w:val="13C9021C"/>
    <w:rsid w:val="13E32A6B"/>
    <w:rsid w:val="141421A2"/>
    <w:rsid w:val="14604344"/>
    <w:rsid w:val="146C1A0A"/>
    <w:rsid w:val="14AB24E5"/>
    <w:rsid w:val="14D7452C"/>
    <w:rsid w:val="14F05B2C"/>
    <w:rsid w:val="14FD50CC"/>
    <w:rsid w:val="15080B89"/>
    <w:rsid w:val="152D05F0"/>
    <w:rsid w:val="1546292F"/>
    <w:rsid w:val="15595889"/>
    <w:rsid w:val="15703208"/>
    <w:rsid w:val="157224A6"/>
    <w:rsid w:val="15744470"/>
    <w:rsid w:val="15B30AF5"/>
    <w:rsid w:val="15D82657"/>
    <w:rsid w:val="162A05A0"/>
    <w:rsid w:val="16895AB9"/>
    <w:rsid w:val="16B61083"/>
    <w:rsid w:val="16B712B8"/>
    <w:rsid w:val="16C17241"/>
    <w:rsid w:val="17016732"/>
    <w:rsid w:val="17284D71"/>
    <w:rsid w:val="1758691B"/>
    <w:rsid w:val="176F6C9D"/>
    <w:rsid w:val="180240B7"/>
    <w:rsid w:val="1811244B"/>
    <w:rsid w:val="186F40DA"/>
    <w:rsid w:val="18A67A46"/>
    <w:rsid w:val="18EB6101"/>
    <w:rsid w:val="19300184"/>
    <w:rsid w:val="19645688"/>
    <w:rsid w:val="19704F75"/>
    <w:rsid w:val="19D40037"/>
    <w:rsid w:val="1A5F1C1B"/>
    <w:rsid w:val="1ABC5F1D"/>
    <w:rsid w:val="1AD7642D"/>
    <w:rsid w:val="1B023580"/>
    <w:rsid w:val="1B34092A"/>
    <w:rsid w:val="1B36775D"/>
    <w:rsid w:val="1B3D759D"/>
    <w:rsid w:val="1BCC29F8"/>
    <w:rsid w:val="1C2F323F"/>
    <w:rsid w:val="1C632FAA"/>
    <w:rsid w:val="1CAB4B49"/>
    <w:rsid w:val="1CD00436"/>
    <w:rsid w:val="1D0C3AEE"/>
    <w:rsid w:val="1D1E46E9"/>
    <w:rsid w:val="1D6E542A"/>
    <w:rsid w:val="1D762D0C"/>
    <w:rsid w:val="1DD01994"/>
    <w:rsid w:val="1E2A28EC"/>
    <w:rsid w:val="1E6B6282"/>
    <w:rsid w:val="1ECC023E"/>
    <w:rsid w:val="1EE45762"/>
    <w:rsid w:val="1F065028"/>
    <w:rsid w:val="1F0A33D2"/>
    <w:rsid w:val="1F30683C"/>
    <w:rsid w:val="1FB2006F"/>
    <w:rsid w:val="1FD70E73"/>
    <w:rsid w:val="20012DA5"/>
    <w:rsid w:val="202F7912"/>
    <w:rsid w:val="203942EC"/>
    <w:rsid w:val="204845C8"/>
    <w:rsid w:val="206C2914"/>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D34D10"/>
    <w:rsid w:val="24D97605"/>
    <w:rsid w:val="24DD4D1D"/>
    <w:rsid w:val="25183606"/>
    <w:rsid w:val="253A1658"/>
    <w:rsid w:val="25670A93"/>
    <w:rsid w:val="25C55B15"/>
    <w:rsid w:val="25CD28A0"/>
    <w:rsid w:val="25E31CEE"/>
    <w:rsid w:val="25F724E4"/>
    <w:rsid w:val="2646624E"/>
    <w:rsid w:val="269F7FB2"/>
    <w:rsid w:val="26AB31F9"/>
    <w:rsid w:val="27206C9A"/>
    <w:rsid w:val="27377C00"/>
    <w:rsid w:val="278124A0"/>
    <w:rsid w:val="278F0C96"/>
    <w:rsid w:val="27977369"/>
    <w:rsid w:val="27CA57BE"/>
    <w:rsid w:val="28681032"/>
    <w:rsid w:val="28D95227"/>
    <w:rsid w:val="294F555C"/>
    <w:rsid w:val="29903A53"/>
    <w:rsid w:val="29E7300B"/>
    <w:rsid w:val="2A1A0CEB"/>
    <w:rsid w:val="2A232544"/>
    <w:rsid w:val="2A3A75DF"/>
    <w:rsid w:val="2A8F7FA6"/>
    <w:rsid w:val="2AE8528D"/>
    <w:rsid w:val="2B0C26D9"/>
    <w:rsid w:val="2B73207D"/>
    <w:rsid w:val="2BF10171"/>
    <w:rsid w:val="2BFF228B"/>
    <w:rsid w:val="2CE0239D"/>
    <w:rsid w:val="2CE50DF5"/>
    <w:rsid w:val="2CE83322"/>
    <w:rsid w:val="2D1E60FD"/>
    <w:rsid w:val="2D2A4ACD"/>
    <w:rsid w:val="2D511E64"/>
    <w:rsid w:val="2E1A0F93"/>
    <w:rsid w:val="2E356146"/>
    <w:rsid w:val="2E386797"/>
    <w:rsid w:val="2E49028D"/>
    <w:rsid w:val="2E6751EF"/>
    <w:rsid w:val="2E841726"/>
    <w:rsid w:val="2E8828A0"/>
    <w:rsid w:val="2E8B6297"/>
    <w:rsid w:val="2F3C7955"/>
    <w:rsid w:val="2F4D3FAD"/>
    <w:rsid w:val="2F797A5E"/>
    <w:rsid w:val="2F9B5B3B"/>
    <w:rsid w:val="2FAE0334"/>
    <w:rsid w:val="30963095"/>
    <w:rsid w:val="30B363DF"/>
    <w:rsid w:val="30F90E76"/>
    <w:rsid w:val="311F11FF"/>
    <w:rsid w:val="3163472E"/>
    <w:rsid w:val="316B4522"/>
    <w:rsid w:val="31B7520B"/>
    <w:rsid w:val="31F2254D"/>
    <w:rsid w:val="323C7EED"/>
    <w:rsid w:val="323E39E4"/>
    <w:rsid w:val="329451B2"/>
    <w:rsid w:val="329B4993"/>
    <w:rsid w:val="32C32377"/>
    <w:rsid w:val="32E754DA"/>
    <w:rsid w:val="3304078A"/>
    <w:rsid w:val="330D6186"/>
    <w:rsid w:val="33794C4B"/>
    <w:rsid w:val="339A10EE"/>
    <w:rsid w:val="33B913AD"/>
    <w:rsid w:val="33C050F4"/>
    <w:rsid w:val="33CC574C"/>
    <w:rsid w:val="35335357"/>
    <w:rsid w:val="35411BBA"/>
    <w:rsid w:val="355377A7"/>
    <w:rsid w:val="355F439E"/>
    <w:rsid w:val="35660E95"/>
    <w:rsid w:val="35877E86"/>
    <w:rsid w:val="3596588F"/>
    <w:rsid w:val="35984784"/>
    <w:rsid w:val="35BF6428"/>
    <w:rsid w:val="35C2060E"/>
    <w:rsid w:val="35D5640E"/>
    <w:rsid w:val="35EC7E76"/>
    <w:rsid w:val="35EF1EC9"/>
    <w:rsid w:val="360457D0"/>
    <w:rsid w:val="361545A4"/>
    <w:rsid w:val="361909F0"/>
    <w:rsid w:val="36343134"/>
    <w:rsid w:val="365F05B8"/>
    <w:rsid w:val="367E6AA5"/>
    <w:rsid w:val="36892178"/>
    <w:rsid w:val="36C7044C"/>
    <w:rsid w:val="36C83179"/>
    <w:rsid w:val="36D36DF1"/>
    <w:rsid w:val="37016910"/>
    <w:rsid w:val="3774310E"/>
    <w:rsid w:val="37A9280B"/>
    <w:rsid w:val="381F37DC"/>
    <w:rsid w:val="38251308"/>
    <w:rsid w:val="38671A23"/>
    <w:rsid w:val="38B21A06"/>
    <w:rsid w:val="38E205DE"/>
    <w:rsid w:val="38F039F2"/>
    <w:rsid w:val="38FE5C7B"/>
    <w:rsid w:val="394414A1"/>
    <w:rsid w:val="39BC0C88"/>
    <w:rsid w:val="39C72511"/>
    <w:rsid w:val="39DA4A0D"/>
    <w:rsid w:val="3A175247"/>
    <w:rsid w:val="3A4956B9"/>
    <w:rsid w:val="3A666FC0"/>
    <w:rsid w:val="3A6A6801"/>
    <w:rsid w:val="3A9B1A78"/>
    <w:rsid w:val="3AB07AD0"/>
    <w:rsid w:val="3AC32CD9"/>
    <w:rsid w:val="3AE03D3A"/>
    <w:rsid w:val="3B936A01"/>
    <w:rsid w:val="3C5C21FE"/>
    <w:rsid w:val="3C607BCD"/>
    <w:rsid w:val="3C9618E6"/>
    <w:rsid w:val="3CBB5FE1"/>
    <w:rsid w:val="3CC84251"/>
    <w:rsid w:val="3D675B32"/>
    <w:rsid w:val="3D7B6962"/>
    <w:rsid w:val="3D8B1499"/>
    <w:rsid w:val="3DD84CED"/>
    <w:rsid w:val="3DE360A4"/>
    <w:rsid w:val="3DE900E7"/>
    <w:rsid w:val="3EA30BC7"/>
    <w:rsid w:val="3EC82AC2"/>
    <w:rsid w:val="3EFD0E80"/>
    <w:rsid w:val="3F0B2AC6"/>
    <w:rsid w:val="3F21665F"/>
    <w:rsid w:val="3F593AF6"/>
    <w:rsid w:val="3F6710D8"/>
    <w:rsid w:val="3F7171A7"/>
    <w:rsid w:val="403511AD"/>
    <w:rsid w:val="407D7735"/>
    <w:rsid w:val="40923879"/>
    <w:rsid w:val="40D640C9"/>
    <w:rsid w:val="412E317D"/>
    <w:rsid w:val="414C6B29"/>
    <w:rsid w:val="41995757"/>
    <w:rsid w:val="41B17D81"/>
    <w:rsid w:val="41C2149B"/>
    <w:rsid w:val="41D4693E"/>
    <w:rsid w:val="4273363B"/>
    <w:rsid w:val="42C33BA9"/>
    <w:rsid w:val="42C817D4"/>
    <w:rsid w:val="433C3B01"/>
    <w:rsid w:val="43E87B5F"/>
    <w:rsid w:val="43EA6480"/>
    <w:rsid w:val="43F46D56"/>
    <w:rsid w:val="4413082D"/>
    <w:rsid w:val="441A0035"/>
    <w:rsid w:val="448E4011"/>
    <w:rsid w:val="44AB453E"/>
    <w:rsid w:val="44BB3DA1"/>
    <w:rsid w:val="44C07DD5"/>
    <w:rsid w:val="44F62BD1"/>
    <w:rsid w:val="45154971"/>
    <w:rsid w:val="45A27F2E"/>
    <w:rsid w:val="45B83E73"/>
    <w:rsid w:val="45F4643C"/>
    <w:rsid w:val="46CD58D4"/>
    <w:rsid w:val="46F25D74"/>
    <w:rsid w:val="47847DB4"/>
    <w:rsid w:val="47A974CF"/>
    <w:rsid w:val="47F22E4F"/>
    <w:rsid w:val="48590660"/>
    <w:rsid w:val="48CA77A5"/>
    <w:rsid w:val="48CF47B8"/>
    <w:rsid w:val="49515E20"/>
    <w:rsid w:val="49B358AE"/>
    <w:rsid w:val="49C8583C"/>
    <w:rsid w:val="49CA1F21"/>
    <w:rsid w:val="49D92519"/>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CE823D7"/>
    <w:rsid w:val="4CF77341"/>
    <w:rsid w:val="4D3C2AEE"/>
    <w:rsid w:val="4D761E2D"/>
    <w:rsid w:val="4D7D1B31"/>
    <w:rsid w:val="4D926CA0"/>
    <w:rsid w:val="4D9F75D5"/>
    <w:rsid w:val="4DF96CE5"/>
    <w:rsid w:val="4E17716C"/>
    <w:rsid w:val="4E2F7205"/>
    <w:rsid w:val="4E2F73B3"/>
    <w:rsid w:val="4E3403B6"/>
    <w:rsid w:val="4E883004"/>
    <w:rsid w:val="4EAD6595"/>
    <w:rsid w:val="4EB01B6C"/>
    <w:rsid w:val="4F005E52"/>
    <w:rsid w:val="4F270F69"/>
    <w:rsid w:val="4F272A4D"/>
    <w:rsid w:val="4F2953A8"/>
    <w:rsid w:val="4F6676C5"/>
    <w:rsid w:val="4F840831"/>
    <w:rsid w:val="4FE638BC"/>
    <w:rsid w:val="4FFC19F8"/>
    <w:rsid w:val="50564A09"/>
    <w:rsid w:val="5086682B"/>
    <w:rsid w:val="509F2C3B"/>
    <w:rsid w:val="50E861E0"/>
    <w:rsid w:val="51611D22"/>
    <w:rsid w:val="517B1FF3"/>
    <w:rsid w:val="51BA2C30"/>
    <w:rsid w:val="524704CD"/>
    <w:rsid w:val="5272458A"/>
    <w:rsid w:val="527C5D26"/>
    <w:rsid w:val="52CD749F"/>
    <w:rsid w:val="52FD0D47"/>
    <w:rsid w:val="53391AA9"/>
    <w:rsid w:val="53A40351"/>
    <w:rsid w:val="53B31DD9"/>
    <w:rsid w:val="54006011"/>
    <w:rsid w:val="54F66D5C"/>
    <w:rsid w:val="55195EBF"/>
    <w:rsid w:val="55393E6B"/>
    <w:rsid w:val="557502BD"/>
    <w:rsid w:val="55774188"/>
    <w:rsid w:val="558D76D9"/>
    <w:rsid w:val="55AA7F37"/>
    <w:rsid w:val="56044479"/>
    <w:rsid w:val="560849B8"/>
    <w:rsid w:val="562733A4"/>
    <w:rsid w:val="5636377B"/>
    <w:rsid w:val="564F57CA"/>
    <w:rsid w:val="56551179"/>
    <w:rsid w:val="568062FF"/>
    <w:rsid w:val="568E597B"/>
    <w:rsid w:val="56AF310F"/>
    <w:rsid w:val="56DB3D55"/>
    <w:rsid w:val="56F30D3E"/>
    <w:rsid w:val="56F915BE"/>
    <w:rsid w:val="57090E46"/>
    <w:rsid w:val="575C111A"/>
    <w:rsid w:val="5806097D"/>
    <w:rsid w:val="580E4014"/>
    <w:rsid w:val="58201942"/>
    <w:rsid w:val="58525997"/>
    <w:rsid w:val="589505D2"/>
    <w:rsid w:val="58A27ECD"/>
    <w:rsid w:val="58C3730D"/>
    <w:rsid w:val="58ED5699"/>
    <w:rsid w:val="590574CC"/>
    <w:rsid w:val="591305FD"/>
    <w:rsid w:val="596D03BB"/>
    <w:rsid w:val="59951007"/>
    <w:rsid w:val="59A40FB6"/>
    <w:rsid w:val="59EB50B3"/>
    <w:rsid w:val="59F134F3"/>
    <w:rsid w:val="5ADF1011"/>
    <w:rsid w:val="5B5E6330"/>
    <w:rsid w:val="5B7B562E"/>
    <w:rsid w:val="5B834092"/>
    <w:rsid w:val="5BA70114"/>
    <w:rsid w:val="5BBB382C"/>
    <w:rsid w:val="5BF01678"/>
    <w:rsid w:val="5BFB3FFB"/>
    <w:rsid w:val="5C0105D5"/>
    <w:rsid w:val="5D380EAD"/>
    <w:rsid w:val="5D5C1A16"/>
    <w:rsid w:val="5D7B6DC6"/>
    <w:rsid w:val="5D861C18"/>
    <w:rsid w:val="5D8641D0"/>
    <w:rsid w:val="5DA54794"/>
    <w:rsid w:val="5DDF72CC"/>
    <w:rsid w:val="5E48718B"/>
    <w:rsid w:val="5E820631"/>
    <w:rsid w:val="5E9038B6"/>
    <w:rsid w:val="5EC37AEA"/>
    <w:rsid w:val="5F191EF4"/>
    <w:rsid w:val="5F372160"/>
    <w:rsid w:val="5F6C5E82"/>
    <w:rsid w:val="5F784221"/>
    <w:rsid w:val="5FB32A6C"/>
    <w:rsid w:val="601B661B"/>
    <w:rsid w:val="60243382"/>
    <w:rsid w:val="60E23609"/>
    <w:rsid w:val="61072DA3"/>
    <w:rsid w:val="612328B5"/>
    <w:rsid w:val="613025C6"/>
    <w:rsid w:val="614E7A3D"/>
    <w:rsid w:val="61882395"/>
    <w:rsid w:val="61907B93"/>
    <w:rsid w:val="61A06245"/>
    <w:rsid w:val="61D01188"/>
    <w:rsid w:val="622F0AD0"/>
    <w:rsid w:val="62592222"/>
    <w:rsid w:val="627D1A0F"/>
    <w:rsid w:val="6280132C"/>
    <w:rsid w:val="633432D4"/>
    <w:rsid w:val="633F11E7"/>
    <w:rsid w:val="635527B8"/>
    <w:rsid w:val="63560B10"/>
    <w:rsid w:val="638A089F"/>
    <w:rsid w:val="641B7471"/>
    <w:rsid w:val="64BB6D1E"/>
    <w:rsid w:val="653E58EA"/>
    <w:rsid w:val="65640A91"/>
    <w:rsid w:val="65753F23"/>
    <w:rsid w:val="658B441F"/>
    <w:rsid w:val="65D5012F"/>
    <w:rsid w:val="65E11880"/>
    <w:rsid w:val="65E46075"/>
    <w:rsid w:val="66101578"/>
    <w:rsid w:val="663E6386"/>
    <w:rsid w:val="66636F9A"/>
    <w:rsid w:val="666A0329"/>
    <w:rsid w:val="666B5BC5"/>
    <w:rsid w:val="66723819"/>
    <w:rsid w:val="667B70E8"/>
    <w:rsid w:val="66A279CC"/>
    <w:rsid w:val="66B56F86"/>
    <w:rsid w:val="66F62E42"/>
    <w:rsid w:val="67025CCC"/>
    <w:rsid w:val="67584625"/>
    <w:rsid w:val="6762412B"/>
    <w:rsid w:val="67CA1DA4"/>
    <w:rsid w:val="67E52301"/>
    <w:rsid w:val="67F729B8"/>
    <w:rsid w:val="682341A6"/>
    <w:rsid w:val="68561E70"/>
    <w:rsid w:val="68C01CC1"/>
    <w:rsid w:val="68C3491F"/>
    <w:rsid w:val="68E67FBD"/>
    <w:rsid w:val="68F13A8F"/>
    <w:rsid w:val="690C5693"/>
    <w:rsid w:val="69490E27"/>
    <w:rsid w:val="697274F4"/>
    <w:rsid w:val="6996428D"/>
    <w:rsid w:val="699D0603"/>
    <w:rsid w:val="69C12C5B"/>
    <w:rsid w:val="6A2F527A"/>
    <w:rsid w:val="6A3D1D64"/>
    <w:rsid w:val="6A796FC1"/>
    <w:rsid w:val="6A876531"/>
    <w:rsid w:val="6AA02261"/>
    <w:rsid w:val="6AB1464F"/>
    <w:rsid w:val="6ADF6E0B"/>
    <w:rsid w:val="6AE02B4E"/>
    <w:rsid w:val="6AF95CE8"/>
    <w:rsid w:val="6AFE3F61"/>
    <w:rsid w:val="6B4856E7"/>
    <w:rsid w:val="6B4858A0"/>
    <w:rsid w:val="6B8E7875"/>
    <w:rsid w:val="6BBD714D"/>
    <w:rsid w:val="6C303DC2"/>
    <w:rsid w:val="6CC200F5"/>
    <w:rsid w:val="6D4318D3"/>
    <w:rsid w:val="6E032E11"/>
    <w:rsid w:val="6E051D41"/>
    <w:rsid w:val="6E7C6AE0"/>
    <w:rsid w:val="6E950F17"/>
    <w:rsid w:val="6E964B3F"/>
    <w:rsid w:val="6EA77C40"/>
    <w:rsid w:val="6ED33DE0"/>
    <w:rsid w:val="6F2D45E9"/>
    <w:rsid w:val="6F2D79CC"/>
    <w:rsid w:val="6F2F65B3"/>
    <w:rsid w:val="6F3C042B"/>
    <w:rsid w:val="702F1093"/>
    <w:rsid w:val="708665F8"/>
    <w:rsid w:val="70A26FBA"/>
    <w:rsid w:val="710035B1"/>
    <w:rsid w:val="71866233"/>
    <w:rsid w:val="72734A09"/>
    <w:rsid w:val="72735FDA"/>
    <w:rsid w:val="72B142EC"/>
    <w:rsid w:val="73A04B22"/>
    <w:rsid w:val="73A5019F"/>
    <w:rsid w:val="73CB4AF8"/>
    <w:rsid w:val="73D2467A"/>
    <w:rsid w:val="73E01983"/>
    <w:rsid w:val="74060A0E"/>
    <w:rsid w:val="741D0552"/>
    <w:rsid w:val="742A10F7"/>
    <w:rsid w:val="74EA63EB"/>
    <w:rsid w:val="75124D13"/>
    <w:rsid w:val="7551418B"/>
    <w:rsid w:val="75AA6A67"/>
    <w:rsid w:val="75F63DAF"/>
    <w:rsid w:val="76206A69"/>
    <w:rsid w:val="76341608"/>
    <w:rsid w:val="76793371"/>
    <w:rsid w:val="76876186"/>
    <w:rsid w:val="769B4BE1"/>
    <w:rsid w:val="76AE24B4"/>
    <w:rsid w:val="76C81C77"/>
    <w:rsid w:val="77101448"/>
    <w:rsid w:val="77383B2B"/>
    <w:rsid w:val="77B80485"/>
    <w:rsid w:val="78004C43"/>
    <w:rsid w:val="780226D4"/>
    <w:rsid w:val="78862B6F"/>
    <w:rsid w:val="78B418D7"/>
    <w:rsid w:val="78C00E75"/>
    <w:rsid w:val="78C63702"/>
    <w:rsid w:val="78FD327E"/>
    <w:rsid w:val="79066482"/>
    <w:rsid w:val="793F52C1"/>
    <w:rsid w:val="79470FEE"/>
    <w:rsid w:val="79792CF4"/>
    <w:rsid w:val="79826B20"/>
    <w:rsid w:val="79D179DF"/>
    <w:rsid w:val="7A105840"/>
    <w:rsid w:val="7A5A025C"/>
    <w:rsid w:val="7A7E50C0"/>
    <w:rsid w:val="7ACF385A"/>
    <w:rsid w:val="7AF52F82"/>
    <w:rsid w:val="7B300BB7"/>
    <w:rsid w:val="7B4E51DD"/>
    <w:rsid w:val="7B8657AD"/>
    <w:rsid w:val="7BEF538F"/>
    <w:rsid w:val="7C0431F7"/>
    <w:rsid w:val="7C4D54FC"/>
    <w:rsid w:val="7C5604C4"/>
    <w:rsid w:val="7C8E04DE"/>
    <w:rsid w:val="7C914C43"/>
    <w:rsid w:val="7CB93960"/>
    <w:rsid w:val="7D0050EB"/>
    <w:rsid w:val="7D1D5C9D"/>
    <w:rsid w:val="7D311748"/>
    <w:rsid w:val="7D3F20B7"/>
    <w:rsid w:val="7D6417AF"/>
    <w:rsid w:val="7E32109D"/>
    <w:rsid w:val="7EEC71A1"/>
    <w:rsid w:val="7EF56987"/>
    <w:rsid w:val="7F0A6CDA"/>
    <w:rsid w:val="7F3E639F"/>
    <w:rsid w:val="7F586208"/>
    <w:rsid w:val="7FA42B42"/>
    <w:rsid w:val="7FB8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autoRedefine/>
    <w:qFormat/>
    <w:uiPriority w:val="0"/>
    <w:pPr>
      <w:keepNext/>
      <w:jc w:val="center"/>
      <w:outlineLvl w:val="0"/>
    </w:pPr>
    <w:rPr>
      <w:b/>
      <w:bCs/>
      <w:sz w:val="24"/>
      <w:szCs w:val="20"/>
    </w:rPr>
  </w:style>
  <w:style w:type="paragraph" w:styleId="4">
    <w:name w:val="heading 2"/>
    <w:basedOn w:val="1"/>
    <w:next w:val="1"/>
    <w:link w:val="67"/>
    <w:autoRedefine/>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8"/>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69"/>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0"/>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71"/>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72"/>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3"/>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4"/>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9">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footnote text"/>
    <w:basedOn w:val="1"/>
    <w:autoRedefine/>
    <w:qFormat/>
    <w:uiPriority w:val="99"/>
    <w:pPr>
      <w:snapToGrid w:val="0"/>
      <w:jc w:val="left"/>
    </w:pPr>
    <w:rPr>
      <w:sz w:val="18"/>
      <w:szCs w:val="18"/>
    </w:rPr>
  </w:style>
  <w:style w:type="paragraph" w:styleId="12">
    <w:name w:val="toc 7"/>
    <w:basedOn w:val="1"/>
    <w:next w:val="1"/>
    <w:autoRedefine/>
    <w:qFormat/>
    <w:uiPriority w:val="0"/>
    <w:pPr>
      <w:ind w:left="2520" w:leftChars="1200"/>
    </w:pPr>
    <w:rPr>
      <w:szCs w:val="22"/>
    </w:rPr>
  </w:style>
  <w:style w:type="paragraph" w:styleId="13">
    <w:name w:val="Normal Indent"/>
    <w:basedOn w:val="1"/>
    <w:autoRedefine/>
    <w:qFormat/>
    <w:uiPriority w:val="0"/>
    <w:pPr>
      <w:widowControl/>
      <w:ind w:firstLine="420"/>
      <w:jc w:val="left"/>
    </w:pPr>
    <w:rPr>
      <w:kern w:val="0"/>
      <w:sz w:val="20"/>
      <w:szCs w:val="20"/>
    </w:rPr>
  </w:style>
  <w:style w:type="paragraph" w:styleId="14">
    <w:name w:val="caption"/>
    <w:basedOn w:val="1"/>
    <w:next w:val="1"/>
    <w:autoRedefine/>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autoRedefine/>
    <w:semiHidden/>
    <w:qFormat/>
    <w:uiPriority w:val="0"/>
    <w:pPr>
      <w:shd w:val="clear" w:color="auto" w:fill="000080"/>
    </w:pPr>
  </w:style>
  <w:style w:type="paragraph" w:styleId="16">
    <w:name w:val="annotation text"/>
    <w:basedOn w:val="1"/>
    <w:next w:val="1"/>
    <w:link w:val="75"/>
    <w:autoRedefine/>
    <w:semiHidden/>
    <w:qFormat/>
    <w:uiPriority w:val="0"/>
    <w:pPr>
      <w:jc w:val="left"/>
    </w:pPr>
  </w:style>
  <w:style w:type="paragraph" w:styleId="17">
    <w:name w:val="Salutation"/>
    <w:basedOn w:val="1"/>
    <w:next w:val="1"/>
    <w:autoRedefine/>
    <w:qFormat/>
    <w:uiPriority w:val="0"/>
    <w:rPr>
      <w:rFonts w:ascii="仿宋_GB2312" w:eastAsia="仿宋_GB2312"/>
      <w:sz w:val="24"/>
    </w:rPr>
  </w:style>
  <w:style w:type="paragraph" w:styleId="18">
    <w:name w:val="Body Text 3"/>
    <w:basedOn w:val="1"/>
    <w:autoRedefine/>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6"/>
    <w:autoRedefine/>
    <w:qFormat/>
    <w:uiPriority w:val="0"/>
    <w:pPr>
      <w:spacing w:after="120"/>
    </w:pPr>
  </w:style>
  <w:style w:type="paragraph" w:styleId="20">
    <w:name w:val="Body Text Indent"/>
    <w:basedOn w:val="1"/>
    <w:link w:val="77"/>
    <w:autoRedefine/>
    <w:qFormat/>
    <w:uiPriority w:val="0"/>
    <w:pPr>
      <w:spacing w:after="120"/>
      <w:ind w:left="420" w:leftChars="200"/>
    </w:pPr>
  </w:style>
  <w:style w:type="paragraph" w:styleId="21">
    <w:name w:val="Block Text"/>
    <w:basedOn w:val="1"/>
    <w:autoRedefine/>
    <w:qFormat/>
    <w:uiPriority w:val="0"/>
    <w:pPr>
      <w:ind w:left="1171" w:right="91" w:hanging="1080"/>
    </w:pPr>
    <w:rPr>
      <w:rFonts w:eastAsia="楷体_GB2312"/>
      <w:szCs w:val="20"/>
    </w:rPr>
  </w:style>
  <w:style w:type="paragraph" w:styleId="22">
    <w:name w:val="toc 5"/>
    <w:basedOn w:val="1"/>
    <w:next w:val="1"/>
    <w:autoRedefine/>
    <w:qFormat/>
    <w:uiPriority w:val="0"/>
    <w:pPr>
      <w:ind w:left="1680" w:leftChars="800"/>
    </w:pPr>
    <w:rPr>
      <w:szCs w:val="22"/>
    </w:rPr>
  </w:style>
  <w:style w:type="paragraph" w:styleId="23">
    <w:name w:val="toc 3"/>
    <w:basedOn w:val="1"/>
    <w:next w:val="1"/>
    <w:autoRedefine/>
    <w:qFormat/>
    <w:uiPriority w:val="0"/>
    <w:pPr>
      <w:ind w:left="840" w:leftChars="400"/>
    </w:pPr>
  </w:style>
  <w:style w:type="paragraph" w:styleId="24">
    <w:name w:val="Plain Text"/>
    <w:basedOn w:val="1"/>
    <w:next w:val="1"/>
    <w:link w:val="78"/>
    <w:autoRedefine/>
    <w:qFormat/>
    <w:uiPriority w:val="0"/>
    <w:rPr>
      <w:rFonts w:ascii="宋体" w:hAnsi="Courier New" w:cs="Courier New"/>
      <w:szCs w:val="21"/>
    </w:rPr>
  </w:style>
  <w:style w:type="paragraph" w:styleId="25">
    <w:name w:val="toc 8"/>
    <w:basedOn w:val="1"/>
    <w:next w:val="1"/>
    <w:autoRedefine/>
    <w:qFormat/>
    <w:uiPriority w:val="0"/>
    <w:pPr>
      <w:ind w:left="2940" w:leftChars="1400"/>
    </w:pPr>
    <w:rPr>
      <w:szCs w:val="22"/>
    </w:rPr>
  </w:style>
  <w:style w:type="paragraph" w:styleId="26">
    <w:name w:val="Date"/>
    <w:basedOn w:val="1"/>
    <w:next w:val="1"/>
    <w:link w:val="79"/>
    <w:autoRedefine/>
    <w:qFormat/>
    <w:uiPriority w:val="0"/>
    <w:rPr>
      <w:sz w:val="24"/>
      <w:szCs w:val="20"/>
    </w:rPr>
  </w:style>
  <w:style w:type="paragraph" w:styleId="27">
    <w:name w:val="Body Text Indent 2"/>
    <w:basedOn w:val="1"/>
    <w:autoRedefine/>
    <w:qFormat/>
    <w:uiPriority w:val="0"/>
    <w:pPr>
      <w:spacing w:after="120" w:line="480" w:lineRule="auto"/>
      <w:ind w:left="420" w:leftChars="200"/>
    </w:pPr>
  </w:style>
  <w:style w:type="paragraph" w:styleId="28">
    <w:name w:val="Balloon Text"/>
    <w:basedOn w:val="1"/>
    <w:link w:val="80"/>
    <w:autoRedefine/>
    <w:qFormat/>
    <w:uiPriority w:val="0"/>
    <w:rPr>
      <w:sz w:val="18"/>
      <w:szCs w:val="18"/>
    </w:rPr>
  </w:style>
  <w:style w:type="paragraph" w:styleId="29">
    <w:name w:val="footer"/>
    <w:basedOn w:val="1"/>
    <w:link w:val="65"/>
    <w:autoRedefine/>
    <w:qFormat/>
    <w:uiPriority w:val="0"/>
    <w:pPr>
      <w:tabs>
        <w:tab w:val="center" w:pos="4153"/>
        <w:tab w:val="right" w:pos="8306"/>
      </w:tabs>
      <w:snapToGrid w:val="0"/>
      <w:jc w:val="left"/>
    </w:pPr>
    <w:rPr>
      <w:sz w:val="18"/>
      <w:szCs w:val="18"/>
    </w:rPr>
  </w:style>
  <w:style w:type="paragraph" w:styleId="30">
    <w:name w:val="envelope return"/>
    <w:basedOn w:val="1"/>
    <w:autoRedefine/>
    <w:unhideWhenUsed/>
    <w:qFormat/>
    <w:uiPriority w:val="99"/>
    <w:pPr>
      <w:snapToGrid w:val="0"/>
    </w:pPr>
    <w:rPr>
      <w:rFonts w:ascii="Arial" w:hAnsi="Arial"/>
      <w:sz w:val="28"/>
    </w:rPr>
  </w:style>
  <w:style w:type="paragraph" w:styleId="31">
    <w:name w:val="header"/>
    <w:basedOn w:val="1"/>
    <w:link w:val="81"/>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3">
    <w:name w:val="toc 4"/>
    <w:basedOn w:val="1"/>
    <w:next w:val="1"/>
    <w:autoRedefine/>
    <w:qFormat/>
    <w:uiPriority w:val="0"/>
    <w:pPr>
      <w:ind w:left="1260" w:leftChars="600"/>
    </w:pPr>
  </w:style>
  <w:style w:type="paragraph" w:styleId="34">
    <w:name w:val="Subtitle"/>
    <w:basedOn w:val="1"/>
    <w:next w:val="1"/>
    <w:link w:val="82"/>
    <w:autoRedefine/>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autoRedefine/>
    <w:qFormat/>
    <w:uiPriority w:val="0"/>
    <w:pPr>
      <w:ind w:left="2100" w:leftChars="1000"/>
    </w:pPr>
    <w:rPr>
      <w:szCs w:val="22"/>
    </w:rPr>
  </w:style>
  <w:style w:type="paragraph" w:styleId="36">
    <w:name w:val="Body Text Indent 3"/>
    <w:basedOn w:val="1"/>
    <w:link w:val="83"/>
    <w:autoRedefine/>
    <w:qFormat/>
    <w:uiPriority w:val="0"/>
    <w:pPr>
      <w:spacing w:after="120"/>
      <w:ind w:left="420" w:leftChars="200"/>
    </w:pPr>
    <w:rPr>
      <w:sz w:val="16"/>
      <w:szCs w:val="16"/>
    </w:rPr>
  </w:style>
  <w:style w:type="paragraph" w:styleId="37">
    <w:name w:val="toc 2"/>
    <w:basedOn w:val="1"/>
    <w:next w:val="1"/>
    <w:autoRedefine/>
    <w:qFormat/>
    <w:uiPriority w:val="0"/>
    <w:pPr>
      <w:ind w:left="420" w:leftChars="200"/>
    </w:pPr>
  </w:style>
  <w:style w:type="paragraph" w:styleId="38">
    <w:name w:val="toc 9"/>
    <w:basedOn w:val="1"/>
    <w:next w:val="1"/>
    <w:autoRedefine/>
    <w:qFormat/>
    <w:uiPriority w:val="0"/>
    <w:pPr>
      <w:ind w:left="3360" w:leftChars="1600"/>
    </w:pPr>
    <w:rPr>
      <w:szCs w:val="22"/>
    </w:rPr>
  </w:style>
  <w:style w:type="paragraph" w:styleId="39">
    <w:name w:val="Body Text 2"/>
    <w:basedOn w:val="1"/>
    <w:autoRedefine/>
    <w:qFormat/>
    <w:uiPriority w:val="0"/>
    <w:pPr>
      <w:spacing w:after="120" w:line="480" w:lineRule="auto"/>
    </w:pPr>
  </w:style>
  <w:style w:type="paragraph" w:styleId="4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autoRedefine/>
    <w:qFormat/>
    <w:uiPriority w:val="0"/>
    <w:pPr>
      <w:spacing w:line="220" w:lineRule="exact"/>
      <w:jc w:val="center"/>
    </w:pPr>
    <w:rPr>
      <w:rFonts w:ascii="仿宋_GB2312" w:eastAsia="仿宋_GB2312"/>
      <w:szCs w:val="20"/>
    </w:rPr>
  </w:style>
  <w:style w:type="paragraph" w:styleId="43">
    <w:name w:val="Title"/>
    <w:basedOn w:val="1"/>
    <w:next w:val="1"/>
    <w:link w:val="84"/>
    <w:autoRedefine/>
    <w:qFormat/>
    <w:uiPriority w:val="0"/>
    <w:pPr>
      <w:spacing w:before="240" w:after="60"/>
      <w:jc w:val="center"/>
      <w:outlineLvl w:val="0"/>
    </w:pPr>
    <w:rPr>
      <w:rFonts w:ascii="Cambria" w:hAnsi="Cambria"/>
      <w:b/>
      <w:sz w:val="32"/>
    </w:rPr>
  </w:style>
  <w:style w:type="paragraph" w:styleId="44">
    <w:name w:val="annotation subject"/>
    <w:basedOn w:val="16"/>
    <w:next w:val="1"/>
    <w:link w:val="85"/>
    <w:autoRedefine/>
    <w:qFormat/>
    <w:uiPriority w:val="0"/>
    <w:rPr>
      <w:b/>
      <w:bCs/>
    </w:rPr>
  </w:style>
  <w:style w:type="paragraph" w:styleId="45">
    <w:name w:val="Body Text First Indent 2"/>
    <w:basedOn w:val="20"/>
    <w:autoRedefine/>
    <w:unhideWhenUsed/>
    <w:qFormat/>
    <w:uiPriority w:val="99"/>
    <w:pPr>
      <w:ind w:firstLine="420" w:firstLineChars="200"/>
    </w:pPr>
  </w:style>
  <w:style w:type="table" w:styleId="47">
    <w:name w:val="Table Grid"/>
    <w:basedOn w:val="4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Theme"/>
    <w:basedOn w:val="46"/>
    <w:autoRedefine/>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autoRedefine/>
    <w:qFormat/>
    <w:uiPriority w:val="0"/>
    <w:rPr>
      <w:b/>
      <w:bCs/>
    </w:rPr>
  </w:style>
  <w:style w:type="character" w:styleId="51">
    <w:name w:val="page number"/>
    <w:basedOn w:val="49"/>
    <w:autoRedefine/>
    <w:qFormat/>
    <w:uiPriority w:val="0"/>
  </w:style>
  <w:style w:type="character" w:styleId="52">
    <w:name w:val="FollowedHyperlink"/>
    <w:autoRedefine/>
    <w:qFormat/>
    <w:uiPriority w:val="0"/>
    <w:rPr>
      <w:color w:val="800080"/>
      <w:u w:val="none"/>
    </w:rPr>
  </w:style>
  <w:style w:type="character" w:styleId="53">
    <w:name w:val="Emphasis"/>
    <w:autoRedefine/>
    <w:qFormat/>
    <w:uiPriority w:val="0"/>
    <w:rPr>
      <w:rFonts w:ascii="Times New Roman" w:hAnsi="Times New Roman" w:eastAsia="宋体"/>
    </w:rPr>
  </w:style>
  <w:style w:type="character" w:styleId="54">
    <w:name w:val="HTML Definition"/>
    <w:autoRedefine/>
    <w:qFormat/>
    <w:uiPriority w:val="0"/>
    <w:rPr>
      <w:rFonts w:ascii="Times New Roman" w:hAnsi="Times New Roman" w:eastAsia="宋体"/>
    </w:rPr>
  </w:style>
  <w:style w:type="character" w:styleId="55">
    <w:name w:val="HTML Variable"/>
    <w:autoRedefine/>
    <w:qFormat/>
    <w:uiPriority w:val="0"/>
    <w:rPr>
      <w:rFonts w:ascii="Times New Roman" w:hAnsi="Times New Roman" w:eastAsia="宋体"/>
    </w:rPr>
  </w:style>
  <w:style w:type="character" w:styleId="56">
    <w:name w:val="Hyperlink"/>
    <w:autoRedefine/>
    <w:qFormat/>
    <w:uiPriority w:val="0"/>
    <w:rPr>
      <w:color w:val="136EC2"/>
      <w:u w:val="single"/>
    </w:rPr>
  </w:style>
  <w:style w:type="character" w:styleId="57">
    <w:name w:val="HTML Code"/>
    <w:autoRedefine/>
    <w:qFormat/>
    <w:uiPriority w:val="0"/>
    <w:rPr>
      <w:rFonts w:ascii="Courier New" w:hAnsi="Courier New" w:eastAsia="Courier New" w:cs="Courier New"/>
      <w:sz w:val="20"/>
    </w:rPr>
  </w:style>
  <w:style w:type="character" w:styleId="58">
    <w:name w:val="annotation reference"/>
    <w:autoRedefine/>
    <w:qFormat/>
    <w:uiPriority w:val="0"/>
    <w:rPr>
      <w:sz w:val="21"/>
      <w:szCs w:val="21"/>
    </w:rPr>
  </w:style>
  <w:style w:type="character" w:styleId="59">
    <w:name w:val="HTML Cite"/>
    <w:autoRedefine/>
    <w:qFormat/>
    <w:uiPriority w:val="0"/>
    <w:rPr>
      <w:rFonts w:ascii="Times New Roman" w:hAnsi="Times New Roman" w:eastAsia="宋体"/>
    </w:rPr>
  </w:style>
  <w:style w:type="character" w:styleId="60">
    <w:name w:val="HTML Keyboard"/>
    <w:autoRedefine/>
    <w:qFormat/>
    <w:uiPriority w:val="0"/>
    <w:rPr>
      <w:rFonts w:ascii="Courier New" w:hAnsi="Courier New" w:eastAsia="Courier New" w:cs="Courier New"/>
      <w:sz w:val="20"/>
    </w:rPr>
  </w:style>
  <w:style w:type="character" w:styleId="61">
    <w:name w:val="HTML Sample"/>
    <w:autoRedefine/>
    <w:qFormat/>
    <w:uiPriority w:val="0"/>
    <w:rPr>
      <w:rFonts w:ascii="Courier New" w:hAnsi="Courier New" w:eastAsia="Courier New" w:cs="Courier New"/>
    </w:rPr>
  </w:style>
  <w:style w:type="paragraph" w:customStyle="1" w:styleId="62">
    <w:name w:val="列出段落1"/>
    <w:basedOn w:val="63"/>
    <w:autoRedefine/>
    <w:qFormat/>
    <w:uiPriority w:val="0"/>
    <w:pPr>
      <w:ind w:firstLine="420" w:firstLineChars="200"/>
    </w:pPr>
  </w:style>
  <w:style w:type="paragraph" w:customStyle="1" w:styleId="63">
    <w:name w:val="正文_0"/>
    <w:next w:val="6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5">
    <w:name w:val="页脚 Char1"/>
    <w:link w:val="29"/>
    <w:autoRedefine/>
    <w:qFormat/>
    <w:uiPriority w:val="0"/>
    <w:rPr>
      <w:rFonts w:eastAsia="宋体"/>
      <w:kern w:val="2"/>
      <w:sz w:val="18"/>
      <w:szCs w:val="18"/>
      <w:lang w:val="en-US" w:eastAsia="zh-CN" w:bidi="ar-SA"/>
    </w:rPr>
  </w:style>
  <w:style w:type="character" w:customStyle="1" w:styleId="66">
    <w:name w:val="标题 1 Char1"/>
    <w:link w:val="3"/>
    <w:autoRedefine/>
    <w:qFormat/>
    <w:uiPriority w:val="0"/>
    <w:rPr>
      <w:rFonts w:eastAsia="宋体"/>
      <w:b/>
      <w:bCs/>
      <w:kern w:val="2"/>
      <w:sz w:val="24"/>
      <w:lang w:val="en-US" w:eastAsia="zh-CN" w:bidi="ar-SA"/>
    </w:rPr>
  </w:style>
  <w:style w:type="character" w:customStyle="1" w:styleId="67">
    <w:name w:val="标题 2 Char1"/>
    <w:link w:val="4"/>
    <w:autoRedefine/>
    <w:qFormat/>
    <w:uiPriority w:val="0"/>
    <w:rPr>
      <w:rFonts w:ascii="Arial" w:hAnsi="Arial" w:eastAsia="宋体"/>
      <w:b/>
      <w:bCs/>
      <w:kern w:val="2"/>
      <w:sz w:val="24"/>
      <w:szCs w:val="32"/>
      <w:lang w:val="en-US" w:eastAsia="zh-CN" w:bidi="ar-SA"/>
    </w:rPr>
  </w:style>
  <w:style w:type="character" w:customStyle="1" w:styleId="68">
    <w:name w:val="标题 3 Char1"/>
    <w:link w:val="5"/>
    <w:autoRedefine/>
    <w:qFormat/>
    <w:uiPriority w:val="0"/>
    <w:rPr>
      <w:rFonts w:eastAsia="宋体"/>
      <w:b/>
      <w:bCs/>
      <w:kern w:val="2"/>
      <w:sz w:val="32"/>
      <w:szCs w:val="32"/>
      <w:lang w:val="en-US" w:eastAsia="zh-CN" w:bidi="ar-SA"/>
    </w:rPr>
  </w:style>
  <w:style w:type="character" w:customStyle="1" w:styleId="69">
    <w:name w:val="标题 4 Char1"/>
    <w:link w:val="6"/>
    <w:autoRedefine/>
    <w:qFormat/>
    <w:uiPriority w:val="0"/>
    <w:rPr>
      <w:rFonts w:ascii="Arial" w:hAnsi="Arial" w:eastAsia="黑体"/>
      <w:b/>
      <w:bCs/>
      <w:kern w:val="2"/>
      <w:sz w:val="28"/>
      <w:szCs w:val="28"/>
      <w:lang w:val="en-US" w:eastAsia="zh-CN" w:bidi="ar-SA"/>
    </w:rPr>
  </w:style>
  <w:style w:type="character" w:customStyle="1" w:styleId="70">
    <w:name w:val="标题 5 Char1"/>
    <w:link w:val="7"/>
    <w:autoRedefine/>
    <w:qFormat/>
    <w:uiPriority w:val="0"/>
    <w:rPr>
      <w:rFonts w:eastAsia="宋体"/>
      <w:b/>
      <w:bCs/>
      <w:sz w:val="28"/>
      <w:szCs w:val="28"/>
      <w:lang w:val="en-US" w:eastAsia="zh-CN" w:bidi="ar-SA"/>
    </w:rPr>
  </w:style>
  <w:style w:type="character" w:customStyle="1" w:styleId="71">
    <w:name w:val="标题 6 Char1"/>
    <w:link w:val="8"/>
    <w:autoRedefine/>
    <w:qFormat/>
    <w:uiPriority w:val="0"/>
    <w:rPr>
      <w:rFonts w:ascii="Arial" w:hAnsi="Arial" w:eastAsia="黑体"/>
      <w:b/>
      <w:bCs/>
      <w:sz w:val="24"/>
      <w:szCs w:val="24"/>
      <w:lang w:val="en-US" w:eastAsia="zh-CN" w:bidi="ar-SA"/>
    </w:rPr>
  </w:style>
  <w:style w:type="character" w:customStyle="1" w:styleId="72">
    <w:name w:val="标题 7 Char1"/>
    <w:link w:val="9"/>
    <w:autoRedefine/>
    <w:qFormat/>
    <w:uiPriority w:val="0"/>
    <w:rPr>
      <w:rFonts w:eastAsia="宋体"/>
      <w:b/>
      <w:bCs/>
      <w:sz w:val="24"/>
      <w:szCs w:val="24"/>
      <w:lang w:val="en-US" w:eastAsia="zh-CN" w:bidi="ar-SA"/>
    </w:rPr>
  </w:style>
  <w:style w:type="character" w:customStyle="1" w:styleId="73">
    <w:name w:val="标题 8 Char1"/>
    <w:link w:val="10"/>
    <w:autoRedefine/>
    <w:qFormat/>
    <w:uiPriority w:val="0"/>
    <w:rPr>
      <w:rFonts w:ascii="Arial" w:hAnsi="Arial" w:eastAsia="黑体"/>
      <w:sz w:val="24"/>
      <w:szCs w:val="24"/>
      <w:lang w:val="en-US" w:eastAsia="zh-CN" w:bidi="ar-SA"/>
    </w:rPr>
  </w:style>
  <w:style w:type="character" w:customStyle="1" w:styleId="74">
    <w:name w:val="标题 9 Char1"/>
    <w:link w:val="11"/>
    <w:autoRedefine/>
    <w:qFormat/>
    <w:uiPriority w:val="0"/>
    <w:rPr>
      <w:rFonts w:ascii="Arial" w:hAnsi="Arial" w:eastAsia="黑体"/>
      <w:sz w:val="21"/>
      <w:szCs w:val="21"/>
      <w:lang w:val="en-US" w:eastAsia="zh-CN" w:bidi="ar-SA"/>
    </w:rPr>
  </w:style>
  <w:style w:type="character" w:customStyle="1" w:styleId="75">
    <w:name w:val="批注文字 Char1"/>
    <w:link w:val="16"/>
    <w:autoRedefine/>
    <w:qFormat/>
    <w:uiPriority w:val="0"/>
    <w:rPr>
      <w:rFonts w:eastAsia="宋体"/>
      <w:kern w:val="2"/>
      <w:sz w:val="21"/>
      <w:szCs w:val="24"/>
      <w:lang w:val="en-US" w:eastAsia="zh-CN" w:bidi="ar-SA"/>
    </w:rPr>
  </w:style>
  <w:style w:type="character" w:customStyle="1" w:styleId="76">
    <w:name w:val="正文文本 Char"/>
    <w:link w:val="19"/>
    <w:autoRedefine/>
    <w:qFormat/>
    <w:uiPriority w:val="99"/>
    <w:rPr>
      <w:kern w:val="2"/>
      <w:sz w:val="21"/>
      <w:szCs w:val="24"/>
    </w:rPr>
  </w:style>
  <w:style w:type="character" w:customStyle="1" w:styleId="77">
    <w:name w:val="正文文本缩进 Char"/>
    <w:link w:val="20"/>
    <w:autoRedefine/>
    <w:qFormat/>
    <w:uiPriority w:val="0"/>
    <w:rPr>
      <w:rFonts w:eastAsia="宋体"/>
      <w:kern w:val="2"/>
      <w:sz w:val="21"/>
      <w:szCs w:val="24"/>
      <w:lang w:val="en-US" w:eastAsia="zh-CN" w:bidi="ar-SA"/>
    </w:rPr>
  </w:style>
  <w:style w:type="character" w:customStyle="1" w:styleId="78">
    <w:name w:val="纯文本 Char"/>
    <w:link w:val="24"/>
    <w:autoRedefine/>
    <w:semiHidden/>
    <w:qFormat/>
    <w:locked/>
    <w:uiPriority w:val="0"/>
    <w:rPr>
      <w:rFonts w:ascii="宋体" w:hAnsi="Courier New" w:eastAsia="宋体" w:cs="Courier New"/>
      <w:kern w:val="2"/>
      <w:sz w:val="21"/>
      <w:szCs w:val="21"/>
      <w:lang w:val="en-US" w:eastAsia="zh-CN" w:bidi="ar-SA"/>
    </w:rPr>
  </w:style>
  <w:style w:type="character" w:customStyle="1" w:styleId="79">
    <w:name w:val="日期 Char1"/>
    <w:link w:val="26"/>
    <w:autoRedefine/>
    <w:qFormat/>
    <w:uiPriority w:val="0"/>
    <w:rPr>
      <w:rFonts w:eastAsia="宋体"/>
      <w:kern w:val="2"/>
      <w:sz w:val="24"/>
      <w:lang w:val="en-US" w:eastAsia="zh-CN" w:bidi="ar-SA"/>
    </w:rPr>
  </w:style>
  <w:style w:type="character" w:customStyle="1" w:styleId="80">
    <w:name w:val="批注框文本 Char1"/>
    <w:link w:val="28"/>
    <w:autoRedefine/>
    <w:semiHidden/>
    <w:qFormat/>
    <w:locked/>
    <w:uiPriority w:val="0"/>
    <w:rPr>
      <w:rFonts w:ascii="Calibri" w:hAnsi="Calibri" w:eastAsia="宋体"/>
      <w:kern w:val="2"/>
      <w:sz w:val="18"/>
      <w:szCs w:val="18"/>
      <w:lang w:val="en-US" w:eastAsia="zh-CN" w:bidi="ar-SA"/>
    </w:rPr>
  </w:style>
  <w:style w:type="character" w:customStyle="1" w:styleId="81">
    <w:name w:val="页眉 Char1"/>
    <w:link w:val="31"/>
    <w:autoRedefine/>
    <w:qFormat/>
    <w:uiPriority w:val="0"/>
    <w:rPr>
      <w:rFonts w:eastAsia="宋体"/>
      <w:kern w:val="2"/>
      <w:sz w:val="18"/>
      <w:szCs w:val="18"/>
      <w:lang w:val="en-US" w:eastAsia="zh-CN" w:bidi="ar-SA"/>
    </w:rPr>
  </w:style>
  <w:style w:type="character" w:customStyle="1" w:styleId="82">
    <w:name w:val="副标题 Char"/>
    <w:link w:val="34"/>
    <w:autoRedefine/>
    <w:qFormat/>
    <w:uiPriority w:val="0"/>
    <w:rPr>
      <w:rFonts w:ascii="Cambria" w:hAnsi="Cambria" w:cs="Times New Roman"/>
      <w:b/>
      <w:bCs/>
      <w:kern w:val="28"/>
      <w:sz w:val="32"/>
      <w:szCs w:val="32"/>
    </w:rPr>
  </w:style>
  <w:style w:type="character" w:customStyle="1" w:styleId="83">
    <w:name w:val="正文文本缩进 3 Char1"/>
    <w:link w:val="36"/>
    <w:autoRedefine/>
    <w:qFormat/>
    <w:uiPriority w:val="0"/>
    <w:rPr>
      <w:rFonts w:eastAsia="宋体"/>
      <w:kern w:val="2"/>
      <w:sz w:val="16"/>
      <w:szCs w:val="16"/>
      <w:lang w:val="en-US" w:eastAsia="zh-CN" w:bidi="ar-SA"/>
    </w:rPr>
  </w:style>
  <w:style w:type="character" w:customStyle="1" w:styleId="84">
    <w:name w:val="标题 Char2"/>
    <w:link w:val="43"/>
    <w:autoRedefine/>
    <w:qFormat/>
    <w:uiPriority w:val="0"/>
    <w:rPr>
      <w:rFonts w:ascii="Cambria" w:hAnsi="Cambria"/>
      <w:b/>
      <w:kern w:val="2"/>
      <w:sz w:val="32"/>
      <w:szCs w:val="24"/>
    </w:rPr>
  </w:style>
  <w:style w:type="character" w:customStyle="1" w:styleId="85">
    <w:name w:val="批注主题 Char1"/>
    <w:link w:val="44"/>
    <w:autoRedefine/>
    <w:qFormat/>
    <w:uiPriority w:val="0"/>
    <w:rPr>
      <w:rFonts w:eastAsia="宋体"/>
      <w:b/>
      <w:bCs/>
      <w:kern w:val="2"/>
      <w:sz w:val="21"/>
      <w:szCs w:val="24"/>
      <w:lang w:val="en-US" w:eastAsia="zh-CN" w:bidi="ar-SA"/>
    </w:rPr>
  </w:style>
  <w:style w:type="character" w:customStyle="1" w:styleId="86">
    <w:name w:val="bds_more9"/>
    <w:autoRedefine/>
    <w:qFormat/>
    <w:uiPriority w:val="0"/>
    <w:rPr>
      <w:rFonts w:ascii="Times New Roman" w:hAnsi="Times New Roman" w:eastAsia="宋体"/>
    </w:rPr>
  </w:style>
  <w:style w:type="character" w:customStyle="1" w:styleId="87">
    <w:name w:val="页眉 Char"/>
    <w:autoRedefine/>
    <w:qFormat/>
    <w:uiPriority w:val="0"/>
    <w:rPr>
      <w:kern w:val="2"/>
      <w:sz w:val="18"/>
      <w:szCs w:val="18"/>
    </w:rPr>
  </w:style>
  <w:style w:type="character" w:customStyle="1" w:styleId="88">
    <w:name w:val="Font Style123"/>
    <w:autoRedefine/>
    <w:unhideWhenUsed/>
    <w:qFormat/>
    <w:uiPriority w:val="0"/>
    <w:rPr>
      <w:rFonts w:hint="eastAsia" w:ascii="宋体" w:hAnsi="宋体" w:eastAsia="宋体"/>
      <w:b/>
      <w:sz w:val="32"/>
    </w:rPr>
  </w:style>
  <w:style w:type="character" w:customStyle="1" w:styleId="89">
    <w:name w:val="Char Char17"/>
    <w:autoRedefine/>
    <w:qFormat/>
    <w:uiPriority w:val="0"/>
    <w:rPr>
      <w:rFonts w:ascii="宋体" w:hAnsi="Times New Roman" w:eastAsia="宋体"/>
      <w:b/>
      <w:sz w:val="28"/>
      <w:lang w:val="en-US" w:eastAsia="zh-CN" w:bidi="ar-SA"/>
    </w:rPr>
  </w:style>
  <w:style w:type="character" w:customStyle="1" w:styleId="90">
    <w:name w:val="Font Style105"/>
    <w:autoRedefine/>
    <w:unhideWhenUsed/>
    <w:qFormat/>
    <w:uiPriority w:val="0"/>
    <w:rPr>
      <w:rFonts w:hint="eastAsia" w:ascii="Times New Roman" w:hAnsi="Times New Roman" w:eastAsia="Times New Roman"/>
      <w:w w:val="60"/>
      <w:sz w:val="26"/>
    </w:rPr>
  </w:style>
  <w:style w:type="character" w:customStyle="1" w:styleId="91">
    <w:name w:val="Font Style90"/>
    <w:autoRedefine/>
    <w:unhideWhenUsed/>
    <w:qFormat/>
    <w:uiPriority w:val="0"/>
    <w:rPr>
      <w:rFonts w:hint="eastAsia" w:ascii="宋体" w:hAnsi="宋体" w:eastAsia="宋体"/>
      <w:b/>
      <w:spacing w:val="-20"/>
      <w:sz w:val="40"/>
    </w:rPr>
  </w:style>
  <w:style w:type="character" w:customStyle="1" w:styleId="92">
    <w:name w:val="Font Style127"/>
    <w:autoRedefine/>
    <w:unhideWhenUsed/>
    <w:qFormat/>
    <w:uiPriority w:val="0"/>
    <w:rPr>
      <w:rFonts w:hint="eastAsia" w:ascii="Times New Roman" w:hAnsi="Times New Roman" w:eastAsia="Times New Roman"/>
      <w:sz w:val="20"/>
    </w:rPr>
  </w:style>
  <w:style w:type="character" w:customStyle="1" w:styleId="93">
    <w:name w:val="bds_more8"/>
    <w:autoRedefine/>
    <w:qFormat/>
    <w:uiPriority w:val="0"/>
    <w:rPr>
      <w:rFonts w:ascii="Times New Roman" w:hAnsi="Times New Roman" w:eastAsia="宋体"/>
    </w:rPr>
  </w:style>
  <w:style w:type="character" w:customStyle="1" w:styleId="94">
    <w:name w:val="Font Style119"/>
    <w:autoRedefine/>
    <w:unhideWhenUsed/>
    <w:qFormat/>
    <w:uiPriority w:val="0"/>
    <w:rPr>
      <w:rFonts w:hint="eastAsia" w:ascii="宋体" w:hAnsi="宋体" w:eastAsia="宋体"/>
      <w:sz w:val="24"/>
    </w:rPr>
  </w:style>
  <w:style w:type="character" w:customStyle="1" w:styleId="95">
    <w:name w:val="标题 4 Char"/>
    <w:autoRedefine/>
    <w:qFormat/>
    <w:uiPriority w:val="0"/>
    <w:rPr>
      <w:rFonts w:ascii="Arial" w:hAnsi="Arial" w:eastAsia="宋体" w:cs="Times New Roman"/>
      <w:b/>
      <w:bCs/>
      <w:szCs w:val="28"/>
    </w:rPr>
  </w:style>
  <w:style w:type="character" w:customStyle="1" w:styleId="96">
    <w:name w:val="副标题 Char1"/>
    <w:autoRedefine/>
    <w:qFormat/>
    <w:uiPriority w:val="0"/>
    <w:rPr>
      <w:rFonts w:ascii="Cambria" w:hAnsi="Cambria"/>
      <w:b/>
      <w:bCs/>
      <w:kern w:val="28"/>
      <w:sz w:val="32"/>
      <w:szCs w:val="32"/>
    </w:rPr>
  </w:style>
  <w:style w:type="character" w:customStyle="1" w:styleId="97">
    <w:name w:val="bds_more10"/>
    <w:autoRedefine/>
    <w:qFormat/>
    <w:uiPriority w:val="0"/>
    <w:rPr>
      <w:rFonts w:ascii="Times New Roman" w:hAnsi="Times New Roman" w:eastAsia="宋体"/>
    </w:rPr>
  </w:style>
  <w:style w:type="character" w:customStyle="1" w:styleId="98">
    <w:name w:val="bds_nopic"/>
    <w:autoRedefine/>
    <w:qFormat/>
    <w:uiPriority w:val="0"/>
    <w:rPr>
      <w:rFonts w:ascii="Times New Roman" w:hAnsi="Times New Roman" w:eastAsia="宋体"/>
    </w:rPr>
  </w:style>
  <w:style w:type="character" w:customStyle="1" w:styleId="99">
    <w:name w:val="Font Style121"/>
    <w:autoRedefine/>
    <w:unhideWhenUsed/>
    <w:qFormat/>
    <w:uiPriority w:val="0"/>
    <w:rPr>
      <w:rFonts w:hint="eastAsia" w:ascii="宋体" w:hAnsi="宋体" w:eastAsia="宋体"/>
      <w:spacing w:val="-10"/>
      <w:sz w:val="30"/>
    </w:rPr>
  </w:style>
  <w:style w:type="character" w:customStyle="1" w:styleId="100">
    <w:name w:val="Font Style124"/>
    <w:autoRedefine/>
    <w:unhideWhenUsed/>
    <w:qFormat/>
    <w:uiPriority w:val="0"/>
    <w:rPr>
      <w:rFonts w:hint="eastAsia" w:ascii="宋体" w:hAnsi="宋体" w:eastAsia="宋体"/>
      <w:spacing w:val="30"/>
      <w:sz w:val="24"/>
    </w:rPr>
  </w:style>
  <w:style w:type="character" w:customStyle="1" w:styleId="101">
    <w:name w:val="content_2"/>
    <w:autoRedefine/>
    <w:qFormat/>
    <w:uiPriority w:val="0"/>
    <w:rPr>
      <w:sz w:val="19"/>
      <w:szCs w:val="19"/>
    </w:rPr>
  </w:style>
  <w:style w:type="character" w:customStyle="1" w:styleId="102">
    <w:name w:val="Font Style115"/>
    <w:autoRedefine/>
    <w:unhideWhenUsed/>
    <w:qFormat/>
    <w:uiPriority w:val="0"/>
    <w:rPr>
      <w:rFonts w:hint="eastAsia" w:ascii="Times New Roman" w:hAnsi="Times New Roman" w:eastAsia="Times New Roman"/>
      <w:sz w:val="16"/>
    </w:rPr>
  </w:style>
  <w:style w:type="character" w:customStyle="1" w:styleId="103">
    <w:name w:val="Char Char16"/>
    <w:autoRedefine/>
    <w:qFormat/>
    <w:uiPriority w:val="0"/>
    <w:rPr>
      <w:rFonts w:ascii="宋体" w:hAnsi="Times New Roman" w:eastAsia="宋体"/>
      <w:b/>
      <w:sz w:val="24"/>
      <w:lang w:val="en-US" w:eastAsia="zh-CN" w:bidi="ar-SA"/>
    </w:rPr>
  </w:style>
  <w:style w:type="character" w:customStyle="1" w:styleId="104">
    <w:name w:val="Font Style94"/>
    <w:autoRedefine/>
    <w:unhideWhenUsed/>
    <w:qFormat/>
    <w:uiPriority w:val="0"/>
    <w:rPr>
      <w:rFonts w:hint="eastAsia" w:ascii="Times New Roman" w:hAnsi="Times New Roman" w:eastAsia="Times New Roman"/>
      <w:sz w:val="28"/>
    </w:rPr>
  </w:style>
  <w:style w:type="character" w:customStyle="1" w:styleId="105">
    <w:name w:val="Font Style133"/>
    <w:autoRedefine/>
    <w:unhideWhenUsed/>
    <w:qFormat/>
    <w:uiPriority w:val="0"/>
    <w:rPr>
      <w:rFonts w:hint="eastAsia" w:ascii="宋体" w:hAnsi="宋体" w:eastAsia="宋体"/>
      <w:spacing w:val="30"/>
      <w:sz w:val="24"/>
    </w:rPr>
  </w:style>
  <w:style w:type="character" w:customStyle="1" w:styleId="106">
    <w:name w:val="bds_nopic1"/>
    <w:autoRedefine/>
    <w:qFormat/>
    <w:uiPriority w:val="0"/>
    <w:rPr>
      <w:rFonts w:ascii="Times New Roman" w:hAnsi="Times New Roman" w:eastAsia="宋体"/>
    </w:rPr>
  </w:style>
  <w:style w:type="character" w:customStyle="1" w:styleId="107">
    <w:name w:val="Char Char151"/>
    <w:autoRedefine/>
    <w:qFormat/>
    <w:uiPriority w:val="0"/>
    <w:rPr>
      <w:b/>
      <w:bCs/>
      <w:sz w:val="24"/>
      <w:szCs w:val="24"/>
    </w:rPr>
  </w:style>
  <w:style w:type="character" w:customStyle="1" w:styleId="108">
    <w:name w:val="Font Style86"/>
    <w:autoRedefine/>
    <w:unhideWhenUsed/>
    <w:qFormat/>
    <w:uiPriority w:val="0"/>
    <w:rPr>
      <w:rFonts w:hint="eastAsia" w:ascii="黑体" w:hAnsi="黑体" w:eastAsia="黑体"/>
      <w:spacing w:val="10"/>
      <w:sz w:val="30"/>
    </w:rPr>
  </w:style>
  <w:style w:type="character" w:customStyle="1" w:styleId="109">
    <w:name w:val="Char Char141"/>
    <w:autoRedefine/>
    <w:qFormat/>
    <w:uiPriority w:val="0"/>
    <w:rPr>
      <w:rFonts w:ascii="Arial" w:hAnsi="Arial" w:eastAsia="黑体"/>
      <w:b/>
      <w:bCs/>
      <w:sz w:val="28"/>
      <w:szCs w:val="28"/>
      <w:lang w:val="en-US" w:eastAsia="zh-CN" w:bidi="ar-SA"/>
    </w:rPr>
  </w:style>
  <w:style w:type="character" w:customStyle="1" w:styleId="110">
    <w:name w:val="polysemyexp"/>
    <w:autoRedefine/>
    <w:qFormat/>
    <w:uiPriority w:val="0"/>
    <w:rPr>
      <w:rFonts w:ascii="Times New Roman" w:hAnsi="Times New Roman" w:eastAsia="宋体"/>
      <w:color w:val="AAAAAA"/>
      <w:sz w:val="18"/>
      <w:szCs w:val="18"/>
    </w:rPr>
  </w:style>
  <w:style w:type="character" w:customStyle="1" w:styleId="111">
    <w:name w:val="fontstrikethrough"/>
    <w:autoRedefine/>
    <w:qFormat/>
    <w:uiPriority w:val="0"/>
    <w:rPr>
      <w:strike/>
    </w:rPr>
  </w:style>
  <w:style w:type="character" w:customStyle="1" w:styleId="112">
    <w:name w:val="sidecatalog-dot"/>
    <w:autoRedefine/>
    <w:qFormat/>
    <w:uiPriority w:val="0"/>
    <w:rPr>
      <w:rFonts w:ascii="Times New Roman" w:hAnsi="Times New Roman" w:eastAsia="宋体"/>
    </w:rPr>
  </w:style>
  <w:style w:type="character" w:customStyle="1" w:styleId="113">
    <w:name w:val="p0 Char Char"/>
    <w:autoRedefine/>
    <w:qFormat/>
    <w:uiPriority w:val="0"/>
    <w:rPr>
      <w:rFonts w:eastAsia="宋体"/>
      <w:kern w:val="2"/>
      <w:sz w:val="21"/>
      <w:szCs w:val="21"/>
      <w:lang w:val="en-US" w:eastAsia="zh-CN" w:bidi="ar-SA"/>
    </w:rPr>
  </w:style>
  <w:style w:type="character" w:customStyle="1" w:styleId="114">
    <w:name w:val="批注框文本 Char"/>
    <w:autoRedefine/>
    <w:qFormat/>
    <w:uiPriority w:val="0"/>
    <w:rPr>
      <w:kern w:val="2"/>
      <w:sz w:val="18"/>
      <w:szCs w:val="18"/>
    </w:rPr>
  </w:style>
  <w:style w:type="character" w:customStyle="1" w:styleId="115">
    <w:name w:val="标题 9 Char"/>
    <w:autoRedefine/>
    <w:qFormat/>
    <w:uiPriority w:val="0"/>
    <w:rPr>
      <w:rFonts w:ascii="Arial" w:hAnsi="Arial" w:eastAsia="黑体"/>
      <w:sz w:val="21"/>
      <w:szCs w:val="21"/>
    </w:rPr>
  </w:style>
  <w:style w:type="character" w:customStyle="1" w:styleId="116">
    <w:name w:val="Char Char61"/>
    <w:autoRedefine/>
    <w:qFormat/>
    <w:uiPriority w:val="0"/>
    <w:rPr>
      <w:rFonts w:ascii="Arial" w:hAnsi="Arial" w:eastAsia="黑体"/>
      <w:sz w:val="24"/>
      <w:szCs w:val="24"/>
      <w:lang w:val="en-US" w:eastAsia="zh-CN" w:bidi="ar-SA"/>
    </w:rPr>
  </w:style>
  <w:style w:type="character" w:customStyle="1" w:styleId="117">
    <w:name w:val="标题 3 Char"/>
    <w:autoRedefine/>
    <w:qFormat/>
    <w:uiPriority w:val="0"/>
    <w:rPr>
      <w:b/>
      <w:bCs/>
      <w:sz w:val="24"/>
      <w:szCs w:val="24"/>
    </w:rPr>
  </w:style>
  <w:style w:type="character" w:customStyle="1" w:styleId="118">
    <w:name w:val="Font Style104"/>
    <w:autoRedefine/>
    <w:unhideWhenUsed/>
    <w:qFormat/>
    <w:uiPriority w:val="0"/>
    <w:rPr>
      <w:rFonts w:hint="eastAsia" w:ascii="宋体" w:hAnsi="宋体" w:eastAsia="宋体"/>
      <w:spacing w:val="30"/>
      <w:sz w:val="18"/>
    </w:rPr>
  </w:style>
  <w:style w:type="character" w:customStyle="1" w:styleId="119">
    <w:name w:val="Char Char14"/>
    <w:autoRedefine/>
    <w:qFormat/>
    <w:uiPriority w:val="0"/>
    <w:rPr>
      <w:rFonts w:ascii="Arial" w:hAnsi="Arial" w:eastAsia="黑体"/>
      <w:b/>
      <w:bCs/>
      <w:sz w:val="28"/>
      <w:szCs w:val="28"/>
      <w:lang w:val="en-US" w:eastAsia="zh-CN" w:bidi="ar-SA"/>
    </w:rPr>
  </w:style>
  <w:style w:type="character" w:customStyle="1" w:styleId="120">
    <w:name w:val="Font Style128"/>
    <w:autoRedefine/>
    <w:unhideWhenUsed/>
    <w:qFormat/>
    <w:uiPriority w:val="0"/>
    <w:rPr>
      <w:rFonts w:hint="eastAsia" w:ascii="Times New Roman" w:hAnsi="Times New Roman" w:eastAsia="Times New Roman"/>
      <w:sz w:val="16"/>
    </w:rPr>
  </w:style>
  <w:style w:type="character" w:customStyle="1" w:styleId="121">
    <w:name w:val="样式1 字符"/>
    <w:link w:val="122"/>
    <w:autoRedefine/>
    <w:qFormat/>
    <w:uiPriority w:val="0"/>
    <w:rPr>
      <w:rFonts w:ascii="宋体" w:hAnsi="宋体"/>
      <w:sz w:val="21"/>
      <w:szCs w:val="21"/>
    </w:rPr>
  </w:style>
  <w:style w:type="paragraph" w:customStyle="1" w:styleId="122">
    <w:name w:val="样式1"/>
    <w:basedOn w:val="1"/>
    <w:link w:val="121"/>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123">
    <w:name w:val="fontborder"/>
    <w:autoRedefine/>
    <w:qFormat/>
    <w:uiPriority w:val="0"/>
    <w:rPr>
      <w:bdr w:val="single" w:color="000000" w:sz="6" w:space="0"/>
    </w:rPr>
  </w:style>
  <w:style w:type="character" w:customStyle="1" w:styleId="124">
    <w:name w:val="纯文本 字符"/>
    <w:autoRedefine/>
    <w:qFormat/>
    <w:uiPriority w:val="0"/>
    <w:rPr>
      <w:rFonts w:ascii="宋体" w:hAnsi="Courier New" w:eastAsia="宋体" w:cs="Courier New"/>
      <w:kern w:val="2"/>
      <w:sz w:val="21"/>
      <w:szCs w:val="21"/>
      <w:lang w:val="en-US" w:eastAsia="zh-CN" w:bidi="ar-SA"/>
    </w:rPr>
  </w:style>
  <w:style w:type="character" w:customStyle="1" w:styleId="125">
    <w:name w:val="标题 4 Char Char"/>
    <w:autoRedefine/>
    <w:qFormat/>
    <w:uiPriority w:val="0"/>
    <w:rPr>
      <w:rFonts w:ascii="Arial" w:hAnsi="Arial" w:eastAsia="宋体"/>
      <w:b/>
      <w:bCs/>
      <w:kern w:val="2"/>
      <w:sz w:val="21"/>
      <w:szCs w:val="28"/>
      <w:lang w:val="en-US" w:eastAsia="zh-CN" w:bidi="ar-SA"/>
    </w:rPr>
  </w:style>
  <w:style w:type="character" w:customStyle="1" w:styleId="126">
    <w:name w:val="标题 5 Char"/>
    <w:autoRedefine/>
    <w:qFormat/>
    <w:uiPriority w:val="0"/>
    <w:rPr>
      <w:b/>
      <w:bCs/>
      <w:kern w:val="2"/>
      <w:sz w:val="28"/>
      <w:szCs w:val="28"/>
    </w:rPr>
  </w:style>
  <w:style w:type="character" w:customStyle="1" w:styleId="127">
    <w:name w:val="标题 1 Char"/>
    <w:autoRedefine/>
    <w:qFormat/>
    <w:uiPriority w:val="0"/>
    <w:rPr>
      <w:rFonts w:ascii="Cambria" w:hAnsi="Cambria"/>
      <w:b/>
      <w:bCs/>
      <w:kern w:val="32"/>
      <w:sz w:val="32"/>
      <w:szCs w:val="32"/>
    </w:rPr>
  </w:style>
  <w:style w:type="character" w:customStyle="1" w:styleId="128">
    <w:name w:val="morelink-item"/>
    <w:autoRedefine/>
    <w:qFormat/>
    <w:uiPriority w:val="0"/>
    <w:rPr>
      <w:rFonts w:ascii="Times New Roman" w:hAnsi="Times New Roman" w:eastAsia="宋体"/>
    </w:rPr>
  </w:style>
  <w:style w:type="character" w:customStyle="1" w:styleId="129">
    <w:name w:val="Char Char6"/>
    <w:autoRedefine/>
    <w:qFormat/>
    <w:uiPriority w:val="0"/>
    <w:rPr>
      <w:rFonts w:ascii="Arial" w:hAnsi="Arial" w:eastAsia="黑体"/>
      <w:sz w:val="24"/>
      <w:szCs w:val="24"/>
      <w:lang w:val="en-US" w:eastAsia="zh-CN" w:bidi="ar-SA"/>
    </w:rPr>
  </w:style>
  <w:style w:type="character" w:customStyle="1" w:styleId="130">
    <w:name w:val="Font Style122"/>
    <w:autoRedefine/>
    <w:unhideWhenUsed/>
    <w:qFormat/>
    <w:uiPriority w:val="0"/>
    <w:rPr>
      <w:rFonts w:hint="eastAsia" w:ascii="宋体" w:hAnsi="宋体" w:eastAsia="宋体"/>
      <w:spacing w:val="20"/>
      <w:sz w:val="24"/>
    </w:rPr>
  </w:style>
  <w:style w:type="character" w:customStyle="1" w:styleId="131">
    <w:name w:val="标题 2 Char"/>
    <w:autoRedefine/>
    <w:qFormat/>
    <w:uiPriority w:val="0"/>
    <w:rPr>
      <w:rFonts w:ascii="Cambria" w:hAnsi="Cambria" w:eastAsia="宋体" w:cs="Times New Roman"/>
      <w:b/>
      <w:bCs/>
      <w:kern w:val="2"/>
      <w:sz w:val="32"/>
      <w:szCs w:val="32"/>
    </w:rPr>
  </w:style>
  <w:style w:type="character" w:customStyle="1" w:styleId="132">
    <w:name w:val="polysemyred"/>
    <w:autoRedefine/>
    <w:qFormat/>
    <w:uiPriority w:val="0"/>
    <w:rPr>
      <w:rFonts w:ascii="Times New Roman" w:hAnsi="Times New Roman" w:eastAsia="宋体"/>
      <w:color w:val="FF6666"/>
      <w:sz w:val="18"/>
      <w:szCs w:val="18"/>
    </w:rPr>
  </w:style>
  <w:style w:type="character" w:customStyle="1" w:styleId="133">
    <w:name w:val="sidecatalog-dot1"/>
    <w:autoRedefine/>
    <w:qFormat/>
    <w:uiPriority w:val="0"/>
    <w:rPr>
      <w:rFonts w:ascii="Times New Roman" w:hAnsi="Times New Roman" w:eastAsia="宋体"/>
    </w:rPr>
  </w:style>
  <w:style w:type="character" w:customStyle="1" w:styleId="134">
    <w:name w:val="表头 Char"/>
    <w:link w:val="135"/>
    <w:autoRedefine/>
    <w:qFormat/>
    <w:uiPriority w:val="0"/>
    <w:rPr>
      <w:rFonts w:ascii="Arial" w:hAnsi="Arial" w:eastAsia="黑体" w:cs="宋体"/>
      <w:kern w:val="2"/>
    </w:rPr>
  </w:style>
  <w:style w:type="paragraph" w:customStyle="1" w:styleId="135">
    <w:name w:val="表头"/>
    <w:basedOn w:val="14"/>
    <w:link w:val="134"/>
    <w:autoRedefine/>
    <w:qFormat/>
    <w:uiPriority w:val="0"/>
    <w:pPr>
      <w:spacing w:before="152" w:after="160" w:line="360" w:lineRule="auto"/>
      <w:ind w:left="-180"/>
      <w:jc w:val="center"/>
    </w:pPr>
    <w:rPr>
      <w:rFonts w:ascii="Arial" w:hAnsi="Arial"/>
    </w:rPr>
  </w:style>
  <w:style w:type="character" w:customStyle="1" w:styleId="136">
    <w:name w:val="Font Style125"/>
    <w:autoRedefine/>
    <w:unhideWhenUsed/>
    <w:qFormat/>
    <w:uiPriority w:val="0"/>
    <w:rPr>
      <w:rFonts w:hint="eastAsia" w:ascii="宋体" w:hAnsi="宋体" w:eastAsia="宋体"/>
      <w:b/>
      <w:sz w:val="26"/>
    </w:rPr>
  </w:style>
  <w:style w:type="character" w:customStyle="1" w:styleId="137">
    <w:name w:val="批注文字 Char"/>
    <w:autoRedefine/>
    <w:qFormat/>
    <w:uiPriority w:val="0"/>
    <w:rPr>
      <w:kern w:val="2"/>
      <w:sz w:val="21"/>
      <w:szCs w:val="24"/>
    </w:rPr>
  </w:style>
  <w:style w:type="character" w:customStyle="1" w:styleId="138">
    <w:name w:val="Char Char161"/>
    <w:autoRedefine/>
    <w:qFormat/>
    <w:uiPriority w:val="0"/>
    <w:rPr>
      <w:rFonts w:ascii="宋体" w:hAnsi="Times New Roman" w:eastAsia="宋体"/>
      <w:b/>
      <w:sz w:val="24"/>
      <w:lang w:val="en-US" w:eastAsia="zh-CN" w:bidi="ar-SA"/>
    </w:rPr>
  </w:style>
  <w:style w:type="character" w:customStyle="1" w:styleId="139">
    <w:name w:val="标题 7 Char"/>
    <w:autoRedefine/>
    <w:qFormat/>
    <w:uiPriority w:val="0"/>
    <w:rPr>
      <w:b/>
      <w:bCs/>
      <w:sz w:val="24"/>
      <w:szCs w:val="24"/>
    </w:rPr>
  </w:style>
  <w:style w:type="character" w:customStyle="1" w:styleId="140">
    <w:name w:val="标题 Char"/>
    <w:autoRedefine/>
    <w:qFormat/>
    <w:uiPriority w:val="0"/>
    <w:rPr>
      <w:rFonts w:ascii="Cambria" w:hAnsi="Cambria"/>
      <w:b/>
      <w:kern w:val="2"/>
      <w:sz w:val="32"/>
      <w:szCs w:val="24"/>
    </w:rPr>
  </w:style>
  <w:style w:type="character" w:customStyle="1" w:styleId="141">
    <w:name w:val="批注主题 Char"/>
    <w:autoRedefine/>
    <w:qFormat/>
    <w:uiPriority w:val="0"/>
    <w:rPr>
      <w:b/>
      <w:bCs/>
      <w:kern w:val="2"/>
      <w:sz w:val="21"/>
      <w:szCs w:val="24"/>
    </w:rPr>
  </w:style>
  <w:style w:type="character" w:customStyle="1" w:styleId="142">
    <w:name w:val="Char Char171"/>
    <w:autoRedefine/>
    <w:qFormat/>
    <w:uiPriority w:val="0"/>
    <w:rPr>
      <w:rFonts w:ascii="宋体" w:hAnsi="Times New Roman" w:eastAsia="宋体"/>
      <w:b/>
      <w:sz w:val="28"/>
      <w:lang w:val="en-US" w:eastAsia="zh-CN" w:bidi="ar-SA"/>
    </w:rPr>
  </w:style>
  <w:style w:type="character" w:customStyle="1" w:styleId="143">
    <w:name w:val="Font Style134"/>
    <w:autoRedefine/>
    <w:unhideWhenUsed/>
    <w:qFormat/>
    <w:uiPriority w:val="0"/>
    <w:rPr>
      <w:rFonts w:hint="eastAsia" w:ascii="宋体" w:hAnsi="宋体" w:eastAsia="宋体"/>
      <w:spacing w:val="20"/>
      <w:sz w:val="22"/>
    </w:rPr>
  </w:style>
  <w:style w:type="character" w:customStyle="1" w:styleId="144">
    <w:name w:val="标题 6 Char"/>
    <w:autoRedefine/>
    <w:qFormat/>
    <w:uiPriority w:val="0"/>
    <w:rPr>
      <w:rFonts w:ascii="Arial" w:hAnsi="Arial" w:eastAsia="黑体"/>
      <w:b/>
      <w:bCs/>
      <w:sz w:val="24"/>
      <w:szCs w:val="24"/>
    </w:rPr>
  </w:style>
  <w:style w:type="character" w:customStyle="1" w:styleId="145">
    <w:name w:val="bds_nopic2"/>
    <w:autoRedefine/>
    <w:qFormat/>
    <w:uiPriority w:val="0"/>
    <w:rPr>
      <w:rFonts w:ascii="Times New Roman" w:hAnsi="Times New Roman" w:eastAsia="宋体"/>
    </w:rPr>
  </w:style>
  <w:style w:type="character" w:customStyle="1" w:styleId="146">
    <w:name w:val="sort"/>
    <w:autoRedefine/>
    <w:qFormat/>
    <w:uiPriority w:val="0"/>
    <w:rPr>
      <w:rFonts w:ascii="Times New Roman" w:hAnsi="Times New Roman" w:eastAsia="宋体"/>
      <w:color w:val="FFFFFF"/>
      <w:bdr w:val="single" w:color="auto" w:sz="24" w:space="0"/>
    </w:rPr>
  </w:style>
  <w:style w:type="character" w:customStyle="1" w:styleId="147">
    <w:name w:val="纯文本 Char2"/>
    <w:autoRedefine/>
    <w:qFormat/>
    <w:uiPriority w:val="0"/>
    <w:rPr>
      <w:rFonts w:ascii="宋体" w:hAnsi="Courier New" w:eastAsia="宋体"/>
      <w:kern w:val="2"/>
      <w:sz w:val="21"/>
      <w:szCs w:val="21"/>
      <w:lang w:val="en-US" w:eastAsia="zh-CN" w:bidi="ar-SA"/>
    </w:rPr>
  </w:style>
  <w:style w:type="character" w:customStyle="1" w:styleId="148">
    <w:name w:val="sort1"/>
    <w:autoRedefine/>
    <w:qFormat/>
    <w:uiPriority w:val="0"/>
    <w:rPr>
      <w:rFonts w:ascii="Times New Roman" w:hAnsi="Times New Roman" w:eastAsia="宋体"/>
    </w:rPr>
  </w:style>
  <w:style w:type="character" w:customStyle="1" w:styleId="149">
    <w:name w:val="Font Style126"/>
    <w:autoRedefine/>
    <w:unhideWhenUsed/>
    <w:qFormat/>
    <w:uiPriority w:val="0"/>
    <w:rPr>
      <w:rFonts w:hint="eastAsia" w:ascii="宋体" w:hAnsi="宋体" w:eastAsia="宋体"/>
      <w:b/>
      <w:spacing w:val="-30"/>
      <w:sz w:val="28"/>
    </w:rPr>
  </w:style>
  <w:style w:type="character" w:customStyle="1" w:styleId="150">
    <w:name w:val="正文文本缩进 3 Char"/>
    <w:autoRedefine/>
    <w:qFormat/>
    <w:uiPriority w:val="0"/>
    <w:rPr>
      <w:rFonts w:ascii="宋体" w:hAnsi="MS Sans Serif"/>
      <w:color w:val="000000"/>
      <w:sz w:val="24"/>
    </w:rPr>
  </w:style>
  <w:style w:type="character" w:customStyle="1" w:styleId="151">
    <w:name w:val="日期 Char"/>
    <w:autoRedefine/>
    <w:qFormat/>
    <w:uiPriority w:val="0"/>
    <w:rPr>
      <w:kern w:val="2"/>
      <w:sz w:val="21"/>
      <w:szCs w:val="24"/>
    </w:rPr>
  </w:style>
  <w:style w:type="character" w:customStyle="1" w:styleId="152">
    <w:name w:val="Font Style116"/>
    <w:autoRedefine/>
    <w:unhideWhenUsed/>
    <w:qFormat/>
    <w:uiPriority w:val="0"/>
    <w:rPr>
      <w:rFonts w:hint="eastAsia" w:ascii="宋体" w:hAnsi="宋体" w:eastAsia="宋体"/>
      <w:spacing w:val="-20"/>
      <w:sz w:val="24"/>
    </w:rPr>
  </w:style>
  <w:style w:type="character" w:customStyle="1" w:styleId="153">
    <w:name w:val="desc"/>
    <w:autoRedefine/>
    <w:qFormat/>
    <w:uiPriority w:val="0"/>
    <w:rPr>
      <w:rFonts w:ascii="Times New Roman" w:hAnsi="Times New Roman" w:eastAsia="宋体"/>
      <w:color w:val="000000"/>
      <w:sz w:val="18"/>
      <w:szCs w:val="18"/>
    </w:rPr>
  </w:style>
  <w:style w:type="character" w:customStyle="1" w:styleId="154">
    <w:name w:val="lemmatitleh12"/>
    <w:autoRedefine/>
    <w:qFormat/>
    <w:uiPriority w:val="0"/>
    <w:rPr>
      <w:rFonts w:ascii="Times New Roman" w:hAnsi="Times New Roman" w:eastAsia="宋体"/>
    </w:rPr>
  </w:style>
  <w:style w:type="character" w:customStyle="1" w:styleId="155">
    <w:name w:val="placard-notice"/>
    <w:autoRedefine/>
    <w:qFormat/>
    <w:uiPriority w:val="0"/>
    <w:rPr>
      <w:sz w:val="18"/>
      <w:szCs w:val="18"/>
    </w:rPr>
  </w:style>
  <w:style w:type="character" w:customStyle="1" w:styleId="156">
    <w:name w:val="标题 8 Char"/>
    <w:autoRedefine/>
    <w:qFormat/>
    <w:uiPriority w:val="0"/>
    <w:rPr>
      <w:rFonts w:ascii="Arial" w:hAnsi="Arial" w:eastAsia="黑体"/>
      <w:sz w:val="24"/>
      <w:szCs w:val="24"/>
    </w:rPr>
  </w:style>
  <w:style w:type="character" w:customStyle="1" w:styleId="157">
    <w:name w:val="样式2 字符"/>
    <w:link w:val="158"/>
    <w:autoRedefine/>
    <w:qFormat/>
    <w:uiPriority w:val="0"/>
    <w:rPr>
      <w:rFonts w:ascii="仿宋_GB2312" w:hAnsi="Times New Roman" w:eastAsia="仿宋_GB2312"/>
      <w:kern w:val="2"/>
      <w:sz w:val="32"/>
      <w:szCs w:val="32"/>
    </w:rPr>
  </w:style>
  <w:style w:type="paragraph" w:customStyle="1" w:styleId="158">
    <w:name w:val="样式2"/>
    <w:basedOn w:val="1"/>
    <w:link w:val="157"/>
    <w:autoRedefine/>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9">
    <w:name w:val="bds_more6"/>
    <w:autoRedefine/>
    <w:qFormat/>
    <w:uiPriority w:val="0"/>
    <w:rPr>
      <w:rFonts w:hint="eastAsia" w:ascii="宋体" w:hAnsi="宋体" w:eastAsia="宋体" w:cs="宋体"/>
    </w:rPr>
  </w:style>
  <w:style w:type="character" w:customStyle="1" w:styleId="160">
    <w:name w:val="Font Style131"/>
    <w:autoRedefine/>
    <w:unhideWhenUsed/>
    <w:qFormat/>
    <w:uiPriority w:val="0"/>
    <w:rPr>
      <w:rFonts w:hint="eastAsia" w:ascii="Times New Roman" w:hAnsi="Times New Roman" w:eastAsia="Times New Roman"/>
      <w:sz w:val="18"/>
    </w:rPr>
  </w:style>
  <w:style w:type="character" w:customStyle="1" w:styleId="161">
    <w:name w:val="Char Char15"/>
    <w:autoRedefine/>
    <w:qFormat/>
    <w:uiPriority w:val="0"/>
    <w:rPr>
      <w:b/>
      <w:bCs/>
      <w:sz w:val="24"/>
      <w:szCs w:val="24"/>
    </w:rPr>
  </w:style>
  <w:style w:type="character" w:customStyle="1" w:styleId="162">
    <w:name w:val="bds_more7"/>
    <w:autoRedefine/>
    <w:qFormat/>
    <w:uiPriority w:val="0"/>
    <w:rPr>
      <w:rFonts w:ascii="Times New Roman" w:hAnsi="Times New Roman" w:eastAsia="宋体"/>
    </w:rPr>
  </w:style>
  <w:style w:type="character" w:customStyle="1" w:styleId="163">
    <w:name w:val="批注文字 Char Char"/>
    <w:autoRedefine/>
    <w:qFormat/>
    <w:uiPriority w:val="0"/>
    <w:rPr>
      <w:kern w:val="2"/>
      <w:sz w:val="21"/>
      <w:szCs w:val="24"/>
      <w:lang w:bidi="ar-SA"/>
    </w:rPr>
  </w:style>
  <w:style w:type="character" w:customStyle="1" w:styleId="164">
    <w:name w:val="sidecatalog-index1"/>
    <w:autoRedefine/>
    <w:qFormat/>
    <w:uiPriority w:val="0"/>
    <w:rPr>
      <w:rFonts w:ascii="Arial" w:hAnsi="Arial" w:eastAsia="宋体" w:cs="Arial"/>
      <w:b/>
      <w:color w:val="999999"/>
      <w:sz w:val="21"/>
      <w:szCs w:val="21"/>
    </w:rPr>
  </w:style>
  <w:style w:type="character" w:customStyle="1" w:styleId="165">
    <w:name w:val="10"/>
    <w:autoRedefine/>
    <w:qFormat/>
    <w:uiPriority w:val="0"/>
    <w:rPr>
      <w:rFonts w:hint="default" w:ascii="Times New Roman" w:hAnsi="Times New Roman" w:cs="Times New Roman"/>
    </w:rPr>
  </w:style>
  <w:style w:type="character" w:customStyle="1" w:styleId="166">
    <w:name w:val="sidecatalog-index2"/>
    <w:autoRedefine/>
    <w:qFormat/>
    <w:uiPriority w:val="0"/>
    <w:rPr>
      <w:rFonts w:ascii="Arail" w:hAnsi="Arail" w:eastAsia="Arail" w:cs="Arail"/>
      <w:color w:val="999999"/>
      <w:sz w:val="21"/>
      <w:szCs w:val="21"/>
    </w:rPr>
  </w:style>
  <w:style w:type="character" w:customStyle="1" w:styleId="167">
    <w:name w:val="plus"/>
    <w:autoRedefine/>
    <w:qFormat/>
    <w:uiPriority w:val="0"/>
    <w:rPr>
      <w:rFonts w:ascii="Times New Roman" w:hAnsi="Times New Roman" w:eastAsia="宋体"/>
      <w:b/>
      <w:vanish/>
      <w:color w:val="1F8DEF"/>
      <w:sz w:val="24"/>
      <w:szCs w:val="24"/>
    </w:rPr>
  </w:style>
  <w:style w:type="character" w:customStyle="1" w:styleId="168">
    <w:name w:val="标题 Char1"/>
    <w:autoRedefine/>
    <w:qFormat/>
    <w:uiPriority w:val="0"/>
    <w:rPr>
      <w:rFonts w:ascii="Cambria" w:hAnsi="Cambria" w:eastAsia="宋体" w:cs="Times New Roman"/>
      <w:b/>
      <w:bCs/>
      <w:sz w:val="32"/>
      <w:szCs w:val="32"/>
    </w:rPr>
  </w:style>
  <w:style w:type="character" w:customStyle="1" w:styleId="169">
    <w:name w:val="纯文本 Char1"/>
    <w:autoRedefine/>
    <w:semiHidden/>
    <w:qFormat/>
    <w:locked/>
    <w:uiPriority w:val="0"/>
    <w:rPr>
      <w:rFonts w:ascii="宋体" w:hAnsi="Courier New" w:eastAsia="宋体" w:cs="Courier New"/>
      <w:kern w:val="2"/>
      <w:sz w:val="21"/>
      <w:szCs w:val="21"/>
      <w:lang w:val="en-US" w:eastAsia="zh-CN" w:bidi="ar-SA"/>
    </w:rPr>
  </w:style>
  <w:style w:type="character" w:customStyle="1" w:styleId="170">
    <w:name w:val="页脚 Char"/>
    <w:autoRedefine/>
    <w:qFormat/>
    <w:uiPriority w:val="0"/>
    <w:rPr>
      <w:kern w:val="2"/>
      <w:sz w:val="18"/>
      <w:szCs w:val="18"/>
    </w:rPr>
  </w:style>
  <w:style w:type="character" w:customStyle="1" w:styleId="171">
    <w:name w:val="样式2 Char Char"/>
    <w:autoRedefine/>
    <w:qFormat/>
    <w:uiPriority w:val="0"/>
    <w:rPr>
      <w:rFonts w:eastAsia="宋体"/>
      <w:kern w:val="2"/>
      <w:sz w:val="18"/>
      <w:szCs w:val="18"/>
      <w:lang w:val="en-US" w:eastAsia="zh-CN" w:bidi="ar-SA"/>
    </w:rPr>
  </w:style>
  <w:style w:type="character" w:customStyle="1" w:styleId="172">
    <w:name w:val="p0 Char"/>
    <w:link w:val="173"/>
    <w:autoRedefine/>
    <w:qFormat/>
    <w:uiPriority w:val="0"/>
    <w:rPr>
      <w:rFonts w:eastAsia="宋体"/>
      <w:sz w:val="21"/>
      <w:szCs w:val="21"/>
      <w:lang w:val="en-US" w:eastAsia="zh-CN" w:bidi="ar-SA"/>
    </w:rPr>
  </w:style>
  <w:style w:type="paragraph" w:customStyle="1" w:styleId="173">
    <w:name w:val="p0"/>
    <w:basedOn w:val="1"/>
    <w:link w:val="172"/>
    <w:autoRedefine/>
    <w:qFormat/>
    <w:uiPriority w:val="0"/>
    <w:pPr>
      <w:widowControl/>
    </w:pPr>
    <w:rPr>
      <w:kern w:val="0"/>
      <w:szCs w:val="21"/>
    </w:rPr>
  </w:style>
  <w:style w:type="character" w:customStyle="1" w:styleId="174">
    <w:name w:val="Font Style117"/>
    <w:autoRedefine/>
    <w:unhideWhenUsed/>
    <w:qFormat/>
    <w:uiPriority w:val="0"/>
    <w:rPr>
      <w:rFonts w:hint="eastAsia" w:ascii="宋体" w:hAnsi="宋体" w:eastAsia="宋体"/>
      <w:spacing w:val="20"/>
      <w:sz w:val="24"/>
    </w:rPr>
  </w:style>
  <w:style w:type="paragraph" w:customStyle="1" w:styleId="175">
    <w:name w:val="Style59"/>
    <w:basedOn w:val="1"/>
    <w:autoRedefine/>
    <w:unhideWhenUsed/>
    <w:qFormat/>
    <w:uiPriority w:val="0"/>
  </w:style>
  <w:style w:type="paragraph" w:customStyle="1" w:styleId="176">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177">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78">
    <w:name w:val="Char Char1 Char Char Char Char Char1 Char Char Char Char"/>
    <w:basedOn w:val="15"/>
    <w:autoRedefine/>
    <w:qFormat/>
    <w:uiPriority w:val="0"/>
    <w:rPr>
      <w:rFonts w:ascii="Tahoma" w:hAnsi="Tahoma"/>
    </w:rPr>
  </w:style>
  <w:style w:type="paragraph" w:customStyle="1" w:styleId="179">
    <w:name w:val="默认段落字体 Para Char Char Char Char Char Char Char Char Char Char Char Char Char Char Char Char Char Char Char"/>
    <w:basedOn w:val="1"/>
    <w:autoRedefine/>
    <w:qFormat/>
    <w:uiPriority w:val="0"/>
  </w:style>
  <w:style w:type="paragraph" w:customStyle="1" w:styleId="180">
    <w:name w:val="标题3"/>
    <w:basedOn w:val="3"/>
    <w:autoRedefine/>
    <w:qFormat/>
    <w:uiPriority w:val="0"/>
    <w:pPr>
      <w:spacing w:beforeLines="50" w:afterLines="50" w:line="400" w:lineRule="exact"/>
      <w:jc w:val="both"/>
    </w:pPr>
    <w:rPr>
      <w:rFonts w:ascii="宋体" w:hAnsi="宋体"/>
      <w:kern w:val="32"/>
      <w:szCs w:val="32"/>
    </w:rPr>
  </w:style>
  <w:style w:type="paragraph" w:customStyle="1" w:styleId="181">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2">
    <w:name w:val="Style48"/>
    <w:basedOn w:val="1"/>
    <w:autoRedefine/>
    <w:unhideWhenUsed/>
    <w:qFormat/>
    <w:uiPriority w:val="0"/>
    <w:pPr>
      <w:spacing w:line="542" w:lineRule="exact"/>
      <w:jc w:val="right"/>
    </w:pPr>
  </w:style>
  <w:style w:type="paragraph" w:customStyle="1" w:styleId="183">
    <w:name w:val="Style15"/>
    <w:basedOn w:val="1"/>
    <w:autoRedefine/>
    <w:unhideWhenUsed/>
    <w:qFormat/>
    <w:uiPriority w:val="0"/>
    <w:pPr>
      <w:spacing w:line="557" w:lineRule="exact"/>
      <w:ind w:firstLine="672"/>
    </w:pPr>
  </w:style>
  <w:style w:type="paragraph" w:customStyle="1" w:styleId="184">
    <w:name w:val="Style23"/>
    <w:basedOn w:val="1"/>
    <w:autoRedefine/>
    <w:unhideWhenUsed/>
    <w:qFormat/>
    <w:uiPriority w:val="0"/>
  </w:style>
  <w:style w:type="paragraph" w:customStyle="1" w:styleId="185">
    <w:name w:val="Style78"/>
    <w:basedOn w:val="1"/>
    <w:autoRedefine/>
    <w:unhideWhenUsed/>
    <w:qFormat/>
    <w:uiPriority w:val="0"/>
  </w:style>
  <w:style w:type="paragraph" w:customStyle="1" w:styleId="186">
    <w:name w:val="Style60"/>
    <w:basedOn w:val="1"/>
    <w:autoRedefine/>
    <w:unhideWhenUsed/>
    <w:qFormat/>
    <w:uiPriority w:val="0"/>
    <w:pPr>
      <w:spacing w:line="566" w:lineRule="exact"/>
    </w:pPr>
  </w:style>
  <w:style w:type="paragraph" w:customStyle="1" w:styleId="187">
    <w:name w:val="Style21"/>
    <w:basedOn w:val="1"/>
    <w:autoRedefine/>
    <w:unhideWhenUsed/>
    <w:qFormat/>
    <w:uiPriority w:val="0"/>
    <w:pPr>
      <w:spacing w:line="566" w:lineRule="exact"/>
      <w:ind w:firstLine="682"/>
    </w:pPr>
  </w:style>
  <w:style w:type="paragraph" w:customStyle="1" w:styleId="188">
    <w:name w:val="Style46"/>
    <w:basedOn w:val="1"/>
    <w:autoRedefine/>
    <w:unhideWhenUsed/>
    <w:qFormat/>
    <w:uiPriority w:val="0"/>
    <w:pPr>
      <w:spacing w:line="672" w:lineRule="exact"/>
    </w:pPr>
  </w:style>
  <w:style w:type="paragraph" w:customStyle="1" w:styleId="189">
    <w:name w:val="Style12"/>
    <w:basedOn w:val="1"/>
    <w:autoRedefine/>
    <w:unhideWhenUsed/>
    <w:qFormat/>
    <w:uiPriority w:val="0"/>
    <w:pPr>
      <w:spacing w:line="564" w:lineRule="exact"/>
      <w:ind w:hanging="115"/>
    </w:pPr>
  </w:style>
  <w:style w:type="paragraph" w:customStyle="1" w:styleId="190">
    <w:name w:val="Style50"/>
    <w:basedOn w:val="1"/>
    <w:autoRedefine/>
    <w:unhideWhenUsed/>
    <w:qFormat/>
    <w:uiPriority w:val="0"/>
  </w:style>
  <w:style w:type="paragraph" w:customStyle="1" w:styleId="191">
    <w:name w:val="1 Char Char Char Char"/>
    <w:basedOn w:val="1"/>
    <w:autoRedefine/>
    <w:qFormat/>
    <w:uiPriority w:val="0"/>
  </w:style>
  <w:style w:type="paragraph" w:customStyle="1" w:styleId="19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93">
    <w:name w:val="Style63"/>
    <w:basedOn w:val="1"/>
    <w:autoRedefine/>
    <w:unhideWhenUsed/>
    <w:qFormat/>
    <w:uiPriority w:val="0"/>
    <w:pPr>
      <w:spacing w:line="564" w:lineRule="exact"/>
      <w:ind w:firstLine="682"/>
    </w:pPr>
  </w:style>
  <w:style w:type="paragraph" w:customStyle="1" w:styleId="194">
    <w:name w:val="Style5"/>
    <w:basedOn w:val="1"/>
    <w:autoRedefine/>
    <w:unhideWhenUsed/>
    <w:qFormat/>
    <w:uiPriority w:val="0"/>
  </w:style>
  <w:style w:type="paragraph" w:customStyle="1" w:styleId="195">
    <w:name w:val="Style58"/>
    <w:basedOn w:val="1"/>
    <w:autoRedefine/>
    <w:unhideWhenUsed/>
    <w:qFormat/>
    <w:uiPriority w:val="0"/>
    <w:pPr>
      <w:spacing w:line="413" w:lineRule="exact"/>
    </w:pPr>
  </w:style>
  <w:style w:type="paragraph" w:customStyle="1" w:styleId="19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7">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8">
    <w:name w:val="Style80"/>
    <w:basedOn w:val="1"/>
    <w:autoRedefine/>
    <w:unhideWhenUsed/>
    <w:qFormat/>
    <w:uiPriority w:val="0"/>
  </w:style>
  <w:style w:type="paragraph" w:customStyle="1" w:styleId="199">
    <w:name w:val="Style61"/>
    <w:basedOn w:val="1"/>
    <w:autoRedefine/>
    <w:unhideWhenUsed/>
    <w:qFormat/>
    <w:uiPriority w:val="0"/>
  </w:style>
  <w:style w:type="paragraph" w:customStyle="1" w:styleId="200">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201">
    <w:name w:val="列出段落4"/>
    <w:basedOn w:val="1"/>
    <w:autoRedefine/>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2">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3">
    <w:name w:val="Style4"/>
    <w:basedOn w:val="1"/>
    <w:autoRedefine/>
    <w:unhideWhenUsed/>
    <w:qFormat/>
    <w:uiPriority w:val="0"/>
  </w:style>
  <w:style w:type="paragraph" w:customStyle="1" w:styleId="204">
    <w:name w:val="Style29"/>
    <w:basedOn w:val="1"/>
    <w:autoRedefine/>
    <w:unhideWhenUsed/>
    <w:qFormat/>
    <w:uiPriority w:val="0"/>
    <w:pPr>
      <w:spacing w:line="547" w:lineRule="exact"/>
      <w:ind w:firstLine="547"/>
    </w:pPr>
  </w:style>
  <w:style w:type="paragraph" w:customStyle="1" w:styleId="205">
    <w:name w:val="Char1 Char Char Char 字元 Char Char 字元 Char 字元 Char1 Char Char Char"/>
    <w:basedOn w:val="1"/>
    <w:autoRedefine/>
    <w:qFormat/>
    <w:uiPriority w:val="0"/>
    <w:rPr>
      <w:szCs w:val="20"/>
    </w:rPr>
  </w:style>
  <w:style w:type="paragraph" w:customStyle="1" w:styleId="206">
    <w:name w:val="前言、引言标题"/>
    <w:next w:val="1"/>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7">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8">
    <w:name w:val="列出段落3"/>
    <w:basedOn w:val="1"/>
    <w:autoRedefine/>
    <w:qFormat/>
    <w:uiPriority w:val="0"/>
    <w:pPr>
      <w:ind w:firstLine="420" w:firstLineChars="200"/>
    </w:pPr>
    <w:rPr>
      <w:rFonts w:cs="Calibri"/>
      <w:szCs w:val="21"/>
    </w:rPr>
  </w:style>
  <w:style w:type="paragraph" w:customStyle="1" w:styleId="209">
    <w:name w:val="[基本段落]"/>
    <w:basedOn w:val="1"/>
    <w:autoRedefine/>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10">
    <w:name w:val="正文_57_0"/>
    <w:basedOn w:val="211"/>
    <w:autoRedefine/>
    <w:qFormat/>
    <w:uiPriority w:val="0"/>
    <w:rPr>
      <w:rFonts w:ascii="Calibri" w:hAnsi="Calibri" w:cs="宋体"/>
      <w:szCs w:val="21"/>
    </w:rPr>
  </w:style>
  <w:style w:type="paragraph" w:customStyle="1" w:styleId="211">
    <w:name w:val="正文_9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Style74"/>
    <w:basedOn w:val="1"/>
    <w:autoRedefine/>
    <w:unhideWhenUsed/>
    <w:qFormat/>
    <w:uiPriority w:val="0"/>
    <w:pPr>
      <w:spacing w:line="437" w:lineRule="exact"/>
    </w:pPr>
  </w:style>
  <w:style w:type="paragraph" w:customStyle="1" w:styleId="213">
    <w:name w:val="附录标识"/>
    <w:basedOn w:val="206"/>
    <w:autoRedefine/>
    <w:qFormat/>
    <w:uiPriority w:val="0"/>
    <w:pPr>
      <w:tabs>
        <w:tab w:val="left" w:pos="6405"/>
      </w:tabs>
      <w:spacing w:after="200"/>
    </w:pPr>
    <w:rPr>
      <w:sz w:val="21"/>
    </w:rPr>
  </w:style>
  <w:style w:type="paragraph" w:customStyle="1" w:styleId="214">
    <w:name w:val="Style81"/>
    <w:basedOn w:val="1"/>
    <w:autoRedefine/>
    <w:unhideWhenUsed/>
    <w:qFormat/>
    <w:uiPriority w:val="0"/>
    <w:pPr>
      <w:spacing w:line="547" w:lineRule="exact"/>
    </w:pPr>
  </w:style>
  <w:style w:type="paragraph" w:customStyle="1" w:styleId="215">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6">
    <w:name w:val="NO3"/>
    <w:basedOn w:val="1"/>
    <w:autoRedefine/>
    <w:qFormat/>
    <w:uiPriority w:val="0"/>
    <w:pPr>
      <w:tabs>
        <w:tab w:val="left" w:pos="907"/>
      </w:tabs>
      <w:spacing w:line="360" w:lineRule="auto"/>
    </w:pPr>
    <w:rPr>
      <w:rFonts w:ascii="宋体" w:hAnsi="宋体"/>
      <w:sz w:val="24"/>
    </w:rPr>
  </w:style>
  <w:style w:type="paragraph" w:customStyle="1" w:styleId="217">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18">
    <w:name w:val="Style73"/>
    <w:basedOn w:val="1"/>
    <w:autoRedefine/>
    <w:unhideWhenUsed/>
    <w:qFormat/>
    <w:uiPriority w:val="0"/>
    <w:pPr>
      <w:spacing w:line="538" w:lineRule="exact"/>
      <w:ind w:firstLine="533"/>
    </w:pPr>
  </w:style>
  <w:style w:type="paragraph" w:customStyle="1" w:styleId="219">
    <w:name w:val="Style11"/>
    <w:basedOn w:val="1"/>
    <w:autoRedefine/>
    <w:unhideWhenUsed/>
    <w:qFormat/>
    <w:uiPriority w:val="0"/>
    <w:pPr>
      <w:spacing w:line="559" w:lineRule="exact"/>
      <w:ind w:firstLine="590"/>
    </w:pPr>
  </w:style>
  <w:style w:type="paragraph" w:customStyle="1" w:styleId="220">
    <w:name w:val="Style16"/>
    <w:basedOn w:val="1"/>
    <w:autoRedefine/>
    <w:unhideWhenUsed/>
    <w:qFormat/>
    <w:uiPriority w:val="0"/>
    <w:pPr>
      <w:jc w:val="right"/>
    </w:pPr>
  </w:style>
  <w:style w:type="paragraph" w:customStyle="1" w:styleId="221">
    <w:name w:val="Style52"/>
    <w:basedOn w:val="1"/>
    <w:autoRedefine/>
    <w:unhideWhenUsed/>
    <w:qFormat/>
    <w:uiPriority w:val="0"/>
    <w:pPr>
      <w:spacing w:line="682" w:lineRule="exact"/>
      <w:ind w:firstLine="557"/>
    </w:pPr>
  </w:style>
  <w:style w:type="paragraph" w:customStyle="1" w:styleId="222">
    <w:name w:val="Style72"/>
    <w:basedOn w:val="1"/>
    <w:autoRedefine/>
    <w:unhideWhenUsed/>
    <w:qFormat/>
    <w:uiPriority w:val="0"/>
  </w:style>
  <w:style w:type="paragraph" w:customStyle="1" w:styleId="223">
    <w:name w:val="Char Char Char"/>
    <w:basedOn w:val="1"/>
    <w:autoRedefine/>
    <w:qFormat/>
    <w:uiPriority w:val="0"/>
    <w:rPr>
      <w:rFonts w:ascii="宋体" w:hAnsi="宋体"/>
      <w:b/>
      <w:sz w:val="28"/>
      <w:szCs w:val="28"/>
    </w:rPr>
  </w:style>
  <w:style w:type="paragraph" w:customStyle="1" w:styleId="224">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25">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无间距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7">
    <w:name w:val="正文_44"/>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Style24"/>
    <w:basedOn w:val="1"/>
    <w:autoRedefine/>
    <w:unhideWhenUsed/>
    <w:qFormat/>
    <w:uiPriority w:val="0"/>
  </w:style>
  <w:style w:type="paragraph" w:customStyle="1" w:styleId="23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231">
    <w:name w:val="Style54"/>
    <w:basedOn w:val="1"/>
    <w:autoRedefine/>
    <w:unhideWhenUsed/>
    <w:qFormat/>
    <w:uiPriority w:val="0"/>
  </w:style>
  <w:style w:type="paragraph" w:customStyle="1" w:styleId="232">
    <w:name w:val="Style34"/>
    <w:basedOn w:val="1"/>
    <w:autoRedefine/>
    <w:unhideWhenUsed/>
    <w:qFormat/>
    <w:uiPriority w:val="0"/>
    <w:pPr>
      <w:spacing w:line="375" w:lineRule="exact"/>
    </w:pPr>
  </w:style>
  <w:style w:type="paragraph" w:customStyle="1" w:styleId="233">
    <w:name w:val="Style56"/>
    <w:basedOn w:val="1"/>
    <w:autoRedefine/>
    <w:unhideWhenUsed/>
    <w:qFormat/>
    <w:uiPriority w:val="0"/>
  </w:style>
  <w:style w:type="paragraph" w:customStyle="1" w:styleId="234">
    <w:name w:val="Style8"/>
    <w:basedOn w:val="1"/>
    <w:autoRedefine/>
    <w:unhideWhenUsed/>
    <w:qFormat/>
    <w:uiPriority w:val="0"/>
    <w:pPr>
      <w:spacing w:line="566" w:lineRule="exact"/>
      <w:jc w:val="center"/>
    </w:pPr>
  </w:style>
  <w:style w:type="paragraph" w:customStyle="1" w:styleId="235">
    <w:name w:val="列表段落1"/>
    <w:basedOn w:val="1"/>
    <w:autoRedefine/>
    <w:qFormat/>
    <w:uiPriority w:val="0"/>
    <w:pPr>
      <w:ind w:firstLine="420" w:firstLineChars="200"/>
    </w:pPr>
    <w:rPr>
      <w:rFonts w:cs="Calibri"/>
      <w:szCs w:val="21"/>
    </w:rPr>
  </w:style>
  <w:style w:type="paragraph" w:customStyle="1" w:styleId="236">
    <w:name w:val="Style10"/>
    <w:basedOn w:val="1"/>
    <w:autoRedefine/>
    <w:unhideWhenUsed/>
    <w:qFormat/>
    <w:uiPriority w:val="0"/>
    <w:pPr>
      <w:spacing w:line="538" w:lineRule="exact"/>
    </w:pPr>
  </w:style>
  <w:style w:type="paragraph" w:customStyle="1" w:styleId="237">
    <w:name w:val="样式 标题 2 + 宋体 五号 行距: 单倍行距"/>
    <w:basedOn w:val="4"/>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8">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Char1 Char Char Char Char Char Char Char Char Char1"/>
    <w:basedOn w:val="1"/>
    <w:autoRedefine/>
    <w:qFormat/>
    <w:uiPriority w:val="0"/>
    <w:rPr>
      <w:szCs w:val="20"/>
    </w:rPr>
  </w:style>
  <w:style w:type="paragraph" w:customStyle="1" w:styleId="240">
    <w:name w:val="Style67"/>
    <w:basedOn w:val="1"/>
    <w:autoRedefine/>
    <w:unhideWhenUsed/>
    <w:qFormat/>
    <w:uiPriority w:val="0"/>
    <w:pPr>
      <w:spacing w:line="566" w:lineRule="exact"/>
      <w:ind w:firstLine="552"/>
    </w:pPr>
  </w:style>
  <w:style w:type="paragraph" w:customStyle="1" w:styleId="241">
    <w:name w:val="Style69"/>
    <w:basedOn w:val="1"/>
    <w:autoRedefine/>
    <w:unhideWhenUsed/>
    <w:qFormat/>
    <w:uiPriority w:val="0"/>
    <w:pPr>
      <w:spacing w:line="557" w:lineRule="exact"/>
      <w:ind w:firstLine="1666"/>
    </w:pPr>
  </w:style>
  <w:style w:type="paragraph" w:customStyle="1" w:styleId="242">
    <w:name w:val="标题2"/>
    <w:basedOn w:val="43"/>
    <w:autoRedefine/>
    <w:qFormat/>
    <w:uiPriority w:val="0"/>
    <w:pPr>
      <w:spacing w:after="240"/>
      <w:jc w:val="left"/>
    </w:pPr>
    <w:rPr>
      <w:sz w:val="30"/>
    </w:rPr>
  </w:style>
  <w:style w:type="paragraph" w:customStyle="1" w:styleId="243">
    <w:name w:val="Style9"/>
    <w:basedOn w:val="1"/>
    <w:autoRedefine/>
    <w:unhideWhenUsed/>
    <w:qFormat/>
    <w:uiPriority w:val="0"/>
  </w:style>
  <w:style w:type="paragraph" w:customStyle="1" w:styleId="244">
    <w:name w:val="Style28"/>
    <w:basedOn w:val="1"/>
    <w:autoRedefine/>
    <w:unhideWhenUsed/>
    <w:qFormat/>
    <w:uiPriority w:val="0"/>
    <w:pPr>
      <w:spacing w:line="552" w:lineRule="exact"/>
      <w:ind w:firstLine="547"/>
    </w:pPr>
  </w:style>
  <w:style w:type="paragraph" w:customStyle="1" w:styleId="245">
    <w:name w:val="Style42"/>
    <w:basedOn w:val="1"/>
    <w:autoRedefine/>
    <w:unhideWhenUsed/>
    <w:qFormat/>
    <w:uiPriority w:val="0"/>
    <w:pPr>
      <w:spacing w:line="542" w:lineRule="exact"/>
      <w:ind w:firstLine="547"/>
    </w:pPr>
  </w:style>
  <w:style w:type="paragraph" w:customStyle="1" w:styleId="246">
    <w:name w:val="Style65"/>
    <w:basedOn w:val="1"/>
    <w:autoRedefine/>
    <w:unhideWhenUsed/>
    <w:qFormat/>
    <w:uiPriority w:val="0"/>
  </w:style>
  <w:style w:type="paragraph" w:customStyle="1" w:styleId="247">
    <w:name w:val="Char2"/>
    <w:basedOn w:val="1"/>
    <w:autoRedefine/>
    <w:qFormat/>
    <w:uiPriority w:val="0"/>
    <w:pPr>
      <w:tabs>
        <w:tab w:val="left" w:pos="360"/>
      </w:tabs>
      <w:ind w:left="360" w:hanging="360" w:hangingChars="200"/>
    </w:pPr>
    <w:rPr>
      <w:sz w:val="24"/>
    </w:rPr>
  </w:style>
  <w:style w:type="paragraph" w:customStyle="1" w:styleId="248">
    <w:name w:val="Char Char Char1 Char1"/>
    <w:basedOn w:val="1"/>
    <w:autoRedefine/>
    <w:qFormat/>
    <w:uiPriority w:val="0"/>
    <w:pPr>
      <w:tabs>
        <w:tab w:val="left" w:pos="360"/>
      </w:tabs>
      <w:snapToGrid w:val="0"/>
      <w:spacing w:line="360" w:lineRule="auto"/>
    </w:pPr>
    <w:rPr>
      <w:rFonts w:eastAsia="仿宋_GB2312" w:cs="宋体"/>
      <w:sz w:val="24"/>
    </w:rPr>
  </w:style>
  <w:style w:type="paragraph" w:customStyle="1" w:styleId="249">
    <w:name w:val="_Style 39"/>
    <w:basedOn w:val="238"/>
    <w:autoRedefine/>
    <w:qFormat/>
    <w:uiPriority w:val="0"/>
  </w:style>
  <w:style w:type="paragraph" w:customStyle="1" w:styleId="250">
    <w:name w:val="Style76"/>
    <w:basedOn w:val="1"/>
    <w:autoRedefine/>
    <w:unhideWhenUsed/>
    <w:qFormat/>
    <w:uiPriority w:val="0"/>
  </w:style>
  <w:style w:type="paragraph" w:customStyle="1" w:styleId="251">
    <w:name w:val="Style47"/>
    <w:basedOn w:val="1"/>
    <w:autoRedefine/>
    <w:unhideWhenUsed/>
    <w:qFormat/>
    <w:uiPriority w:val="0"/>
  </w:style>
  <w:style w:type="paragraph" w:customStyle="1" w:styleId="252">
    <w:name w:val="文档正文"/>
    <w:basedOn w:val="1"/>
    <w:autoRedefine/>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3">
    <w:name w:val="1"/>
    <w:basedOn w:val="1"/>
    <w:autoRedefine/>
    <w:qFormat/>
    <w:uiPriority w:val="0"/>
    <w:pPr>
      <w:spacing w:afterLines="50" w:line="360" w:lineRule="auto"/>
    </w:pPr>
    <w:rPr>
      <w:rFonts w:ascii="宋体" w:hAnsi="宋体"/>
      <w:b/>
      <w:sz w:val="30"/>
      <w:szCs w:val="21"/>
    </w:rPr>
  </w:style>
  <w:style w:type="paragraph" w:customStyle="1" w:styleId="254">
    <w:name w:val="Body text|1"/>
    <w:basedOn w:val="1"/>
    <w:autoRedefine/>
    <w:qFormat/>
    <w:uiPriority w:val="0"/>
    <w:pPr>
      <w:spacing w:line="437" w:lineRule="auto"/>
      <w:ind w:firstLine="400"/>
      <w:jc w:val="left"/>
    </w:pPr>
    <w:rPr>
      <w:rFonts w:ascii="宋体" w:hAnsi="宋体" w:cs="宋体"/>
      <w:sz w:val="20"/>
      <w:szCs w:val="20"/>
      <w:lang w:val="zh-TW" w:eastAsia="zh-TW" w:bidi="zh-TW"/>
    </w:rPr>
  </w:style>
  <w:style w:type="paragraph" w:customStyle="1" w:styleId="255">
    <w:name w:val="Char Char1 Char Char Char Char Char Char Char"/>
    <w:basedOn w:val="1"/>
    <w:autoRedefine/>
    <w:qFormat/>
    <w:uiPriority w:val="0"/>
    <w:pPr>
      <w:widowControl/>
      <w:spacing w:after="160" w:line="240" w:lineRule="exact"/>
      <w:jc w:val="left"/>
    </w:pPr>
  </w:style>
  <w:style w:type="paragraph" w:customStyle="1" w:styleId="256">
    <w:name w:val="Style68"/>
    <w:basedOn w:val="1"/>
    <w:autoRedefine/>
    <w:unhideWhenUsed/>
    <w:qFormat/>
    <w:uiPriority w:val="0"/>
    <w:pPr>
      <w:spacing w:line="547" w:lineRule="exact"/>
    </w:pPr>
  </w:style>
  <w:style w:type="paragraph" w:customStyle="1" w:styleId="257">
    <w:name w:val="Style62"/>
    <w:basedOn w:val="1"/>
    <w:autoRedefine/>
    <w:unhideWhenUsed/>
    <w:qFormat/>
    <w:uiPriority w:val="0"/>
  </w:style>
  <w:style w:type="paragraph" w:customStyle="1" w:styleId="258">
    <w:name w:val="Style64"/>
    <w:basedOn w:val="1"/>
    <w:autoRedefine/>
    <w:unhideWhenUsed/>
    <w:qFormat/>
    <w:uiPriority w:val="0"/>
  </w:style>
  <w:style w:type="paragraph" w:customStyle="1" w:styleId="259">
    <w:name w:val="Style70"/>
    <w:basedOn w:val="1"/>
    <w:autoRedefine/>
    <w:unhideWhenUsed/>
    <w:qFormat/>
    <w:uiPriority w:val="0"/>
    <w:pPr>
      <w:spacing w:line="549" w:lineRule="exact"/>
      <w:ind w:firstLine="686"/>
    </w:pPr>
  </w:style>
  <w:style w:type="paragraph" w:customStyle="1" w:styleId="260">
    <w:name w:val="列出段落11"/>
    <w:basedOn w:val="1"/>
    <w:autoRedefine/>
    <w:qFormat/>
    <w:uiPriority w:val="99"/>
    <w:pPr>
      <w:ind w:firstLine="420" w:firstLineChars="200"/>
    </w:pPr>
  </w:style>
  <w:style w:type="paragraph" w:customStyle="1" w:styleId="261">
    <w:name w:val="Style53"/>
    <w:basedOn w:val="1"/>
    <w:autoRedefine/>
    <w:unhideWhenUsed/>
    <w:qFormat/>
    <w:uiPriority w:val="0"/>
    <w:pPr>
      <w:spacing w:line="533" w:lineRule="exact"/>
      <w:ind w:firstLine="581"/>
    </w:pPr>
  </w:style>
  <w:style w:type="paragraph" w:customStyle="1" w:styleId="262">
    <w:name w:val="p16"/>
    <w:basedOn w:val="1"/>
    <w:autoRedefine/>
    <w:qFormat/>
    <w:uiPriority w:val="0"/>
    <w:pPr>
      <w:widowControl/>
      <w:jc w:val="left"/>
    </w:pPr>
    <w:rPr>
      <w:kern w:val="0"/>
      <w:szCs w:val="21"/>
    </w:rPr>
  </w:style>
  <w:style w:type="paragraph" w:customStyle="1" w:styleId="263">
    <w:name w:val="Char1 Char Char Char1"/>
    <w:basedOn w:val="1"/>
    <w:autoRedefine/>
    <w:qFormat/>
    <w:uiPriority w:val="0"/>
    <w:pPr>
      <w:widowControl/>
      <w:spacing w:after="160" w:line="240" w:lineRule="exact"/>
      <w:jc w:val="left"/>
    </w:pPr>
    <w:rPr>
      <w:kern w:val="0"/>
      <w:sz w:val="24"/>
      <w:szCs w:val="20"/>
    </w:rPr>
  </w:style>
  <w:style w:type="paragraph" w:customStyle="1" w:styleId="264">
    <w:name w:val="Style45"/>
    <w:basedOn w:val="1"/>
    <w:autoRedefine/>
    <w:unhideWhenUsed/>
    <w:qFormat/>
    <w:uiPriority w:val="0"/>
  </w:style>
  <w:style w:type="paragraph" w:customStyle="1" w:styleId="265">
    <w:name w:val="Style41"/>
    <w:basedOn w:val="1"/>
    <w:autoRedefine/>
    <w:unhideWhenUsed/>
    <w:qFormat/>
    <w:uiPriority w:val="0"/>
    <w:pPr>
      <w:spacing w:line="542" w:lineRule="exact"/>
      <w:ind w:firstLine="125"/>
    </w:pPr>
  </w:style>
  <w:style w:type="paragraph" w:customStyle="1" w:styleId="266">
    <w:name w:val="标题 1 +"/>
    <w:basedOn w:val="3"/>
    <w:next w:val="1"/>
    <w:autoRedefine/>
    <w:qFormat/>
    <w:uiPriority w:val="0"/>
    <w:pPr>
      <w:keepLines/>
      <w:spacing w:line="600" w:lineRule="auto"/>
    </w:pPr>
    <w:rPr>
      <w:rFonts w:eastAsia="黑体"/>
      <w:kern w:val="0"/>
      <w:sz w:val="32"/>
      <w:szCs w:val="32"/>
    </w:rPr>
  </w:style>
  <w:style w:type="paragraph" w:customStyle="1" w:styleId="267">
    <w:name w:val="Char Char Char1 Char"/>
    <w:basedOn w:val="1"/>
    <w:autoRedefine/>
    <w:qFormat/>
    <w:uiPriority w:val="0"/>
    <w:pPr>
      <w:tabs>
        <w:tab w:val="left" w:pos="360"/>
      </w:tabs>
      <w:snapToGrid w:val="0"/>
      <w:spacing w:line="360" w:lineRule="auto"/>
    </w:pPr>
    <w:rPr>
      <w:rFonts w:eastAsia="仿宋_GB2312" w:cs="宋体"/>
      <w:sz w:val="24"/>
    </w:rPr>
  </w:style>
  <w:style w:type="paragraph" w:customStyle="1" w:styleId="268">
    <w:name w:val="Style44"/>
    <w:basedOn w:val="1"/>
    <w:autoRedefine/>
    <w:unhideWhenUsed/>
    <w:qFormat/>
    <w:uiPriority w:val="0"/>
  </w:style>
  <w:style w:type="paragraph" w:customStyle="1" w:styleId="269">
    <w:name w:val="Style77"/>
    <w:basedOn w:val="1"/>
    <w:autoRedefine/>
    <w:unhideWhenUsed/>
    <w:qFormat/>
    <w:uiPriority w:val="0"/>
  </w:style>
  <w:style w:type="paragraph" w:customStyle="1" w:styleId="270">
    <w:name w:val="_Style 284"/>
    <w:basedOn w:val="1"/>
    <w:next w:val="201"/>
    <w:autoRedefine/>
    <w:qFormat/>
    <w:uiPriority w:val="0"/>
    <w:pPr>
      <w:ind w:left="720"/>
    </w:pPr>
    <w:rPr>
      <w:rFonts w:cs="Calibri"/>
      <w:szCs w:val="22"/>
    </w:rPr>
  </w:style>
  <w:style w:type="paragraph" w:customStyle="1" w:styleId="271">
    <w:name w:val="Char Char Char1"/>
    <w:basedOn w:val="1"/>
    <w:autoRedefine/>
    <w:qFormat/>
    <w:uiPriority w:val="0"/>
    <w:rPr>
      <w:rFonts w:ascii="宋体" w:hAnsi="宋体"/>
      <w:b/>
      <w:sz w:val="28"/>
      <w:szCs w:val="28"/>
    </w:rPr>
  </w:style>
  <w:style w:type="paragraph" w:customStyle="1" w:styleId="272">
    <w:name w:val="Style71"/>
    <w:basedOn w:val="1"/>
    <w:autoRedefine/>
    <w:unhideWhenUsed/>
    <w:qFormat/>
    <w:uiPriority w:val="0"/>
    <w:pPr>
      <w:spacing w:line="538" w:lineRule="exact"/>
      <w:ind w:firstLine="101"/>
    </w:pPr>
  </w:style>
  <w:style w:type="paragraph" w:customStyle="1" w:styleId="273">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4">
    <w:name w:val="Char Char1 Char Char Char"/>
    <w:basedOn w:val="1"/>
    <w:autoRedefine/>
    <w:qFormat/>
    <w:uiPriority w:val="0"/>
    <w:rPr>
      <w:kern w:val="0"/>
      <w:sz w:val="20"/>
      <w:szCs w:val="20"/>
    </w:rPr>
  </w:style>
  <w:style w:type="paragraph" w:customStyle="1" w:styleId="275">
    <w:name w:val="Pa4"/>
    <w:basedOn w:val="1"/>
    <w:next w:val="1"/>
    <w:autoRedefine/>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6">
    <w:name w:val="正文_43"/>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
    <w:name w:val="Style36"/>
    <w:basedOn w:val="1"/>
    <w:autoRedefine/>
    <w:unhideWhenUsed/>
    <w:qFormat/>
    <w:uiPriority w:val="0"/>
  </w:style>
  <w:style w:type="paragraph" w:customStyle="1" w:styleId="278">
    <w:name w:val="列出段落2"/>
    <w:basedOn w:val="1"/>
    <w:autoRedefine/>
    <w:qFormat/>
    <w:uiPriority w:val="0"/>
    <w:pPr>
      <w:ind w:firstLine="420" w:firstLineChars="200"/>
    </w:pPr>
    <w:rPr>
      <w:szCs w:val="22"/>
    </w:rPr>
  </w:style>
  <w:style w:type="paragraph" w:customStyle="1" w:styleId="279">
    <w:name w:val="Char Char Char Char Char Char Char2"/>
    <w:basedOn w:val="1"/>
    <w:autoRedefine/>
    <w:qFormat/>
    <w:uiPriority w:val="0"/>
    <w:pPr>
      <w:snapToGrid w:val="0"/>
      <w:spacing w:line="360" w:lineRule="auto"/>
      <w:ind w:firstLine="200" w:firstLineChars="200"/>
    </w:pPr>
    <w:rPr>
      <w:rFonts w:eastAsia="仿宋_GB2312"/>
      <w:sz w:val="24"/>
    </w:rPr>
  </w:style>
  <w:style w:type="paragraph" w:customStyle="1" w:styleId="280">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b w:val="0"/>
      <w:bCs w:val="0"/>
      <w:sz w:val="28"/>
      <w:szCs w:val="20"/>
    </w:rPr>
  </w:style>
  <w:style w:type="paragraph" w:customStyle="1" w:styleId="281">
    <w:name w:val="Char1 Char Char Char"/>
    <w:basedOn w:val="1"/>
    <w:autoRedefine/>
    <w:qFormat/>
    <w:uiPriority w:val="0"/>
    <w:pPr>
      <w:widowControl/>
      <w:spacing w:after="160" w:line="240" w:lineRule="exact"/>
      <w:jc w:val="left"/>
    </w:pPr>
    <w:rPr>
      <w:kern w:val="0"/>
      <w:sz w:val="24"/>
      <w:szCs w:val="20"/>
    </w:rPr>
  </w:style>
  <w:style w:type="paragraph" w:customStyle="1" w:styleId="282">
    <w:name w:val="Style13"/>
    <w:basedOn w:val="1"/>
    <w:autoRedefine/>
    <w:unhideWhenUsed/>
    <w:qFormat/>
    <w:uiPriority w:val="0"/>
  </w:style>
  <w:style w:type="paragraph" w:customStyle="1" w:styleId="283">
    <w:name w:val="Style27"/>
    <w:basedOn w:val="1"/>
    <w:autoRedefine/>
    <w:unhideWhenUsed/>
    <w:qFormat/>
    <w:uiPriority w:val="0"/>
  </w:style>
  <w:style w:type="paragraph" w:customStyle="1" w:styleId="284">
    <w:name w:val="Style26"/>
    <w:basedOn w:val="1"/>
    <w:autoRedefine/>
    <w:unhideWhenUsed/>
    <w:qFormat/>
    <w:uiPriority w:val="0"/>
  </w:style>
  <w:style w:type="paragraph" w:customStyle="1" w:styleId="285">
    <w:name w:val="Char1 Char Char Char Char Char Char Char Char Char"/>
    <w:basedOn w:val="1"/>
    <w:autoRedefine/>
    <w:qFormat/>
    <w:uiPriority w:val="0"/>
    <w:rPr>
      <w:szCs w:val="20"/>
    </w:rPr>
  </w:style>
  <w:style w:type="paragraph" w:customStyle="1" w:styleId="286">
    <w:name w:val="表格内容"/>
    <w:basedOn w:val="19"/>
    <w:autoRedefine/>
    <w:qFormat/>
    <w:uiPriority w:val="0"/>
    <w:pPr>
      <w:suppressLineNumbers/>
      <w:suppressAutoHyphens/>
      <w:jc w:val="left"/>
    </w:pPr>
    <w:rPr>
      <w:rFonts w:cs="Tahoma"/>
      <w:kern w:val="0"/>
      <w:sz w:val="24"/>
    </w:rPr>
  </w:style>
  <w:style w:type="paragraph" w:customStyle="1" w:styleId="287">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8">
    <w:name w:val="Char3"/>
    <w:basedOn w:val="1"/>
    <w:autoRedefine/>
    <w:qFormat/>
    <w:uiPriority w:val="0"/>
    <w:pPr>
      <w:widowControl/>
      <w:spacing w:after="160" w:line="240" w:lineRule="exact"/>
      <w:jc w:val="left"/>
    </w:pPr>
    <w:rPr>
      <w:rFonts w:ascii="Verdana" w:hAnsi="Verdana"/>
      <w:kern w:val="0"/>
      <w:sz w:val="20"/>
      <w:szCs w:val="20"/>
      <w:lang w:eastAsia="en-US"/>
    </w:rPr>
  </w:style>
  <w:style w:type="table" w:customStyle="1" w:styleId="289">
    <w:name w:val="表格主题1"/>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网格型1"/>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1">
    <w:name w:val="c-icon29"/>
    <w:basedOn w:val="49"/>
    <w:autoRedefine/>
    <w:qFormat/>
    <w:uiPriority w:val="0"/>
  </w:style>
  <w:style w:type="character" w:customStyle="1" w:styleId="292">
    <w:name w:val="hover28"/>
    <w:basedOn w:val="49"/>
    <w:autoRedefine/>
    <w:qFormat/>
    <w:uiPriority w:val="0"/>
  </w:style>
  <w:style w:type="character" w:customStyle="1" w:styleId="293">
    <w:name w:val="hover29"/>
    <w:basedOn w:val="49"/>
    <w:autoRedefine/>
    <w:qFormat/>
    <w:uiPriority w:val="0"/>
    <w:rPr>
      <w:color w:val="315EFB"/>
    </w:rPr>
  </w:style>
  <w:style w:type="paragraph" w:customStyle="1" w:styleId="294">
    <w:name w:val="正文_21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正文_16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6">
    <w:name w:val="font41"/>
    <w:autoRedefine/>
    <w:qFormat/>
    <w:uiPriority w:val="0"/>
    <w:rPr>
      <w:rFonts w:hint="eastAsia" w:ascii="仿宋_GB2312" w:eastAsia="仿宋_GB2312" w:cs="仿宋_GB2312"/>
      <w:color w:val="FF0000"/>
      <w:sz w:val="24"/>
      <w:szCs w:val="24"/>
      <w:u w:val="none"/>
    </w:rPr>
  </w:style>
  <w:style w:type="character" w:customStyle="1" w:styleId="297">
    <w:name w:val="font51"/>
    <w:autoRedefine/>
    <w:qFormat/>
    <w:uiPriority w:val="0"/>
    <w:rPr>
      <w:rFonts w:hint="eastAsia" w:ascii="仿宋_GB2312" w:eastAsia="仿宋_GB2312" w:cs="仿宋_GB2312"/>
      <w:color w:val="000000"/>
      <w:sz w:val="24"/>
      <w:szCs w:val="24"/>
      <w:u w:val="none"/>
    </w:rPr>
  </w:style>
  <w:style w:type="paragraph" w:customStyle="1" w:styleId="298">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99">
    <w:name w:val="11111"/>
    <w:basedOn w:val="1"/>
    <w:next w:val="1"/>
    <w:autoRedefine/>
    <w:qFormat/>
    <w:uiPriority w:val="0"/>
    <w:pPr>
      <w:ind w:firstLine="200"/>
    </w:pPr>
    <w:rPr>
      <w:rFonts w:ascii="宋体" w:hAnsi="宋体" w:cs="宋体"/>
    </w:rPr>
  </w:style>
  <w:style w:type="paragraph" w:styleId="300">
    <w:name w:val="List Paragraph"/>
    <w:basedOn w:val="1"/>
    <w:autoRedefine/>
    <w:qFormat/>
    <w:uiPriority w:val="34"/>
    <w:pPr>
      <w:ind w:firstLine="420"/>
    </w:pPr>
  </w:style>
  <w:style w:type="paragraph" w:customStyle="1" w:styleId="301">
    <w:name w:val="BodyText"/>
    <w:basedOn w:val="1"/>
    <w:autoRedefine/>
    <w:qFormat/>
    <w:uiPriority w:val="0"/>
    <w:pPr>
      <w:spacing w:after="120"/>
    </w:pPr>
    <w:rPr>
      <w:kern w:val="0"/>
      <w:sz w:val="20"/>
    </w:rPr>
  </w:style>
  <w:style w:type="paragraph" w:customStyle="1" w:styleId="302">
    <w:name w:val="Normal_11"/>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3">
    <w:name w:val="正文1"/>
    <w:basedOn w:val="1"/>
    <w:autoRedefine/>
    <w:qFormat/>
    <w:uiPriority w:val="0"/>
    <w:pPr>
      <w:spacing w:line="360" w:lineRule="auto"/>
      <w:ind w:firstLine="480" w:firstLineChars="200"/>
    </w:pPr>
    <w:rPr>
      <w:rFonts w:ascii="Times New Roman" w:hAnsi="Times New Roman"/>
      <w:sz w:val="24"/>
      <w:szCs w:val="24"/>
    </w:rPr>
  </w:style>
  <w:style w:type="paragraph" w:customStyle="1" w:styleId="304">
    <w:name w:val="Normal_28"/>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5">
    <w:name w:val="Normal_0_1"/>
    <w:autoRedefine/>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45</Pages>
  <Words>23734</Words>
  <Characters>24876</Characters>
  <Lines>213</Lines>
  <Paragraphs>60</Paragraphs>
  <TotalTime>10</TotalTime>
  <ScaleCrop>false</ScaleCrop>
  <LinksUpToDate>false</LinksUpToDate>
  <CharactersWithSpaces>26923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糖糖</cp:lastModifiedBy>
  <cp:lastPrinted>2023-05-10T08:01:00Z</cp:lastPrinted>
  <dcterms:modified xsi:type="dcterms:W3CDTF">2024-04-15T08:17:51Z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6C9112A760604248BAD2A5A002E701EF_13</vt:lpwstr>
  </property>
  <property fmtid="{D5CDD505-2E9C-101B-9397-08002B2CF9AE}" pid="4" name="commondata">
    <vt:lpwstr>eyJoZGlkIjoiNTdkMTVkZjYyNDkwNzcwMjFkM2UxNmVmY2EwNGE4NzIifQ==</vt:lpwstr>
  </property>
</Properties>
</file>