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bookmarkStart w:id="18" w:name="_GoBack"/>
      <w:bookmarkEnd w:id="18"/>
      <w:r>
        <w:rPr>
          <w:rFonts w:hint="eastAsia" w:ascii="宋体" w:hAnsi="宋体" w:cs="宋体"/>
          <w:sz w:val="32"/>
          <w:szCs w:val="32"/>
        </w:rPr>
        <w:t xml:space="preserve"> </w:t>
      </w:r>
    </w:p>
    <w:p>
      <w:pPr>
        <w:pStyle w:val="26"/>
        <w:adjustRightInd w:val="0"/>
        <w:snapToGrid w:val="0"/>
        <w:spacing w:line="360" w:lineRule="auto"/>
        <w:rPr>
          <w:rFonts w:hAnsi="宋体" w:cs="宋体"/>
          <w:b/>
          <w:sz w:val="84"/>
          <w:szCs w:val="84"/>
        </w:rPr>
      </w:pPr>
      <w:r>
        <w:rPr>
          <w:rFonts w:hint="eastAsia" w:hAnsi="宋体" w:cs="宋体"/>
          <w:b/>
          <w:sz w:val="84"/>
          <w:szCs w:val="84"/>
        </w:rPr>
        <w:t xml:space="preserve">     </w:t>
      </w:r>
    </w:p>
    <w:p>
      <w:pPr>
        <w:pStyle w:val="26"/>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6"/>
        <w:adjustRightInd w:val="0"/>
        <w:snapToGrid w:val="0"/>
        <w:spacing w:before="156" w:beforeLines="50" w:line="360" w:lineRule="auto"/>
        <w:ind w:left="846" w:leftChars="403" w:firstLine="138" w:firstLineChars="49"/>
        <w:rPr>
          <w:rFonts w:hAnsi="宋体" w:cs="宋体"/>
          <w:b/>
          <w:sz w:val="28"/>
          <w:szCs w:val="28"/>
        </w:rPr>
      </w:pPr>
    </w:p>
    <w:p>
      <w:pPr>
        <w:pStyle w:val="26"/>
        <w:adjustRightInd w:val="0"/>
        <w:snapToGrid w:val="0"/>
        <w:spacing w:before="156" w:beforeLines="50" w:line="360" w:lineRule="auto"/>
        <w:ind w:left="846" w:leftChars="403" w:firstLine="138" w:firstLineChars="49"/>
        <w:rPr>
          <w:rFonts w:hAnsi="宋体" w:cs="宋体"/>
          <w:b/>
          <w:sz w:val="28"/>
          <w:szCs w:val="28"/>
        </w:rPr>
      </w:pPr>
    </w:p>
    <w:p>
      <w:pPr>
        <w:pStyle w:val="26"/>
        <w:adjustRightInd w:val="0"/>
        <w:snapToGrid w:val="0"/>
        <w:spacing w:before="156" w:beforeLines="50" w:line="360" w:lineRule="auto"/>
        <w:ind w:left="846" w:leftChars="403" w:firstLine="138" w:firstLineChars="49"/>
        <w:rPr>
          <w:rFonts w:hAnsi="宋体" w:cs="宋体"/>
          <w:b/>
          <w:sz w:val="28"/>
          <w:szCs w:val="28"/>
        </w:rPr>
      </w:pPr>
    </w:p>
    <w:p>
      <w:pPr>
        <w:pStyle w:val="26"/>
        <w:adjustRightInd w:val="0"/>
        <w:snapToGrid w:val="0"/>
        <w:spacing w:line="360" w:lineRule="auto"/>
        <w:ind w:left="3556" w:leftChars="760" w:hanging="1960" w:hangingChars="700"/>
        <w:rPr>
          <w:rFonts w:hAnsi="宋体" w:cs="宋体"/>
          <w:sz w:val="28"/>
          <w:szCs w:val="28"/>
        </w:rPr>
      </w:pPr>
    </w:p>
    <w:p>
      <w:pPr>
        <w:pStyle w:val="26"/>
        <w:adjustRightInd w:val="0"/>
        <w:snapToGrid w:val="0"/>
        <w:spacing w:line="360" w:lineRule="auto"/>
        <w:ind w:left="838" w:leftChars="399" w:firstLine="560" w:firstLineChars="200"/>
        <w:rPr>
          <w:rFonts w:hAnsi="宋体" w:cs="宋体"/>
          <w:sz w:val="28"/>
          <w:szCs w:val="28"/>
        </w:rPr>
      </w:pPr>
      <w:r>
        <w:rPr>
          <w:rFonts w:hint="eastAsia" w:hAnsi="宋体" w:cs="宋体"/>
          <w:sz w:val="28"/>
          <w:szCs w:val="28"/>
        </w:rPr>
        <w:t>采购项目名称：078县道（绕城高速—象嘴路）电力埋管项目、云栖路（含浦大道—象嘴路）电力埋管项目设计服务</w:t>
      </w:r>
    </w:p>
    <w:p>
      <w:pPr>
        <w:pStyle w:val="26"/>
        <w:adjustRightInd w:val="0"/>
        <w:snapToGrid w:val="0"/>
        <w:spacing w:line="360" w:lineRule="auto"/>
        <w:ind w:firstLine="1400" w:firstLineChars="500"/>
        <w:rPr>
          <w:rFonts w:hAnsi="宋体" w:cs="宋体"/>
          <w:sz w:val="28"/>
          <w:szCs w:val="28"/>
          <w:u w:val="single"/>
        </w:rPr>
      </w:pPr>
      <w:r>
        <w:rPr>
          <w:rFonts w:hint="eastAsia" w:hAnsi="宋体" w:cs="宋体"/>
          <w:sz w:val="28"/>
          <w:szCs w:val="28"/>
        </w:rPr>
        <w:t>采   购   人：湖南岳麓经济开发有限责任公司</w:t>
      </w:r>
    </w:p>
    <w:p>
      <w:pPr>
        <w:pStyle w:val="26"/>
        <w:adjustRightInd w:val="0"/>
        <w:snapToGrid w:val="0"/>
        <w:spacing w:line="360" w:lineRule="auto"/>
        <w:ind w:firstLine="1400" w:firstLineChars="500"/>
        <w:rPr>
          <w:rFonts w:hAnsi="宋体" w:cs="宋体"/>
          <w:sz w:val="28"/>
          <w:szCs w:val="28"/>
        </w:rPr>
      </w:pPr>
      <w:r>
        <w:rPr>
          <w:rFonts w:hint="eastAsia" w:hAnsi="宋体" w:cs="宋体"/>
          <w:sz w:val="28"/>
          <w:szCs w:val="28"/>
        </w:rPr>
        <w:t>委托代理编号：</w:t>
      </w:r>
      <w:r>
        <w:rPr>
          <w:rFonts w:hAnsi="宋体" w:cs="宋体"/>
          <w:sz w:val="28"/>
          <w:szCs w:val="28"/>
        </w:rPr>
        <w:t>HNCT2023-</w:t>
      </w:r>
      <w:r>
        <w:rPr>
          <w:rFonts w:hint="eastAsia" w:hAnsi="宋体" w:cs="宋体"/>
          <w:sz w:val="28"/>
          <w:szCs w:val="28"/>
        </w:rPr>
        <w:t>224</w:t>
      </w:r>
    </w:p>
    <w:p>
      <w:pPr>
        <w:pStyle w:val="26"/>
        <w:adjustRightInd w:val="0"/>
        <w:snapToGrid w:val="0"/>
        <w:spacing w:line="360" w:lineRule="auto"/>
        <w:ind w:firstLine="1400" w:firstLineChars="500"/>
        <w:rPr>
          <w:rFonts w:hAnsi="宋体" w:cs="宋体"/>
          <w:sz w:val="28"/>
          <w:szCs w:val="28"/>
          <w:u w:val="single"/>
        </w:rPr>
      </w:pPr>
      <w:r>
        <w:rPr>
          <w:rFonts w:hint="eastAsia" w:hAnsi="宋体" w:cs="宋体"/>
          <w:sz w:val="28"/>
          <w:szCs w:val="28"/>
        </w:rPr>
        <w:t>采购代理机构：湖南中招项目管理有限公司</w:t>
      </w:r>
    </w:p>
    <w:p>
      <w:pPr>
        <w:pStyle w:val="26"/>
        <w:adjustRightInd w:val="0"/>
        <w:snapToGrid w:val="0"/>
        <w:spacing w:before="156" w:beforeLines="50" w:line="360" w:lineRule="auto"/>
        <w:rPr>
          <w:rFonts w:hAnsi="宋体" w:cs="宋体"/>
          <w:b/>
          <w:sz w:val="28"/>
          <w:szCs w:val="28"/>
        </w:rPr>
      </w:pPr>
    </w:p>
    <w:p>
      <w:pPr>
        <w:pStyle w:val="26"/>
        <w:adjustRightInd w:val="0"/>
        <w:snapToGrid w:val="0"/>
        <w:spacing w:line="360" w:lineRule="auto"/>
        <w:rPr>
          <w:rFonts w:hAnsi="宋体" w:cs="宋体"/>
          <w:b/>
          <w:sz w:val="32"/>
          <w:szCs w:val="32"/>
        </w:rPr>
      </w:pPr>
    </w:p>
    <w:p>
      <w:pPr>
        <w:pStyle w:val="26"/>
        <w:adjustRightInd w:val="0"/>
        <w:snapToGrid w:val="0"/>
        <w:spacing w:line="360" w:lineRule="auto"/>
        <w:ind w:firstLine="321" w:firstLineChars="100"/>
        <w:jc w:val="center"/>
        <w:rPr>
          <w:rFonts w:hAnsi="宋体" w:cs="宋体"/>
          <w:b/>
          <w:sz w:val="32"/>
          <w:szCs w:val="32"/>
        </w:rPr>
      </w:pPr>
    </w:p>
    <w:p>
      <w:pPr>
        <w:pStyle w:val="26"/>
        <w:adjustRightInd w:val="0"/>
        <w:snapToGrid w:val="0"/>
        <w:spacing w:line="360" w:lineRule="auto"/>
        <w:ind w:firstLine="321" w:firstLineChars="100"/>
        <w:jc w:val="center"/>
        <w:rPr>
          <w:rFonts w:hAnsi="宋体" w:cs="宋体"/>
          <w:spacing w:val="160"/>
          <w:sz w:val="32"/>
          <w:szCs w:val="32"/>
        </w:rPr>
      </w:pPr>
      <w:r>
        <w:rPr>
          <w:rFonts w:hint="eastAsia" w:hAnsi="宋体" w:cs="宋体"/>
          <w:b/>
          <w:sz w:val="32"/>
          <w:szCs w:val="32"/>
        </w:rPr>
        <w:t>二〇二三年十二月</w:t>
      </w:r>
    </w:p>
    <w:p>
      <w:pPr>
        <w:pStyle w:val="26"/>
        <w:adjustRightInd w:val="0"/>
        <w:snapToGrid w:val="0"/>
        <w:spacing w:line="360" w:lineRule="auto"/>
        <w:jc w:val="center"/>
        <w:rPr>
          <w:rFonts w:hAnsi="宋体" w:cs="宋体"/>
          <w:spacing w:val="160"/>
          <w:sz w:val="36"/>
          <w:szCs w:val="36"/>
        </w:rPr>
      </w:pPr>
      <w:r>
        <w:rPr>
          <w:rFonts w:hint="eastAsia" w:hAnsi="宋体" w:cs="宋体"/>
          <w:spacing w:val="160"/>
          <w:sz w:val="36"/>
          <w:szCs w:val="36"/>
        </w:rPr>
        <w:br w:type="page"/>
      </w:r>
      <w:r>
        <w:rPr>
          <w:rFonts w:hint="eastAsia" w:hAnsi="宋体" w:cs="宋体"/>
          <w:spacing w:val="160"/>
          <w:sz w:val="36"/>
          <w:szCs w:val="36"/>
        </w:rPr>
        <w:t>目录</w:t>
      </w:r>
    </w:p>
    <w:p>
      <w:pPr>
        <w:pStyle w:val="26"/>
        <w:adjustRightInd w:val="0"/>
        <w:snapToGrid w:val="0"/>
        <w:spacing w:line="360" w:lineRule="auto"/>
        <w:rPr>
          <w:rFonts w:hAnsi="宋体" w:cs="宋体"/>
          <w:b/>
          <w:sz w:val="24"/>
          <w:szCs w:val="24"/>
        </w:rPr>
      </w:pPr>
    </w:p>
    <w:p>
      <w:pPr>
        <w:pStyle w:val="26"/>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6"/>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6"/>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outlineLvl w:val="0"/>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ascii="宋体" w:hAnsi="宋体" w:cs="宋体"/>
          <w:szCs w:val="21"/>
        </w:rPr>
      </w:pPr>
      <w:r>
        <w:rPr>
          <w:rFonts w:hint="eastAsia" w:ascii="宋体" w:hAnsi="宋体" w:cs="宋体"/>
          <w:szCs w:val="21"/>
          <w:u w:val="single"/>
        </w:rPr>
        <w:t>湖南中招项目管理有限公司</w:t>
      </w:r>
      <w:r>
        <w:rPr>
          <w:rFonts w:hint="eastAsia" w:ascii="宋体" w:hAnsi="宋体" w:cs="宋体"/>
          <w:szCs w:val="21"/>
        </w:rPr>
        <w:t>受</w:t>
      </w:r>
      <w:r>
        <w:rPr>
          <w:rFonts w:hint="eastAsia" w:ascii="宋体" w:hAnsi="宋体" w:cs="宋体"/>
          <w:szCs w:val="21"/>
          <w:u w:val="single"/>
        </w:rPr>
        <w:t>湖南岳麓经济开发有限责任公司</w:t>
      </w:r>
      <w:r>
        <w:rPr>
          <w:rFonts w:hint="eastAsia" w:ascii="宋体" w:hAnsi="宋体" w:cs="宋体"/>
          <w:szCs w:val="21"/>
        </w:rPr>
        <w:t>的委托，对</w:t>
      </w:r>
      <w:r>
        <w:rPr>
          <w:rFonts w:hint="eastAsia" w:ascii="宋体" w:hAnsi="宋体" w:cs="宋体"/>
          <w:szCs w:val="21"/>
          <w:u w:val="single"/>
        </w:rPr>
        <w:t>078县道（绕城高速—象嘴路）电力埋管项目、云栖路（含浦大道—象嘴路）电力埋管项目设计服务</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的方式，邀请符合资格条件的供应商参与竞争性磋商采购活动。</w:t>
      </w:r>
    </w:p>
    <w:p>
      <w:pPr>
        <w:numPr>
          <w:ilvl w:val="0"/>
          <w:numId w:val="1"/>
        </w:numPr>
        <w:adjustRightInd w:val="0"/>
        <w:snapToGrid w:val="0"/>
        <w:spacing w:line="360" w:lineRule="auto"/>
        <w:rPr>
          <w:rFonts w:ascii="宋体" w:hAnsi="宋体" w:cs="宋体"/>
          <w:b/>
          <w:szCs w:val="21"/>
        </w:rPr>
      </w:pPr>
      <w:r>
        <w:rPr>
          <w:rFonts w:hint="eastAsia" w:ascii="宋体" w:hAnsi="宋体" w:cs="宋体"/>
          <w:b/>
          <w:szCs w:val="21"/>
        </w:rPr>
        <w:t>采购项目基本概况</w:t>
      </w:r>
    </w:p>
    <w:p>
      <w:pPr>
        <w:numPr>
          <w:ilvl w:val="0"/>
          <w:numId w:val="2"/>
        </w:numPr>
        <w:adjustRightInd w:val="0"/>
        <w:snapToGrid w:val="0"/>
        <w:spacing w:line="360" w:lineRule="auto"/>
        <w:ind w:firstLine="420"/>
        <w:rPr>
          <w:rFonts w:ascii="宋体" w:hAnsi="宋体" w:cs="宋体"/>
          <w:szCs w:val="21"/>
        </w:rPr>
      </w:pPr>
      <w:r>
        <w:rPr>
          <w:rFonts w:hint="eastAsia" w:ascii="宋体" w:hAnsi="宋体" w:cs="宋体"/>
          <w:szCs w:val="21"/>
        </w:rPr>
        <w:t>采购项目名称：078县道（绕城高速—象嘴路）电力埋管项目、云栖路（含浦大道—象嘴路）电力埋管项目设计服务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2、委托代理编号：</w:t>
      </w:r>
      <w:r>
        <w:rPr>
          <w:rFonts w:ascii="宋体" w:hAnsi="宋体" w:cs="宋体"/>
          <w:szCs w:val="21"/>
        </w:rPr>
        <w:t>HNCT2023-</w:t>
      </w:r>
      <w:r>
        <w:rPr>
          <w:rFonts w:hint="eastAsia" w:ascii="宋体" w:hAnsi="宋体" w:cs="宋体"/>
          <w:szCs w:val="21"/>
        </w:rPr>
        <w:t>224</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3、采购项目标的、数量及简要规格描述或项目基本概况介绍：详见磋商文件“第四章 采购需求”。</w:t>
      </w:r>
    </w:p>
    <w:p>
      <w:pPr>
        <w:adjustRightInd w:val="0"/>
        <w:snapToGrid w:val="0"/>
        <w:spacing w:line="360" w:lineRule="auto"/>
        <w:rPr>
          <w:rFonts w:ascii="宋体" w:hAnsi="宋体" w:cs="宋体"/>
          <w:b/>
          <w:bCs/>
          <w:szCs w:val="21"/>
          <w:u w:val="single"/>
        </w:rPr>
      </w:pPr>
      <w:r>
        <w:rPr>
          <w:rFonts w:hint="eastAsia" w:ascii="宋体" w:hAnsi="宋体" w:cs="宋体"/>
          <w:b/>
          <w:bCs/>
          <w:szCs w:val="21"/>
        </w:rPr>
        <w:t>二、采购项目总预算：</w:t>
      </w:r>
      <w:r>
        <w:rPr>
          <w:rFonts w:hint="eastAsia" w:ascii="宋体" w:hAnsi="宋体" w:cs="宋体"/>
          <w:b/>
          <w:bCs/>
          <w:szCs w:val="21"/>
          <w:u w:val="single"/>
        </w:rPr>
        <w:t>654000元</w:t>
      </w:r>
    </w:p>
    <w:p>
      <w:pPr>
        <w:pStyle w:val="62"/>
        <w:ind w:firstLine="422"/>
        <w:rPr>
          <w:rFonts w:ascii="宋体" w:hAnsi="宋体" w:cs="宋体"/>
        </w:rPr>
      </w:pPr>
      <w:r>
        <w:rPr>
          <w:rFonts w:hint="eastAsia" w:ascii="宋体" w:hAnsi="宋体" w:cs="宋体"/>
          <w:b/>
          <w:bCs/>
        </w:rPr>
        <w:t>采购预算控制价：</w:t>
      </w:r>
      <w:r>
        <w:rPr>
          <w:rFonts w:hint="eastAsia" w:ascii="宋体" w:hAnsi="宋体" w:cs="宋体"/>
          <w:b/>
          <w:bCs/>
          <w:szCs w:val="21"/>
          <w:u w:val="single"/>
        </w:rPr>
        <w:t>654000</w:t>
      </w:r>
      <w:r>
        <w:rPr>
          <w:rFonts w:hint="eastAsia" w:ascii="宋体" w:hAnsi="宋体" w:cs="宋体"/>
          <w:b/>
          <w:bCs/>
          <w:u w:val="single"/>
        </w:rPr>
        <w:t>元</w:t>
      </w:r>
    </w:p>
    <w:p>
      <w:pPr>
        <w:adjustRightInd w:val="0"/>
        <w:snapToGrid w:val="0"/>
        <w:spacing w:line="360" w:lineRule="auto"/>
        <w:rPr>
          <w:rFonts w:ascii="宋体" w:hAnsi="宋体" w:cs="宋体"/>
          <w:b/>
          <w:szCs w:val="21"/>
        </w:rPr>
      </w:pPr>
      <w:r>
        <w:rPr>
          <w:rFonts w:hint="eastAsia" w:ascii="宋体" w:hAnsi="宋体" w:cs="宋体"/>
          <w:b/>
          <w:szCs w:val="21"/>
        </w:rPr>
        <w:t>三、供应商资格条件：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1"/>
      <w:bookmarkStart w:id="1" w:name="OLE_LINK9"/>
      <w:bookmarkStart w:id="2" w:name="OLE_LINK3"/>
      <w:bookmarkStart w:id="3" w:name="OLE_LINK6"/>
      <w:r>
        <w:rPr>
          <w:rFonts w:hint="eastAsia" w:ascii="宋体" w:hAnsi="宋体" w:cs="宋体"/>
          <w:szCs w:val="21"/>
        </w:rPr>
        <w:t>（1）法人提交企业法人营业执照副本(或者法人登记证书)以及组织机构代码证副本复印件；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line="360" w:lineRule="auto"/>
        <w:ind w:firstLine="735" w:firstLineChars="350"/>
        <w:rPr>
          <w:rFonts w:ascii="宋体" w:hAnsi="宋体" w:cs="宋体"/>
          <w:szCs w:val="21"/>
        </w:rPr>
      </w:pPr>
      <w:r>
        <w:rPr>
          <w:rFonts w:hint="eastAsia" w:ascii="宋体" w:hAnsi="宋体" w:cs="宋体"/>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after="78" w:afterLines="25" w:line="360" w:lineRule="auto"/>
        <w:ind w:firstLine="630" w:firstLineChars="300"/>
        <w:rPr>
          <w:rFonts w:ascii="宋体" w:hAnsi="宋体" w:cs="宋体"/>
          <w:szCs w:val="21"/>
        </w:rPr>
      </w:pPr>
      <w:r>
        <w:rPr>
          <w:rFonts w:hint="eastAsia" w:ascii="宋体" w:hAnsi="宋体" w:cs="宋体"/>
          <w:szCs w:val="21"/>
        </w:rPr>
        <w:t>②缴纳社会保险证明资料：《社会保险登记证》复印件，或者近三个月</w:t>
      </w:r>
      <w:r>
        <w:rPr>
          <w:rFonts w:hint="eastAsia"/>
          <w:szCs w:val="21"/>
          <w:shd w:val="clear" w:color="auto" w:fill="FEFFFF"/>
        </w:rPr>
        <w:t>内任意一个月</w:t>
      </w:r>
      <w:r>
        <w:rPr>
          <w:rFonts w:hint="eastAsia" w:ascii="宋体" w:hAnsi="宋体" w:cs="宋体"/>
          <w:szCs w:val="21"/>
        </w:rPr>
        <w:t>依法缴纳社会保险的证明（缴费凭证复印件），或者委托他人缴纳的委托代办协议和近三个月</w:t>
      </w:r>
      <w:r>
        <w:rPr>
          <w:rFonts w:hint="eastAsia"/>
          <w:szCs w:val="21"/>
          <w:shd w:val="clear" w:color="auto" w:fill="FEFFFF"/>
        </w:rPr>
        <w:t>内任意一个月</w:t>
      </w:r>
      <w:r>
        <w:rPr>
          <w:rFonts w:hint="eastAsia" w:ascii="宋体" w:hAnsi="宋体" w:cs="宋体"/>
          <w:szCs w:val="21"/>
        </w:rPr>
        <w:t>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（3）法人提交法定代表人身份证明原件或者法定代表人授权委托书原件并附法定代表人身份证明原件，自然人提交身份证复印件；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（4）提供2022年度经会计师事务所审计的财务报告复印件（至少包含资产负债表、利润表和现金流量表），或银行出具的资信证明。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（5）其他说明：</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③资格证明文件复印件需加盖投标人公章。</w:t>
      </w:r>
    </w:p>
    <w:p>
      <w:pPr>
        <w:adjustRightInd w:val="0"/>
        <w:snapToGrid w:val="0"/>
        <w:spacing w:line="360" w:lineRule="auto"/>
        <w:ind w:firstLine="420" w:firstLineChars="200"/>
        <w:rPr>
          <w:rFonts w:ascii="宋体" w:hAnsi="宋体" w:cs="宋体"/>
          <w:iCs/>
          <w:szCs w:val="21"/>
        </w:rPr>
      </w:pPr>
      <w:r>
        <w:rPr>
          <w:rFonts w:hint="eastAsia" w:ascii="宋体" w:hAnsi="宋体" w:cs="宋体"/>
          <w:szCs w:val="21"/>
        </w:rPr>
        <w:t>备注：以上所提的近三个月是指：</w:t>
      </w:r>
      <w:r>
        <w:rPr>
          <w:rFonts w:hint="eastAsia" w:ascii="宋体" w:hAnsi="宋体" w:cs="宋体"/>
          <w:iCs/>
          <w:szCs w:val="21"/>
        </w:rPr>
        <w:t>2023年10月～2023年12月。</w:t>
      </w:r>
      <w:bookmarkEnd w:id="0"/>
      <w:bookmarkEnd w:id="1"/>
      <w:bookmarkEnd w:id="2"/>
    </w:p>
    <w:bookmarkEnd w:id="3"/>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2、供应商特定资格条件：</w:t>
      </w:r>
      <w:bookmarkStart w:id="4" w:name="OLE_LINK2"/>
    </w:p>
    <w:p>
      <w:pPr>
        <w:adjustRightInd w:val="0"/>
        <w:snapToGrid w:val="0"/>
        <w:spacing w:line="360" w:lineRule="auto"/>
        <w:ind w:firstLine="420" w:firstLineChars="200"/>
        <w:rPr>
          <w:rFonts w:ascii="宋体" w:hAnsi="宋体" w:cs="宋体"/>
          <w:bCs/>
          <w:szCs w:val="21"/>
        </w:rPr>
      </w:pPr>
      <w:bookmarkStart w:id="5" w:name="OLE_LINK10"/>
      <w:bookmarkStart w:id="6" w:name="OLE_LINK5"/>
      <w:r>
        <w:rPr>
          <w:rFonts w:hint="eastAsia" w:ascii="宋体" w:hAnsi="宋体" w:cs="宋体"/>
          <w:szCs w:val="21"/>
          <w:lang w:val="zh-TW"/>
        </w:rPr>
        <w:t>（1）</w:t>
      </w:r>
      <w:r>
        <w:rPr>
          <w:rFonts w:ascii="宋体" w:hAnsi="宋体" w:cs="宋体"/>
          <w:szCs w:val="21"/>
          <w:lang w:val="zh-TW" w:eastAsia="zh-TW"/>
        </w:rPr>
        <w:t>具备住房城乡</w:t>
      </w:r>
      <w:r>
        <w:rPr>
          <w:rFonts w:hint="eastAsia" w:ascii="宋体" w:hAnsi="宋体" w:cs="宋体"/>
          <w:szCs w:val="21"/>
          <w:lang w:val="zh-TW" w:eastAsia="zh-TW"/>
        </w:rPr>
        <w:t>建设主管部门颁发的</w:t>
      </w:r>
      <w:r>
        <w:rPr>
          <w:rFonts w:hint="eastAsia" w:ascii="宋体" w:hAnsi="宋体"/>
          <w:szCs w:val="21"/>
        </w:rPr>
        <w:t>以下资质之一：①</w:t>
      </w:r>
      <w:r>
        <w:rPr>
          <w:rFonts w:hint="eastAsia" w:ascii="宋体" w:hAnsi="宋体" w:cs="宋体"/>
          <w:szCs w:val="21"/>
          <w:lang w:val="zh-TW" w:eastAsia="zh-TW"/>
        </w:rPr>
        <w:t>工程设计综合</w:t>
      </w:r>
      <w:r>
        <w:rPr>
          <w:rFonts w:hint="eastAsia" w:ascii="宋体" w:hAnsi="宋体" w:cs="宋体"/>
          <w:szCs w:val="21"/>
          <w:lang w:val="zh-TW"/>
        </w:rPr>
        <w:t>甲级</w:t>
      </w:r>
      <w:r>
        <w:rPr>
          <w:rFonts w:hint="eastAsia" w:ascii="宋体" w:hAnsi="宋体" w:cs="宋体"/>
          <w:szCs w:val="21"/>
          <w:lang w:val="zh-TW" w:eastAsia="zh-TW"/>
        </w:rPr>
        <w:t>资质</w:t>
      </w:r>
      <w:r>
        <w:rPr>
          <w:rFonts w:hint="eastAsia" w:ascii="宋体" w:hAnsi="宋体" w:cs="宋体"/>
          <w:szCs w:val="21"/>
          <w:lang w:val="zh-TW"/>
        </w:rPr>
        <w:t>；</w:t>
      </w:r>
      <w:r>
        <w:rPr>
          <w:rFonts w:hint="eastAsia" w:ascii="宋体" w:hAnsi="宋体" w:cs="宋体"/>
          <w:szCs w:val="21"/>
        </w:rPr>
        <w:t>②</w:t>
      </w:r>
      <w:r>
        <w:rPr>
          <w:rFonts w:hint="eastAsia" w:ascii="宋体" w:hAnsi="宋体" w:cs="宋体"/>
          <w:szCs w:val="21"/>
          <w:lang w:val="zh-TW" w:eastAsia="zh-TW"/>
        </w:rPr>
        <w:t>工程设计电力行业</w:t>
      </w:r>
      <w:r>
        <w:rPr>
          <w:rFonts w:hint="eastAsia" w:ascii="宋体" w:hAnsi="宋体" w:cs="宋体"/>
          <w:szCs w:val="21"/>
          <w:lang w:val="zh-TW"/>
        </w:rPr>
        <w:t>丙</w:t>
      </w:r>
      <w:r>
        <w:rPr>
          <w:rFonts w:hint="eastAsia" w:ascii="宋体" w:hAnsi="宋体" w:cs="宋体"/>
          <w:szCs w:val="21"/>
          <w:lang w:val="zh-TW" w:eastAsia="zh-TW"/>
        </w:rPr>
        <w:t>级及以上资质</w:t>
      </w:r>
      <w:r>
        <w:rPr>
          <w:rFonts w:hint="eastAsia" w:ascii="宋体" w:hAnsi="宋体" w:cs="宋体"/>
          <w:szCs w:val="21"/>
          <w:lang w:val="zh-TW"/>
        </w:rPr>
        <w:t>；</w:t>
      </w:r>
      <w:r>
        <w:rPr>
          <w:rFonts w:hint="eastAsia" w:ascii="宋体" w:hAnsi="宋体" w:cs="宋体"/>
          <w:szCs w:val="21"/>
        </w:rPr>
        <w:t>③</w:t>
      </w:r>
      <w:r>
        <w:rPr>
          <w:rFonts w:hint="eastAsia" w:ascii="宋体" w:hAnsi="宋体" w:cs="宋体"/>
          <w:szCs w:val="21"/>
          <w:lang w:val="zh-TW" w:eastAsia="zh-TW"/>
        </w:rPr>
        <w:t>工程设计电力行业（送电工程、变电工程）专业</w:t>
      </w:r>
      <w:r>
        <w:rPr>
          <w:rFonts w:hint="eastAsia" w:ascii="宋体" w:hAnsi="宋体" w:cs="宋体"/>
          <w:szCs w:val="21"/>
          <w:lang w:val="zh-TW"/>
        </w:rPr>
        <w:t>丙级</w:t>
      </w:r>
      <w:r>
        <w:rPr>
          <w:rFonts w:hint="eastAsia" w:ascii="宋体" w:hAnsi="宋体" w:cs="宋体"/>
          <w:szCs w:val="21"/>
          <w:lang w:val="zh-TW" w:eastAsia="zh-TW"/>
        </w:rPr>
        <w:t>及以上资质。</w:t>
      </w:r>
      <w:bookmarkEnd w:id="5"/>
      <w:r>
        <w:rPr>
          <w:rFonts w:hint="eastAsia" w:ascii="宋体" w:hAnsi="宋体" w:cs="宋体"/>
          <w:szCs w:val="21"/>
          <w:lang w:val="zh-TW"/>
        </w:rPr>
        <w:t>（</w:t>
      </w:r>
      <w:r>
        <w:rPr>
          <w:rFonts w:hint="eastAsia" w:ascii="宋体" w:hAnsi="宋体" w:cs="宋体"/>
          <w:bCs/>
          <w:szCs w:val="21"/>
        </w:rPr>
        <w:t>2）投标人须在全国投资项目在线审批监管平台告知性备案（备案的专业须包括电力（含火电、水电、核电、新能源），服务范围须包括项目咨询）。</w:t>
      </w:r>
      <w:bookmarkEnd w:id="6"/>
    </w:p>
    <w:p>
      <w:pPr>
        <w:pStyle w:val="2"/>
        <w:spacing w:after="0" w:line="400" w:lineRule="exact"/>
        <w:ind w:left="0" w:leftChars="0"/>
        <w:rPr>
          <w:rFonts w:ascii="宋体" w:hAnsi="宋体" w:cs="宋体"/>
        </w:rPr>
      </w:pPr>
      <w:bookmarkStart w:id="7" w:name="OLE_LINK11"/>
      <w:bookmarkStart w:id="8" w:name="OLE_LINK4"/>
      <w:r>
        <w:rPr>
          <w:rFonts w:hint="eastAsia" w:ascii="宋体" w:hAnsi="宋体" w:cs="宋体"/>
        </w:rPr>
        <w:t>3、本项目不接受联合体投标。</w:t>
      </w:r>
      <w:bookmarkEnd w:id="7"/>
      <w:bookmarkEnd w:id="8"/>
    </w:p>
    <w:p>
      <w:pPr>
        <w:pStyle w:val="2"/>
        <w:spacing w:after="0" w:line="400" w:lineRule="exact"/>
        <w:ind w:left="0" w:leftChars="0"/>
      </w:pPr>
      <w:r>
        <w:rPr>
          <w:rFonts w:hint="eastAsia" w:ascii="宋体" w:hAnsi="宋体" w:cs="宋体"/>
        </w:rPr>
        <w:t>4、资格证明文件复印件须加盖投标人公章。</w:t>
      </w:r>
      <w:bookmarkEnd w:id="4"/>
    </w:p>
    <w:p>
      <w:pPr>
        <w:adjustRightInd w:val="0"/>
        <w:snapToGrid w:val="0"/>
        <w:spacing w:line="360" w:lineRule="auto"/>
        <w:ind w:left="-107" w:leftChars="-51" w:firstLine="105" w:firstLineChars="5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adjustRightInd w:val="0"/>
        <w:snapToGrid w:val="0"/>
        <w:spacing w:line="360" w:lineRule="auto"/>
        <w:rPr>
          <w:rFonts w:ascii="宋体" w:hAnsi="宋体" w:cs="宋体"/>
          <w:szCs w:val="21"/>
        </w:rPr>
      </w:pPr>
      <w:r>
        <w:rPr>
          <w:rFonts w:hint="eastAsia" w:ascii="宋体" w:hAnsi="宋体" w:cs="宋体"/>
          <w:szCs w:val="21"/>
        </w:rPr>
        <w:t xml:space="preserve">    1、凡有意参加磋商采购活动的，请于</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12</w:t>
      </w:r>
      <w:r>
        <w:rPr>
          <w:rFonts w:hint="eastAsia" w:ascii="宋体" w:hAnsi="宋体" w:cs="宋体"/>
          <w:szCs w:val="21"/>
        </w:rPr>
        <w:t>月</w:t>
      </w:r>
      <w:r>
        <w:rPr>
          <w:rFonts w:hint="eastAsia" w:ascii="宋体" w:hAnsi="宋体" w:cs="宋体"/>
          <w:szCs w:val="21"/>
          <w:u w:val="single"/>
        </w:rPr>
        <w:t>27</w:t>
      </w:r>
      <w:r>
        <w:rPr>
          <w:rFonts w:hint="eastAsia" w:ascii="宋体" w:hAnsi="宋体" w:cs="宋体"/>
          <w:szCs w:val="21"/>
        </w:rPr>
        <w:t>日起至</w:t>
      </w:r>
      <w:r>
        <w:rPr>
          <w:rFonts w:hint="eastAsia" w:ascii="宋体" w:hAnsi="宋体" w:cs="宋体"/>
          <w:szCs w:val="21"/>
          <w:u w:val="single"/>
        </w:rPr>
        <w:t>2024</w:t>
      </w:r>
      <w:r>
        <w:rPr>
          <w:rFonts w:hint="eastAsia" w:ascii="宋体" w:hAnsi="宋体" w:cs="宋体"/>
          <w:szCs w:val="21"/>
        </w:rPr>
        <w:t>年</w:t>
      </w:r>
      <w:r>
        <w:rPr>
          <w:rFonts w:hint="eastAsia" w:ascii="宋体" w:hAnsi="宋体" w:cs="宋体"/>
          <w:szCs w:val="21"/>
          <w:u w:val="single"/>
        </w:rPr>
        <w:t>01</w:t>
      </w:r>
      <w:r>
        <w:rPr>
          <w:rFonts w:hint="eastAsia" w:ascii="宋体" w:hAnsi="宋体" w:cs="宋体"/>
          <w:szCs w:val="21"/>
        </w:rPr>
        <w:t>月</w:t>
      </w:r>
      <w:r>
        <w:rPr>
          <w:rFonts w:hint="eastAsia" w:ascii="宋体" w:hAnsi="宋体" w:cs="宋体"/>
          <w:szCs w:val="21"/>
          <w:u w:val="single"/>
        </w:rPr>
        <w:t>04</w:t>
      </w:r>
      <w:r>
        <w:rPr>
          <w:rFonts w:hint="eastAsia" w:ascii="宋体" w:hAnsi="宋体" w:cs="宋体"/>
          <w:szCs w:val="21"/>
        </w:rPr>
        <w:t>日(节假日除外)，每日上午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14:00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北京时间)，持营业执照、法定代表人身份证明或授权委托书(附法定代表人身份证明)、个人身份证到</w:t>
      </w:r>
      <w:r>
        <w:rPr>
          <w:rFonts w:hint="eastAsia" w:ascii="宋体" w:hAnsi="宋体" w:cs="宋体"/>
          <w:szCs w:val="21"/>
          <w:u w:val="single"/>
        </w:rPr>
        <w:t>湖南中招项目管理有限公司（</w:t>
      </w:r>
      <w:r>
        <w:rPr>
          <w:rFonts w:hint="eastAsia" w:cs="宋体"/>
          <w:u w:val="single"/>
        </w:rPr>
        <w:t>长沙市开福区芙蓉中路一段468号湖南财富中心富座2903室</w:t>
      </w:r>
      <w:r>
        <w:rPr>
          <w:rFonts w:hint="eastAsia" w:ascii="宋体" w:hAnsi="宋体" w:cs="宋体"/>
          <w:szCs w:val="21"/>
          <w:u w:val="single"/>
        </w:rPr>
        <w:t>）</w:t>
      </w:r>
      <w:r>
        <w:rPr>
          <w:rFonts w:hint="eastAsia" w:ascii="宋体" w:hAnsi="宋体" w:cs="宋体"/>
          <w:szCs w:val="21"/>
        </w:rPr>
        <w:t xml:space="preserve">办理投标登记手续，凡未办理投标登记手续的，其投标恕不接受。 </w:t>
      </w:r>
    </w:p>
    <w:p>
      <w:pPr>
        <w:adjustRightInd w:val="0"/>
        <w:snapToGrid w:val="0"/>
        <w:spacing w:line="360" w:lineRule="auto"/>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 xml:space="preserve"> 2024</w:t>
      </w:r>
      <w:r>
        <w:rPr>
          <w:rFonts w:hint="eastAsia" w:ascii="宋体" w:hAnsi="宋体" w:cs="宋体"/>
          <w:szCs w:val="21"/>
        </w:rPr>
        <w:t>年</w:t>
      </w:r>
      <w:r>
        <w:rPr>
          <w:rFonts w:hint="eastAsia" w:ascii="宋体" w:hAnsi="宋体" w:cs="宋体"/>
          <w:szCs w:val="21"/>
          <w:u w:val="single"/>
        </w:rPr>
        <w:t>01</w:t>
      </w:r>
      <w:r>
        <w:rPr>
          <w:rFonts w:hint="eastAsia" w:ascii="宋体" w:hAnsi="宋体" w:cs="宋体"/>
          <w:szCs w:val="21"/>
        </w:rPr>
        <w:t>月</w:t>
      </w:r>
      <w:r>
        <w:rPr>
          <w:rFonts w:hint="eastAsia" w:ascii="宋体" w:hAnsi="宋体" w:cs="宋体"/>
          <w:szCs w:val="21"/>
          <w:u w:val="single"/>
        </w:rPr>
        <w:t>08</w:t>
      </w:r>
      <w:r>
        <w:rPr>
          <w:rFonts w:hint="eastAsia" w:ascii="宋体" w:hAnsi="宋体" w:cs="宋体"/>
          <w:szCs w:val="21"/>
        </w:rPr>
        <w:t>日</w:t>
      </w:r>
      <w:r>
        <w:rPr>
          <w:rFonts w:hint="eastAsia" w:ascii="宋体" w:hAnsi="宋体" w:cs="宋体"/>
          <w:szCs w:val="21"/>
          <w:u w:val="single"/>
        </w:rPr>
        <w:t>14</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分（北京时间），地点为</w:t>
      </w:r>
      <w:r>
        <w:rPr>
          <w:rFonts w:hint="eastAsia" w:ascii="宋体" w:hAnsi="宋体" w:cs="宋体"/>
          <w:szCs w:val="21"/>
          <w:u w:val="single"/>
        </w:rPr>
        <w:t>湖南中招项目管理有限公司（</w:t>
      </w:r>
      <w:r>
        <w:rPr>
          <w:rFonts w:hint="eastAsia" w:cs="宋体"/>
          <w:u w:val="single"/>
        </w:rPr>
        <w:t>长沙市开福区芙蓉中路一段468号湖南财富中心富座2903室</w:t>
      </w:r>
      <w:r>
        <w:rPr>
          <w:rFonts w:hint="eastAsia" w:ascii="宋体" w:hAnsi="宋体" w:cs="宋体"/>
          <w:szCs w:val="21"/>
          <w:u w:val="single"/>
        </w:rPr>
        <w:t>）</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ascii="宋体" w:hAnsi="宋体" w:cs="宋体"/>
          <w:szCs w:val="21"/>
        </w:rPr>
      </w:pPr>
      <w:r>
        <w:rPr>
          <w:rFonts w:hint="eastAsia" w:ascii="宋体" w:hAnsi="宋体" w:cs="宋体"/>
          <w:szCs w:val="21"/>
        </w:rPr>
        <w:t>采 购 人：湖南岳麓经济开发有限责任公司</w:t>
      </w:r>
    </w:p>
    <w:p>
      <w:pPr>
        <w:adjustRightInd w:val="0"/>
        <w:snapToGrid w:val="0"/>
        <w:spacing w:line="400" w:lineRule="exact"/>
        <w:jc w:val="left"/>
        <w:rPr>
          <w:rFonts w:ascii="宋体" w:hAnsi="宋体" w:cs="宋体"/>
          <w:szCs w:val="21"/>
        </w:rPr>
      </w:pPr>
      <w:r>
        <w:rPr>
          <w:rFonts w:hint="eastAsia" w:ascii="宋体" w:hAnsi="宋体" w:cs="宋体"/>
          <w:szCs w:val="21"/>
        </w:rPr>
        <w:t>地    址：</w:t>
      </w:r>
      <w:r>
        <w:rPr>
          <w:rFonts w:hint="eastAsia" w:ascii="宋体" w:hAnsi="宋体"/>
          <w:szCs w:val="21"/>
        </w:rPr>
        <w:t>湖南省检验检测特色产业园（长沙市岳麓区学士路336号）A1栋23楼</w:t>
      </w:r>
    </w:p>
    <w:p>
      <w:pPr>
        <w:adjustRightInd w:val="0"/>
        <w:snapToGrid w:val="0"/>
        <w:spacing w:line="400" w:lineRule="exact"/>
        <w:jc w:val="left"/>
        <w:rPr>
          <w:rFonts w:ascii="宋体" w:hAnsi="宋体" w:cs="宋体"/>
          <w:szCs w:val="21"/>
        </w:rPr>
      </w:pPr>
      <w:r>
        <w:rPr>
          <w:rFonts w:hint="eastAsia" w:ascii="宋体" w:hAnsi="宋体" w:cs="宋体"/>
          <w:szCs w:val="21"/>
        </w:rPr>
        <w:t>电    话：陈先生</w:t>
      </w:r>
    </w:p>
    <w:p>
      <w:pPr>
        <w:adjustRightInd w:val="0"/>
        <w:snapToGrid w:val="0"/>
        <w:spacing w:line="400" w:lineRule="exact"/>
        <w:jc w:val="left"/>
        <w:rPr>
          <w:rFonts w:ascii="宋体" w:hAnsi="宋体" w:cs="宋体"/>
          <w:szCs w:val="21"/>
        </w:rPr>
      </w:pPr>
      <w:r>
        <w:rPr>
          <w:rFonts w:hint="eastAsia" w:ascii="宋体" w:hAnsi="宋体" w:cs="宋体"/>
          <w:szCs w:val="21"/>
        </w:rPr>
        <w:t>联 系 人：0731-88051319</w:t>
      </w:r>
    </w:p>
    <w:p>
      <w:pPr>
        <w:adjustRightInd w:val="0"/>
        <w:snapToGrid w:val="0"/>
        <w:spacing w:line="400" w:lineRule="exact"/>
        <w:jc w:val="left"/>
        <w:rPr>
          <w:rFonts w:ascii="宋体" w:hAnsi="宋体" w:cs="宋体"/>
          <w:szCs w:val="21"/>
        </w:rPr>
      </w:pPr>
      <w:r>
        <w:rPr>
          <w:rFonts w:hint="eastAsia" w:ascii="宋体" w:hAnsi="宋体" w:cs="宋体"/>
          <w:szCs w:val="21"/>
        </w:rPr>
        <w:t>采购代理机构：湖南中招项目管理有限公司</w:t>
      </w:r>
    </w:p>
    <w:p>
      <w:pPr>
        <w:adjustRightInd w:val="0"/>
        <w:snapToGrid w:val="0"/>
        <w:spacing w:line="400" w:lineRule="exact"/>
        <w:jc w:val="left"/>
        <w:rPr>
          <w:rFonts w:ascii="宋体" w:hAnsi="宋体" w:cs="宋体"/>
          <w:szCs w:val="21"/>
        </w:rPr>
      </w:pPr>
      <w:r>
        <w:rPr>
          <w:rFonts w:hint="eastAsia" w:ascii="宋体" w:hAnsi="宋体" w:cs="宋体"/>
          <w:szCs w:val="21"/>
        </w:rPr>
        <w:t>地    址：长沙市开福区芙蓉中路一段468号湖南财富中心富座2903室</w:t>
      </w:r>
    </w:p>
    <w:p>
      <w:pPr>
        <w:adjustRightInd w:val="0"/>
        <w:snapToGrid w:val="0"/>
        <w:spacing w:line="400" w:lineRule="exact"/>
        <w:jc w:val="left"/>
        <w:rPr>
          <w:rFonts w:ascii="宋体" w:hAnsi="宋体" w:cs="宋体"/>
          <w:szCs w:val="21"/>
        </w:rPr>
      </w:pPr>
      <w:r>
        <w:rPr>
          <w:rFonts w:hint="eastAsia" w:ascii="宋体" w:hAnsi="宋体" w:cs="宋体"/>
          <w:szCs w:val="21"/>
        </w:rPr>
        <w:t>电    话：</w:t>
      </w:r>
      <w:r>
        <w:rPr>
          <w:rFonts w:ascii="宋体" w:hAnsi="宋体" w:cs="宋体"/>
          <w:szCs w:val="21"/>
        </w:rPr>
        <w:t>0731-84126198</w:t>
      </w:r>
    </w:p>
    <w:p>
      <w:pPr>
        <w:adjustRightInd w:val="0"/>
        <w:snapToGrid w:val="0"/>
        <w:spacing w:line="400" w:lineRule="exact"/>
        <w:jc w:val="left"/>
        <w:rPr>
          <w:rFonts w:ascii="宋体" w:hAnsi="宋体" w:cs="宋体"/>
          <w:szCs w:val="21"/>
        </w:rPr>
      </w:pPr>
      <w:r>
        <w:rPr>
          <w:rFonts w:hint="eastAsia" w:ascii="宋体" w:hAnsi="宋体" w:cs="宋体"/>
          <w:szCs w:val="21"/>
        </w:rPr>
        <w:t>联 系 人：吴瑛、李露</w:t>
      </w:r>
      <w:r>
        <w:rPr>
          <w:rFonts w:hint="eastAsia" w:hAnsi="宋体" w:cs="宋体"/>
          <w:b/>
          <w:sz w:val="32"/>
          <w:szCs w:val="32"/>
        </w:rPr>
        <w:br w:type="page"/>
      </w:r>
    </w:p>
    <w:p>
      <w:pPr>
        <w:pStyle w:val="26"/>
        <w:jc w:val="center"/>
        <w:outlineLvl w:val="0"/>
        <w:rPr>
          <w:rFonts w:hAnsi="宋体" w:cs="宋体"/>
          <w:b/>
          <w:sz w:val="32"/>
          <w:szCs w:val="32"/>
        </w:rPr>
      </w:pPr>
      <w:r>
        <w:rPr>
          <w:rFonts w:hint="eastAsia" w:hAnsi="宋体" w:cs="宋体"/>
          <w:b/>
          <w:sz w:val="32"/>
          <w:szCs w:val="32"/>
        </w:rPr>
        <w:t>第二章 磋商须知</w:t>
      </w:r>
    </w:p>
    <w:p>
      <w:pPr>
        <w:pStyle w:val="26"/>
        <w:rPr>
          <w:rFonts w:hAnsi="宋体" w:cs="宋体"/>
          <w:b/>
          <w:sz w:val="24"/>
          <w:szCs w:val="24"/>
        </w:rPr>
      </w:pPr>
      <w:r>
        <w:rPr>
          <w:rFonts w:hint="eastAsia" w:hAnsi="宋体" w:cs="宋体"/>
          <w:b/>
          <w:sz w:val="24"/>
          <w:szCs w:val="24"/>
        </w:rPr>
        <w:t>磋商须知前附表</w:t>
      </w:r>
    </w:p>
    <w:p>
      <w:pPr>
        <w:pStyle w:val="26"/>
        <w:rPr>
          <w:rFonts w:hAnsi="宋体" w:cs="宋体"/>
        </w:rPr>
      </w:pPr>
      <w:r>
        <w:rPr>
          <w:rFonts w:hint="eastAsia" w:hAnsi="宋体" w:cs="宋体"/>
        </w:rPr>
        <w:t>注： 请在方框□内划√选择，在“条款号”内限选一项。（本项目采用的条款用“■”标示）</w:t>
      </w:r>
    </w:p>
    <w:tbl>
      <w:tblPr>
        <w:tblStyle w:val="46"/>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078县道（绕城高速—象嘴路）电力埋管项目、云栖路（含浦大道—象嘴路）电力埋管项目设计服务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vAlign w:val="center"/>
          </w:tcPr>
          <w:p>
            <w:pPr>
              <w:pStyle w:val="26"/>
              <w:spacing w:line="400" w:lineRule="exact"/>
              <w:ind w:left="1155" w:hanging="1155" w:hangingChars="550"/>
              <w:jc w:val="left"/>
              <w:rPr>
                <w:rFonts w:hAnsi="宋体" w:cs="宋体"/>
              </w:rPr>
            </w:pPr>
            <w:r>
              <w:rPr>
                <w:rFonts w:hint="eastAsia" w:hAnsi="宋体" w:cs="宋体"/>
              </w:rPr>
              <w:t>采 购 人：湖南岳麓经济开发有限责任公司</w:t>
            </w:r>
          </w:p>
          <w:p>
            <w:pPr>
              <w:snapToGrid w:val="0"/>
              <w:spacing w:line="276" w:lineRule="auto"/>
              <w:rPr>
                <w:rFonts w:ascii="宋体" w:hAnsi="宋体" w:cs="宋体"/>
                <w:szCs w:val="21"/>
              </w:rPr>
            </w:pPr>
            <w:r>
              <w:rPr>
                <w:rFonts w:hint="eastAsia" w:ascii="宋体" w:hAnsi="宋体" w:cs="宋体"/>
                <w:szCs w:val="21"/>
              </w:rPr>
              <w:t>地    址：湖南省检验检测特色产业园（长沙市岳麓区学士路336号）A1栋23楼</w:t>
            </w:r>
          </w:p>
          <w:p>
            <w:pPr>
              <w:pStyle w:val="26"/>
              <w:spacing w:line="276" w:lineRule="auto"/>
              <w:ind w:left="1155" w:hanging="1155" w:hangingChars="550"/>
              <w:jc w:val="left"/>
              <w:rPr>
                <w:rFonts w:hAnsi="宋体" w:cs="宋体"/>
              </w:rPr>
            </w:pPr>
            <w:r>
              <w:rPr>
                <w:rFonts w:hint="eastAsia" w:hAnsi="宋体" w:cs="宋体"/>
              </w:rPr>
              <w:t>电    话：陈先生</w:t>
            </w:r>
          </w:p>
          <w:p>
            <w:pPr>
              <w:pStyle w:val="26"/>
              <w:spacing w:line="276" w:lineRule="auto"/>
              <w:ind w:left="1155" w:hanging="1155" w:hangingChars="550"/>
              <w:jc w:val="left"/>
              <w:rPr>
                <w:rFonts w:hAnsi="宋体" w:cs="宋体"/>
              </w:rPr>
            </w:pPr>
            <w:r>
              <w:rPr>
                <w:rFonts w:hint="eastAsia" w:hAnsi="宋体" w:cs="宋体"/>
              </w:rPr>
              <w:t>联 系 人：0731-88051319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vAlign w:val="center"/>
          </w:tcPr>
          <w:p>
            <w:pPr>
              <w:pStyle w:val="26"/>
              <w:spacing w:line="276" w:lineRule="auto"/>
              <w:jc w:val="left"/>
              <w:rPr>
                <w:rFonts w:hAnsi="宋体" w:cs="宋体"/>
              </w:rPr>
            </w:pPr>
            <w:r>
              <w:rPr>
                <w:rFonts w:hint="eastAsia" w:hAnsi="宋体" w:cs="宋体"/>
              </w:rPr>
              <w:t>名    称：湖南中招项目管理有限公司</w:t>
            </w:r>
          </w:p>
          <w:p>
            <w:pPr>
              <w:snapToGrid w:val="0"/>
              <w:spacing w:line="276" w:lineRule="auto"/>
              <w:rPr>
                <w:rFonts w:ascii="宋体" w:hAnsi="宋体" w:cs="宋体"/>
                <w:szCs w:val="21"/>
              </w:rPr>
            </w:pPr>
            <w:r>
              <w:rPr>
                <w:rFonts w:hint="eastAsia" w:ascii="宋体" w:hAnsi="宋体" w:cs="宋体"/>
                <w:szCs w:val="21"/>
              </w:rPr>
              <w:t>地    址：长沙市开福区芙蓉中路一段468号湖南财富中心富座2903室</w:t>
            </w:r>
          </w:p>
          <w:p>
            <w:pPr>
              <w:pStyle w:val="26"/>
              <w:spacing w:line="276" w:lineRule="auto"/>
              <w:jc w:val="left"/>
              <w:rPr>
                <w:rFonts w:hAnsi="宋体" w:cs="宋体"/>
              </w:rPr>
            </w:pPr>
            <w:r>
              <w:rPr>
                <w:rFonts w:hint="eastAsia" w:hAnsi="宋体" w:cs="宋体"/>
              </w:rPr>
              <w:t>电    话：</w:t>
            </w:r>
            <w:r>
              <w:rPr>
                <w:rFonts w:hAnsi="宋体" w:cs="宋体"/>
              </w:rPr>
              <w:t>0731-84126198</w:t>
            </w:r>
          </w:p>
          <w:p>
            <w:pPr>
              <w:adjustRightInd w:val="0"/>
              <w:snapToGrid w:val="0"/>
              <w:spacing w:line="276" w:lineRule="auto"/>
              <w:rPr>
                <w:rFonts w:ascii="宋体" w:hAnsi="宋体" w:cs="宋体"/>
                <w:szCs w:val="21"/>
              </w:rPr>
            </w:pPr>
            <w:r>
              <w:rPr>
                <w:rFonts w:hint="eastAsia" w:ascii="宋体" w:hAnsi="宋体" w:cs="宋体"/>
              </w:rPr>
              <w:t>联 系 人：吴瑛、李露</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vAlign w:val="center"/>
          </w:tcPr>
          <w:p>
            <w:pPr>
              <w:adjustRightInd w:val="0"/>
              <w:snapToGrid w:val="0"/>
              <w:spacing w:before="156" w:beforeLines="50" w:line="276" w:lineRule="auto"/>
              <w:rPr>
                <w:rFonts w:ascii="宋体" w:hAnsi="宋体" w:cs="宋体"/>
              </w:rPr>
            </w:pPr>
            <w:r>
              <w:rPr>
                <w:rFonts w:hint="eastAsia" w:ascii="宋体" w:hAnsi="宋体" w:cs="宋体"/>
              </w:rPr>
              <w:t>1、供应商基本资格条件：符合《中华人民共和国政府采购法》第二十二条规定的供应商条件，并提供以下资格证明文件：</w:t>
            </w:r>
          </w:p>
          <w:p>
            <w:pPr>
              <w:adjustRightInd w:val="0"/>
              <w:snapToGrid w:val="0"/>
              <w:spacing w:before="156" w:beforeLines="50" w:line="276" w:lineRule="auto"/>
              <w:rPr>
                <w:rFonts w:ascii="宋体" w:hAnsi="宋体" w:cs="宋体"/>
              </w:rPr>
            </w:pPr>
            <w:r>
              <w:rPr>
                <w:rFonts w:hint="eastAsia" w:ascii="宋体" w:hAnsi="宋体" w:cs="宋体"/>
              </w:rPr>
              <w:t>（1）法人提交企业法人营业执照副本(或者法人登记证书)以及组织机构代码证副本复印件；</w:t>
            </w:r>
          </w:p>
          <w:p>
            <w:pPr>
              <w:adjustRightInd w:val="0"/>
              <w:snapToGrid w:val="0"/>
              <w:spacing w:before="156" w:beforeLines="50" w:line="276" w:lineRule="auto"/>
              <w:rPr>
                <w:rFonts w:ascii="宋体" w:hAnsi="宋体" w:cs="宋体"/>
              </w:rPr>
            </w:pPr>
            <w:r>
              <w:rPr>
                <w:rFonts w:hint="eastAsia" w:ascii="宋体" w:hAnsi="宋体" w:cs="宋体"/>
              </w:rPr>
              <w:t>（2）依法缴纳税收和社会保险费的证明材料，各提供下列材料之一:</w:t>
            </w:r>
          </w:p>
          <w:p>
            <w:pPr>
              <w:adjustRightInd w:val="0"/>
              <w:snapToGrid w:val="0"/>
              <w:spacing w:before="156" w:beforeLines="50" w:line="276" w:lineRule="auto"/>
              <w:rPr>
                <w:rFonts w:ascii="宋体" w:hAnsi="宋体" w:cs="宋体"/>
              </w:rPr>
            </w:pPr>
            <w:r>
              <w:rPr>
                <w:rFonts w:hint="eastAsia" w:ascii="宋体" w:hAnsi="宋体" w:cs="宋体"/>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adjustRightInd w:val="0"/>
              <w:snapToGrid w:val="0"/>
              <w:spacing w:before="156" w:beforeLines="50" w:line="276" w:lineRule="auto"/>
              <w:rPr>
                <w:rFonts w:ascii="宋体" w:hAnsi="宋体" w:cs="宋体"/>
              </w:rPr>
            </w:pPr>
            <w:r>
              <w:rPr>
                <w:rFonts w:hint="eastAsia" w:ascii="宋体" w:hAnsi="宋体" w:cs="宋体"/>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adjustRightInd w:val="0"/>
              <w:snapToGrid w:val="0"/>
              <w:spacing w:before="156" w:beforeLines="50" w:line="276" w:lineRule="auto"/>
              <w:rPr>
                <w:rFonts w:ascii="宋体" w:hAnsi="宋体" w:cs="宋体"/>
              </w:rPr>
            </w:pPr>
            <w:r>
              <w:rPr>
                <w:rFonts w:hint="eastAsia" w:ascii="宋体" w:hAnsi="宋体" w:cs="宋体"/>
              </w:rPr>
              <w:t>（3）法人提交法定代表人身份证明原件或者法定代表人授权委托书原件并附法定代表人身份证明原件，自然人提交身份证复印件；</w:t>
            </w:r>
          </w:p>
          <w:p>
            <w:pPr>
              <w:adjustRightInd w:val="0"/>
              <w:snapToGrid w:val="0"/>
              <w:spacing w:before="156" w:beforeLines="50" w:line="276" w:lineRule="auto"/>
              <w:rPr>
                <w:rFonts w:ascii="宋体" w:hAnsi="宋体" w:cs="宋体"/>
              </w:rPr>
            </w:pPr>
            <w:r>
              <w:rPr>
                <w:rFonts w:hint="eastAsia" w:ascii="宋体" w:hAnsi="宋体" w:cs="宋体"/>
              </w:rPr>
              <w:t>（4）提供2022年度经会计师事务所审计的财务报告复印件（至少包含资产负债表、利润表和现金流量表），或银行出具的资信证明。</w:t>
            </w:r>
          </w:p>
          <w:p>
            <w:pPr>
              <w:adjustRightInd w:val="0"/>
              <w:snapToGrid w:val="0"/>
              <w:spacing w:before="156" w:beforeLines="50" w:line="276" w:lineRule="auto"/>
              <w:rPr>
                <w:rFonts w:ascii="宋体" w:hAnsi="宋体" w:cs="宋体"/>
              </w:rPr>
            </w:pPr>
            <w:r>
              <w:rPr>
                <w:rFonts w:hint="eastAsia" w:ascii="宋体" w:hAnsi="宋体" w:cs="宋体"/>
              </w:rPr>
              <w:t>（5）其他说明：</w:t>
            </w:r>
          </w:p>
          <w:p>
            <w:pPr>
              <w:adjustRightInd w:val="0"/>
              <w:snapToGrid w:val="0"/>
              <w:spacing w:before="156" w:beforeLines="50" w:line="276" w:lineRule="auto"/>
              <w:rPr>
                <w:rFonts w:ascii="宋体" w:hAnsi="宋体" w:cs="宋体"/>
              </w:rPr>
            </w:pPr>
            <w:r>
              <w:rPr>
                <w:rFonts w:hint="eastAsia" w:ascii="宋体" w:hAnsi="宋体" w:cs="宋体"/>
              </w:rPr>
              <w:t>①非法人组织参与投标需提供的证明材料。</w:t>
            </w:r>
          </w:p>
          <w:p>
            <w:pPr>
              <w:adjustRightInd w:val="0"/>
              <w:snapToGrid w:val="0"/>
              <w:spacing w:before="156" w:beforeLines="50" w:line="276" w:lineRule="auto"/>
              <w:rPr>
                <w:rFonts w:ascii="宋体" w:hAnsi="宋体" w:cs="宋体"/>
              </w:rPr>
            </w:pPr>
            <w:r>
              <w:rPr>
                <w:rFonts w:hint="eastAsia" w:ascii="宋体" w:hAnsi="宋体" w:cs="宋体"/>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pPr>
              <w:adjustRightInd w:val="0"/>
              <w:snapToGrid w:val="0"/>
              <w:spacing w:before="156" w:beforeLines="50" w:line="276" w:lineRule="auto"/>
              <w:rPr>
                <w:rFonts w:ascii="宋体" w:hAnsi="宋体" w:cs="宋体"/>
              </w:rPr>
            </w:pPr>
            <w:r>
              <w:rPr>
                <w:rFonts w:hint="eastAsia" w:ascii="宋体" w:hAnsi="宋体" w:cs="宋体"/>
              </w:rPr>
              <w:t>③资格证明文件复印件需加盖投标人公章。</w:t>
            </w:r>
          </w:p>
          <w:p>
            <w:pPr>
              <w:adjustRightInd w:val="0"/>
              <w:snapToGrid w:val="0"/>
              <w:spacing w:before="156" w:beforeLines="50" w:line="276" w:lineRule="auto"/>
              <w:rPr>
                <w:rFonts w:ascii="宋体" w:hAnsi="宋体" w:cs="宋体"/>
              </w:rPr>
            </w:pPr>
            <w:r>
              <w:rPr>
                <w:rFonts w:hint="eastAsia" w:ascii="宋体" w:hAnsi="宋体" w:cs="宋体"/>
              </w:rPr>
              <w:t>备注：以上所提的近三个月是指：2023年10月～2023年12月。</w:t>
            </w:r>
          </w:p>
          <w:p>
            <w:pPr>
              <w:adjustRightInd w:val="0"/>
              <w:snapToGrid w:val="0"/>
              <w:spacing w:before="156" w:beforeLines="50" w:line="276" w:lineRule="auto"/>
              <w:rPr>
                <w:rFonts w:ascii="宋体" w:hAnsi="宋体" w:cs="宋体"/>
              </w:rPr>
            </w:pPr>
            <w:r>
              <w:rPr>
                <w:rFonts w:hint="eastAsia" w:ascii="宋体" w:hAnsi="宋体" w:cs="宋体"/>
              </w:rPr>
              <w:t>2、供应商特定资格条件：</w:t>
            </w:r>
          </w:p>
          <w:p>
            <w:pPr>
              <w:adjustRightInd w:val="0"/>
              <w:snapToGrid w:val="0"/>
              <w:spacing w:before="156" w:beforeLines="50" w:line="276" w:lineRule="auto"/>
              <w:rPr>
                <w:rFonts w:ascii="宋体" w:hAnsi="宋体" w:cs="宋体"/>
              </w:rPr>
            </w:pPr>
            <w:r>
              <w:rPr>
                <w:rFonts w:hint="eastAsia" w:ascii="宋体" w:hAnsi="宋体" w:cs="宋体"/>
                <w:szCs w:val="21"/>
                <w:lang w:val="zh-TW"/>
              </w:rPr>
              <w:t>（1）</w:t>
            </w:r>
            <w:r>
              <w:rPr>
                <w:rFonts w:ascii="宋体" w:hAnsi="宋体" w:cs="宋体"/>
                <w:szCs w:val="21"/>
                <w:lang w:val="zh-TW" w:eastAsia="zh-TW"/>
              </w:rPr>
              <w:t>具备住房城乡</w:t>
            </w:r>
            <w:r>
              <w:rPr>
                <w:rFonts w:hint="eastAsia" w:ascii="宋体" w:hAnsi="宋体" w:cs="宋体"/>
                <w:szCs w:val="21"/>
                <w:lang w:val="zh-TW" w:eastAsia="zh-TW"/>
              </w:rPr>
              <w:t>建设主管部门颁发的</w:t>
            </w:r>
            <w:r>
              <w:rPr>
                <w:rFonts w:hint="eastAsia" w:ascii="宋体" w:hAnsi="宋体"/>
                <w:szCs w:val="21"/>
              </w:rPr>
              <w:t>以下资质之一：①</w:t>
            </w:r>
            <w:r>
              <w:rPr>
                <w:rFonts w:hint="eastAsia" w:ascii="宋体" w:hAnsi="宋体" w:cs="宋体"/>
                <w:szCs w:val="21"/>
                <w:lang w:val="zh-TW" w:eastAsia="zh-TW"/>
              </w:rPr>
              <w:t>工程设计综合</w:t>
            </w:r>
            <w:r>
              <w:rPr>
                <w:rFonts w:hint="eastAsia" w:ascii="宋体" w:hAnsi="宋体" w:cs="宋体"/>
                <w:szCs w:val="21"/>
                <w:lang w:val="zh-TW"/>
              </w:rPr>
              <w:t>甲级</w:t>
            </w:r>
            <w:r>
              <w:rPr>
                <w:rFonts w:hint="eastAsia" w:ascii="宋体" w:hAnsi="宋体" w:cs="宋体"/>
                <w:szCs w:val="21"/>
                <w:lang w:val="zh-TW" w:eastAsia="zh-TW"/>
              </w:rPr>
              <w:t>资质</w:t>
            </w:r>
            <w:r>
              <w:rPr>
                <w:rFonts w:hint="eastAsia" w:ascii="宋体" w:hAnsi="宋体" w:cs="宋体"/>
                <w:szCs w:val="21"/>
                <w:lang w:val="zh-TW"/>
              </w:rPr>
              <w:t>；</w:t>
            </w:r>
            <w:r>
              <w:rPr>
                <w:rFonts w:hint="eastAsia" w:ascii="宋体" w:hAnsi="宋体" w:cs="宋体"/>
                <w:szCs w:val="21"/>
              </w:rPr>
              <w:t>②</w:t>
            </w:r>
            <w:r>
              <w:rPr>
                <w:rFonts w:hint="eastAsia" w:ascii="宋体" w:hAnsi="宋体" w:cs="宋体"/>
                <w:szCs w:val="21"/>
                <w:lang w:val="zh-TW" w:eastAsia="zh-TW"/>
              </w:rPr>
              <w:t>工程设计电力行业</w:t>
            </w:r>
            <w:r>
              <w:rPr>
                <w:rFonts w:hint="eastAsia" w:ascii="宋体" w:hAnsi="宋体" w:cs="宋体"/>
                <w:szCs w:val="21"/>
                <w:lang w:val="zh-TW"/>
              </w:rPr>
              <w:t>丙</w:t>
            </w:r>
            <w:r>
              <w:rPr>
                <w:rFonts w:hint="eastAsia" w:ascii="宋体" w:hAnsi="宋体" w:cs="宋体"/>
                <w:szCs w:val="21"/>
                <w:lang w:val="zh-TW" w:eastAsia="zh-TW"/>
              </w:rPr>
              <w:t>级及以上资质</w:t>
            </w:r>
            <w:r>
              <w:rPr>
                <w:rFonts w:hint="eastAsia" w:ascii="宋体" w:hAnsi="宋体" w:cs="宋体"/>
                <w:szCs w:val="21"/>
                <w:lang w:val="zh-TW"/>
              </w:rPr>
              <w:t>；</w:t>
            </w:r>
            <w:r>
              <w:rPr>
                <w:rFonts w:hint="eastAsia" w:ascii="宋体" w:hAnsi="宋体" w:cs="宋体"/>
                <w:szCs w:val="21"/>
              </w:rPr>
              <w:t>③</w:t>
            </w:r>
            <w:r>
              <w:rPr>
                <w:rFonts w:hint="eastAsia" w:ascii="宋体" w:hAnsi="宋体" w:cs="宋体"/>
                <w:szCs w:val="21"/>
                <w:lang w:val="zh-TW" w:eastAsia="zh-TW"/>
              </w:rPr>
              <w:t>工程设计电力行业（送电工程、变电工程）专业</w:t>
            </w:r>
            <w:r>
              <w:rPr>
                <w:rFonts w:hint="eastAsia" w:ascii="宋体" w:hAnsi="宋体" w:cs="宋体"/>
                <w:szCs w:val="21"/>
                <w:lang w:val="zh-TW"/>
              </w:rPr>
              <w:t>丙级</w:t>
            </w:r>
            <w:r>
              <w:rPr>
                <w:rFonts w:hint="eastAsia" w:ascii="宋体" w:hAnsi="宋体" w:cs="宋体"/>
                <w:szCs w:val="21"/>
                <w:lang w:val="zh-TW" w:eastAsia="zh-TW"/>
              </w:rPr>
              <w:t>及以上资质。</w:t>
            </w:r>
            <w:r>
              <w:rPr>
                <w:rFonts w:hint="eastAsia" w:ascii="宋体" w:hAnsi="宋体" w:cs="宋体"/>
                <w:szCs w:val="21"/>
                <w:lang w:val="zh-TW"/>
              </w:rPr>
              <w:t>（</w:t>
            </w:r>
            <w:r>
              <w:rPr>
                <w:rFonts w:hint="eastAsia" w:ascii="宋体" w:hAnsi="宋体" w:cs="宋体"/>
                <w:bCs/>
                <w:szCs w:val="21"/>
              </w:rPr>
              <w:t>2）投标人须在全国投资项目在线审批监管平台告知性备案（备案的专业须包括电力（含火电、水电、核电、新能源），服务范围须包括项目咨询）。</w:t>
            </w:r>
          </w:p>
          <w:p>
            <w:pPr>
              <w:adjustRightInd w:val="0"/>
              <w:snapToGrid w:val="0"/>
              <w:spacing w:before="156" w:beforeLines="50" w:line="276" w:lineRule="auto"/>
              <w:rPr>
                <w:rFonts w:ascii="宋体" w:hAnsi="宋体" w:cs="宋体"/>
              </w:rPr>
            </w:pPr>
            <w:r>
              <w:rPr>
                <w:rFonts w:hint="eastAsia" w:ascii="宋体" w:hAnsi="宋体" w:cs="宋体"/>
              </w:rPr>
              <w:t>3、本项目不接受联合体投标。</w:t>
            </w:r>
          </w:p>
          <w:p>
            <w:pPr>
              <w:pStyle w:val="2"/>
              <w:spacing w:after="0" w:line="276" w:lineRule="auto"/>
              <w:ind w:left="0" w:leftChars="0" w:firstLine="0" w:firstLineChars="0"/>
            </w:pPr>
            <w:r>
              <w:rPr>
                <w:rFonts w:hint="eastAsia" w:ascii="宋体" w:hAnsi="宋体" w:cs="宋体"/>
              </w:rPr>
              <w:t>4、资格证明文件复印件须加盖投标人公章。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rPr>
                <w:rFonts w:ascii="宋体" w:hAnsi="宋体" w:cs="宋体"/>
                <w:szCs w:val="21"/>
              </w:rPr>
            </w:pPr>
            <w:r>
              <w:rPr>
                <w:rFonts w:hint="eastAsia" w:ascii="宋体" w:hAnsi="宋体" w:cs="宋体"/>
                <w:szCs w:val="21"/>
              </w:rPr>
              <w:t>第二章第8.1款</w:t>
            </w:r>
          </w:p>
        </w:tc>
        <w:tc>
          <w:tcPr>
            <w:tcW w:w="1590" w:type="dxa"/>
            <w:vAlign w:val="center"/>
          </w:tcPr>
          <w:p>
            <w:pPr>
              <w:rPr>
                <w:rFonts w:ascii="宋体" w:hAnsi="宋体" w:cs="宋体"/>
                <w:szCs w:val="21"/>
              </w:rPr>
            </w:pPr>
            <w:r>
              <w:rPr>
                <w:rFonts w:hint="eastAsia" w:ascii="宋体" w:hAnsi="宋体" w:cs="宋体"/>
                <w:szCs w:val="21"/>
              </w:rPr>
              <w:t>采购进口产品</w:t>
            </w:r>
          </w:p>
        </w:tc>
        <w:tc>
          <w:tcPr>
            <w:tcW w:w="5494" w:type="dxa"/>
            <w:vAlign w:val="center"/>
          </w:tcPr>
          <w:p>
            <w:pPr>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55" w:hRule="atLeast"/>
          <w:jc w:val="center"/>
        </w:trPr>
        <w:tc>
          <w:tcPr>
            <w:tcW w:w="1761" w:type="dxa"/>
            <w:vAlign w:val="center"/>
          </w:tcPr>
          <w:p>
            <w:pPr>
              <w:rPr>
                <w:rFonts w:ascii="宋体" w:hAnsi="宋体" w:cs="宋体"/>
                <w:szCs w:val="21"/>
              </w:rPr>
            </w:pPr>
            <w:r>
              <w:rPr>
                <w:rFonts w:hint="eastAsia" w:ascii="宋体" w:hAnsi="宋体" w:cs="宋体"/>
                <w:szCs w:val="21"/>
              </w:rPr>
              <w:t>第二章第9.1款</w:t>
            </w:r>
          </w:p>
        </w:tc>
        <w:tc>
          <w:tcPr>
            <w:tcW w:w="1590" w:type="dxa"/>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vAlign w:val="center"/>
          </w:tcPr>
          <w:p>
            <w:pPr>
              <w:adjustRightInd w:val="0"/>
              <w:snapToGrid w:val="0"/>
              <w:spacing w:line="360" w:lineRule="auto"/>
              <w:rPr>
                <w:rFonts w:ascii="宋体" w:hAnsi="宋体"/>
                <w:szCs w:val="21"/>
              </w:rPr>
            </w:pPr>
            <w:r>
              <w:rPr>
                <w:rFonts w:hint="eastAsia" w:ascii="宋体" w:hAnsi="宋体" w:cs="宋体"/>
                <w:szCs w:val="21"/>
              </w:rPr>
              <w:t>■</w:t>
            </w:r>
            <w:r>
              <w:rPr>
                <w:rFonts w:hint="eastAsia" w:ascii="宋体" w:hAnsi="宋体"/>
                <w:szCs w:val="21"/>
              </w:rPr>
              <w:t xml:space="preserve"> 否</w:t>
            </w:r>
          </w:p>
          <w:p>
            <w:pPr>
              <w:adjustRightInd w:val="0"/>
              <w:snapToGrid w:val="0"/>
              <w:spacing w:line="360" w:lineRule="auto"/>
              <w:rPr>
                <w:rFonts w:ascii="宋体" w:hAnsi="宋体" w:cs="宋体"/>
                <w:szCs w:val="21"/>
              </w:rPr>
            </w:pPr>
            <w:r>
              <w:rPr>
                <w:rFonts w:hint="eastAsia" w:ascii="宋体" w:hAnsi="宋体"/>
                <w:szCs w:val="21"/>
              </w:rPr>
              <w:t>□ 是，采购《节能产品政府采购品目清单》(第</w:t>
            </w:r>
            <w:r>
              <w:rPr>
                <w:rFonts w:hint="eastAsia" w:ascii="宋体" w:hAnsi="宋体"/>
                <w:szCs w:val="21"/>
                <w:u w:val="single"/>
              </w:rPr>
              <w:t xml:space="preserve">    </w:t>
            </w:r>
            <w:r>
              <w:rPr>
                <w:rFonts w:hint="eastAsia" w:ascii="宋体" w:hAnsi="宋体"/>
                <w:szCs w:val="21"/>
              </w:rPr>
              <w:t>期) 内标记★符号的节能产品。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vAlign w:val="center"/>
          </w:tcPr>
          <w:p>
            <w:pPr>
              <w:rPr>
                <w:rFonts w:ascii="宋体" w:hAnsi="宋体" w:cs="宋体"/>
                <w:szCs w:val="21"/>
              </w:rPr>
            </w:pPr>
            <w:r>
              <w:rPr>
                <w:rFonts w:hint="eastAsia" w:ascii="宋体" w:hAnsi="宋体" w:cs="宋体"/>
                <w:szCs w:val="21"/>
              </w:rPr>
              <w:t>第二章第9.2款</w:t>
            </w:r>
          </w:p>
        </w:tc>
        <w:tc>
          <w:tcPr>
            <w:tcW w:w="1590" w:type="dxa"/>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2、环境标志产品；3、两型（绿色）产品；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vAlign w:val="center"/>
          </w:tcPr>
          <w:p>
            <w:pPr>
              <w:adjustRightInd w:val="0"/>
              <w:snapToGrid w:val="0"/>
              <w:spacing w:before="156" w:beforeLines="50"/>
            </w:pPr>
            <w:r>
              <w:rPr>
                <w:rFonts w:hint="eastAsia"/>
              </w:rPr>
              <w:t>1、采购产品为《节能产品政府采购品目清单》(最新一期)内非标记★符号的，分别给予技术和价格项标准总分值4%-8%的加分。本项目具体加分比例分别为 ：技术  /  %、价格  /  %。</w:t>
            </w:r>
          </w:p>
          <w:p>
            <w:pPr>
              <w:adjustRightInd w:val="0"/>
              <w:snapToGrid w:val="0"/>
              <w:spacing w:before="156" w:beforeLines="50"/>
            </w:pPr>
            <w:r>
              <w:rPr>
                <w:rFonts w:hint="eastAsia"/>
              </w:rPr>
              <w:t>2、采购产品为《环境标志产品政府采购品目清单》(最新一期)内的，分别给予技术和价格项标准总分值4%-8%的加分。本项目具体加分比例分别为 ：技术  /  %、价格 / %。</w:t>
            </w:r>
          </w:p>
          <w:p>
            <w:pPr>
              <w:adjustRightInd w:val="0"/>
              <w:snapToGrid w:val="0"/>
              <w:spacing w:before="156" w:beforeLines="50"/>
            </w:pPr>
            <w:r>
              <w:rPr>
                <w:rFonts w:hint="eastAsia"/>
              </w:rPr>
              <w:t>3、采购产品为《湖南省两型（绿色）产品政府采购目录》或《长沙市两型（绿色）产品政府采购目录》内的：</w:t>
            </w:r>
          </w:p>
          <w:p>
            <w:pPr>
              <w:adjustRightInd w:val="0"/>
              <w:snapToGrid w:val="0"/>
              <w:spacing w:before="156" w:beforeLines="50"/>
            </w:pPr>
            <w:r>
              <w:rPr>
                <w:rFonts w:hint="eastAsia"/>
              </w:rPr>
              <w:t>（1）</w:t>
            </w:r>
            <w:r>
              <w:rPr>
                <w:rFonts w:hint="eastAsia" w:ascii="宋体" w:hAnsi="宋体"/>
                <w:szCs w:val="21"/>
              </w:rPr>
              <w:t>分别给予技术和价格项标准总分值2%-4%的加分，本项目具体加分比例分别为：技术</w:t>
            </w:r>
            <w:r>
              <w:rPr>
                <w:rFonts w:hint="eastAsia" w:ascii="宋体" w:hAnsi="宋体"/>
                <w:szCs w:val="21"/>
                <w:u w:val="single"/>
              </w:rPr>
              <w:t xml:space="preserve"> / </w:t>
            </w:r>
            <w:r>
              <w:rPr>
                <w:rFonts w:hint="eastAsia" w:ascii="宋体" w:hAnsi="宋体"/>
                <w:szCs w:val="21"/>
              </w:rPr>
              <w:t>%、价格</w:t>
            </w:r>
            <w:r>
              <w:rPr>
                <w:rFonts w:hint="eastAsia" w:ascii="宋体" w:hAnsi="宋体"/>
                <w:szCs w:val="21"/>
                <w:u w:val="single"/>
              </w:rPr>
              <w:t xml:space="preserve"> / </w:t>
            </w:r>
            <w:r>
              <w:rPr>
                <w:rFonts w:hint="eastAsia" w:ascii="宋体" w:hAnsi="宋体"/>
                <w:szCs w:val="21"/>
              </w:rPr>
              <w:t>%。</w:t>
            </w:r>
          </w:p>
          <w:p>
            <w:pPr>
              <w:adjustRightInd w:val="0"/>
              <w:snapToGrid w:val="0"/>
              <w:spacing w:before="156" w:beforeLines="50"/>
            </w:pPr>
            <w:r>
              <w:rPr>
                <w:rFonts w:hint="eastAsia"/>
              </w:rPr>
              <w:t>（2）</w:t>
            </w:r>
            <w:r>
              <w:rPr>
                <w:rFonts w:hint="eastAsia" w:ascii="宋体" w:hAnsi="宋体"/>
                <w:szCs w:val="21"/>
              </w:rPr>
              <w:t>对在本地设有完善售后服务机构和网点的两型产品，给予商务评标总分值2%-4%的加分，本项目具体加分比例为</w:t>
            </w:r>
            <w:r>
              <w:rPr>
                <w:rFonts w:hint="eastAsia" w:ascii="宋体" w:hAnsi="宋体"/>
                <w:szCs w:val="21"/>
                <w:u w:val="single"/>
              </w:rPr>
              <w:t xml:space="preserve"> / </w:t>
            </w:r>
            <w:r>
              <w:rPr>
                <w:rFonts w:hint="eastAsia" w:ascii="宋体" w:hAnsi="宋体"/>
                <w:szCs w:val="21"/>
              </w:rPr>
              <w:t>%。</w:t>
            </w:r>
          </w:p>
          <w:p>
            <w:pPr>
              <w:adjustRightInd w:val="0"/>
              <w:snapToGrid w:val="0"/>
              <w:spacing w:before="156" w:beforeLines="50"/>
            </w:pPr>
            <w:r>
              <w:rPr>
                <w:rFonts w:hint="eastAsia"/>
              </w:rPr>
              <w:t>4、非专门面向中小企业采购，且符合政府采购促进中小企业发展相关规定的：</w:t>
            </w:r>
          </w:p>
          <w:p>
            <w:pPr>
              <w:adjustRightInd w:val="0"/>
              <w:snapToGrid w:val="0"/>
              <w:spacing w:before="156" w:beforeLines="50"/>
            </w:pPr>
            <w:r>
              <w:rPr>
                <w:rFonts w:hint="eastAsia"/>
              </w:rPr>
              <w:t>（1）给予小型和微型企业、福利和监狱企业产品的价格给予10%-20%的扣除，用扣除后的价格参与评审，本项目具体扣除比例为</w:t>
            </w:r>
            <w:r>
              <w:rPr>
                <w:rFonts w:hint="eastAsia"/>
                <w:u w:val="single"/>
              </w:rPr>
              <w:t xml:space="preserve"> / </w:t>
            </w:r>
            <w:r>
              <w:rPr>
                <w:rFonts w:hint="eastAsia"/>
              </w:rPr>
              <w:t>％，不重复享受政策。</w:t>
            </w:r>
          </w:p>
          <w:p>
            <w:pPr>
              <w:adjustRightInd w:val="0"/>
              <w:snapToGrid w:val="0"/>
              <w:spacing w:before="156" w:beforeLines="50" w:line="360" w:lineRule="auto"/>
              <w:rPr>
                <w:rFonts w:ascii="宋体" w:hAnsi="宋体" w:cs="宋体"/>
                <w:szCs w:val="21"/>
              </w:rPr>
            </w:pPr>
            <w:r>
              <w:rPr>
                <w:rFonts w:hint="eastAsia"/>
              </w:rPr>
              <w:t>（2）给予联合体2%-3%的价格扣除，用扣除后的价格参与评审，本项目具体扣除比例为</w:t>
            </w:r>
            <w:r>
              <w:rPr>
                <w:rFonts w:hint="eastAsia"/>
                <w:u w:val="single"/>
              </w:rPr>
              <w:t xml:space="preserve"> / </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tcPr>
          <w:p>
            <w:pPr>
              <w:adjustRightInd w:val="0"/>
              <w:snapToGrid w:val="0"/>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761" w:type="dxa"/>
            <w:vMerge w:val="continue"/>
            <w:vAlign w:val="center"/>
          </w:tcPr>
          <w:p>
            <w:pPr>
              <w:rPr>
                <w:rFonts w:ascii="宋体" w:hAnsi="宋体" w:cs="宋体"/>
                <w:szCs w:val="21"/>
              </w:rPr>
            </w:pPr>
          </w:p>
        </w:tc>
        <w:tc>
          <w:tcPr>
            <w:tcW w:w="1590" w:type="dxa"/>
            <w:vAlign w:val="center"/>
          </w:tcPr>
          <w:p>
            <w:pPr>
              <w:rPr>
                <w:rFonts w:ascii="宋体" w:hAnsi="宋体" w:cs="宋体"/>
                <w:szCs w:val="21"/>
              </w:rPr>
            </w:pPr>
            <w:r>
              <w:rPr>
                <w:rFonts w:hint="eastAsia" w:ascii="宋体" w:hAnsi="宋体" w:cs="宋体"/>
                <w:bCs/>
                <w:kern w:val="0"/>
                <w:szCs w:val="21"/>
              </w:rPr>
              <w:t>政府采购信用担保</w:t>
            </w:r>
          </w:p>
        </w:tc>
        <w:tc>
          <w:tcPr>
            <w:tcW w:w="5494" w:type="dxa"/>
            <w:vAlign w:val="center"/>
          </w:tcPr>
          <w:p>
            <w:pPr>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12</w:t>
            </w:r>
            <w:r>
              <w:rPr>
                <w:rFonts w:hint="eastAsia" w:ascii="宋体" w:hAnsi="宋体" w:cs="宋体"/>
                <w:szCs w:val="21"/>
              </w:rPr>
              <w:t>月</w:t>
            </w:r>
            <w:r>
              <w:rPr>
                <w:rFonts w:hint="eastAsia" w:ascii="宋体" w:hAnsi="宋体" w:cs="宋体"/>
                <w:szCs w:val="21"/>
                <w:u w:val="single"/>
              </w:rPr>
              <w:t>27</w:t>
            </w:r>
            <w:r>
              <w:rPr>
                <w:rFonts w:hint="eastAsia" w:ascii="宋体" w:hAnsi="宋体" w:cs="宋体"/>
                <w:szCs w:val="21"/>
              </w:rPr>
              <w:t xml:space="preserve">日起至 </w:t>
            </w:r>
            <w:r>
              <w:rPr>
                <w:rFonts w:hint="eastAsia" w:ascii="宋体" w:hAnsi="宋体" w:cs="宋体"/>
                <w:szCs w:val="21"/>
                <w:u w:val="single"/>
              </w:rPr>
              <w:t>2024</w:t>
            </w:r>
            <w:r>
              <w:rPr>
                <w:rFonts w:hint="eastAsia" w:ascii="宋体" w:hAnsi="宋体" w:cs="宋体"/>
                <w:szCs w:val="21"/>
              </w:rPr>
              <w:t>年</w:t>
            </w:r>
            <w:r>
              <w:rPr>
                <w:rFonts w:hint="eastAsia" w:ascii="宋体" w:hAnsi="宋体" w:cs="宋体"/>
                <w:szCs w:val="21"/>
                <w:u w:val="single"/>
              </w:rPr>
              <w:t>01</w:t>
            </w:r>
            <w:r>
              <w:rPr>
                <w:rFonts w:hint="eastAsia" w:ascii="宋体" w:hAnsi="宋体" w:cs="宋体"/>
                <w:szCs w:val="21"/>
              </w:rPr>
              <w:t>月</w:t>
            </w:r>
            <w:r>
              <w:rPr>
                <w:rFonts w:hint="eastAsia" w:ascii="宋体" w:hAnsi="宋体" w:cs="宋体"/>
                <w:szCs w:val="21"/>
                <w:u w:val="single"/>
              </w:rPr>
              <w:t>04</w:t>
            </w:r>
            <w:r>
              <w:rPr>
                <w:rFonts w:hint="eastAsia" w:ascii="宋体" w:hAnsi="宋体" w:cs="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营业执照、法定代表人身份证明或授权委托书(附法定代表人身份证明)、个人身份证。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提交首次响应文件的截止时间</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2024</w:t>
            </w:r>
            <w:r>
              <w:rPr>
                <w:rFonts w:hint="eastAsia" w:ascii="宋体" w:hAnsi="宋体" w:cs="宋体"/>
                <w:szCs w:val="21"/>
              </w:rPr>
              <w:t>年</w:t>
            </w:r>
            <w:r>
              <w:rPr>
                <w:rFonts w:hint="eastAsia" w:ascii="宋体" w:hAnsi="宋体" w:cs="宋体"/>
                <w:szCs w:val="21"/>
                <w:u w:val="single"/>
              </w:rPr>
              <w:t>01</w:t>
            </w:r>
            <w:r>
              <w:rPr>
                <w:rFonts w:hint="eastAsia" w:ascii="宋体" w:hAnsi="宋体" w:cs="宋体"/>
                <w:szCs w:val="21"/>
              </w:rPr>
              <w:t>月</w:t>
            </w:r>
            <w:r>
              <w:rPr>
                <w:rFonts w:hint="eastAsia" w:ascii="宋体" w:hAnsi="宋体" w:cs="宋体"/>
                <w:szCs w:val="21"/>
                <w:u w:val="single"/>
              </w:rPr>
              <w:t>08</w:t>
            </w:r>
            <w:r>
              <w:rPr>
                <w:rFonts w:hint="eastAsia" w:ascii="宋体" w:hAnsi="宋体" w:cs="宋体"/>
                <w:szCs w:val="21"/>
              </w:rPr>
              <w:t>日</w:t>
            </w:r>
            <w:r>
              <w:rPr>
                <w:rFonts w:hint="eastAsia" w:ascii="宋体" w:hAnsi="宋体" w:cs="宋体"/>
                <w:szCs w:val="21"/>
                <w:u w:val="single"/>
              </w:rPr>
              <w:t>14</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vAlign w:val="center"/>
          </w:tcPr>
          <w:p>
            <w:pPr>
              <w:adjustRightInd w:val="0"/>
              <w:snapToGrid w:val="0"/>
              <w:spacing w:line="360" w:lineRule="auto"/>
              <w:rPr>
                <w:rFonts w:ascii="宋体" w:hAnsi="宋体" w:cs="宋体"/>
                <w:b/>
                <w:bCs/>
                <w:szCs w:val="21"/>
              </w:rPr>
            </w:pPr>
            <w:r>
              <w:rPr>
                <w:rFonts w:hint="eastAsia" w:ascii="宋体" w:hAnsi="宋体"/>
                <w:b/>
                <w:bCs/>
                <w:szCs w:val="21"/>
              </w:rPr>
              <w:t>项目预算：654000</w:t>
            </w:r>
            <w:r>
              <w:rPr>
                <w:rFonts w:hint="eastAsia"/>
                <w:b/>
                <w:bCs/>
              </w:rPr>
              <w:t>元；最高限价：654000元。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vAlign w:val="center"/>
          </w:tcPr>
          <w:p>
            <w:pPr>
              <w:adjustRightInd w:val="0"/>
              <w:snapToGrid w:val="0"/>
              <w:rPr>
                <w:rFonts w:ascii="宋体" w:hAnsi="宋体" w:cs="宋体"/>
                <w:szCs w:val="21"/>
              </w:rPr>
            </w:pPr>
            <w:r>
              <w:rPr>
                <w:rFonts w:hint="eastAsia" w:ascii="宋体" w:hAnsi="宋体" w:cs="宋体"/>
              </w:rPr>
              <w:t>非制造商的证明文件</w:t>
            </w:r>
          </w:p>
        </w:tc>
        <w:tc>
          <w:tcPr>
            <w:tcW w:w="5494" w:type="dxa"/>
            <w:vAlign w:val="center"/>
          </w:tcPr>
          <w:p>
            <w:pPr>
              <w:adjustRightInd w:val="0"/>
              <w:snapToGrid w:val="0"/>
              <w:spacing w:before="156" w:beforeLines="50"/>
              <w:rPr>
                <w:rFonts w:ascii="宋体" w:hAnsi="宋体" w:cs="宋体"/>
                <w:szCs w:val="21"/>
              </w:rPr>
            </w:pPr>
            <w:r>
              <w:rPr>
                <w:rFonts w:hint="eastAsia" w:ascii="宋体" w:hAnsi="宋体" w:cs="宋体"/>
                <w:szCs w:val="21"/>
              </w:rPr>
              <w:t>■ 不要求提供</w:t>
            </w:r>
          </w:p>
          <w:p>
            <w:pPr>
              <w:adjustRightInd w:val="0"/>
              <w:snapToGrid w:val="0"/>
              <w:spacing w:before="156" w:beforeLines="50"/>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rPr>
              <w:t>■</w:t>
            </w:r>
            <w:r>
              <w:rPr>
                <w:rFonts w:hint="eastAsia" w:ascii="宋体" w:hAnsi="宋体" w:cs="宋体"/>
                <w:bCs/>
                <w:szCs w:val="21"/>
              </w:rPr>
              <w:t xml:space="preserve"> 不要求提供</w:t>
            </w:r>
          </w:p>
          <w:p>
            <w:pPr>
              <w:spacing w:line="400" w:lineRule="exact"/>
              <w:rPr>
                <w:rFonts w:ascii="宋体" w:hAnsi="宋体" w:cs="宋体"/>
                <w:bCs/>
                <w:szCs w:val="21"/>
              </w:rPr>
            </w:pPr>
            <w:r>
              <w:rPr>
                <w:rFonts w:hint="eastAsia" w:ascii="宋体" w:hAnsi="宋体" w:cs="宋体"/>
                <w:bCs/>
                <w:szCs w:val="21"/>
              </w:rPr>
              <w:t>□ 要求提供</w:t>
            </w:r>
          </w:p>
          <w:p>
            <w:pPr>
              <w:spacing w:line="400" w:lineRule="exact"/>
              <w:rPr>
                <w:rFonts w:ascii="宋体" w:hAnsi="宋体" w:cs="宋体"/>
                <w:szCs w:val="21"/>
              </w:rPr>
            </w:pPr>
            <w:r>
              <w:rPr>
                <w:rFonts w:hint="eastAsia" w:ascii="宋体" w:hAnsi="宋体" w:cs="宋体"/>
                <w:bCs/>
                <w:szCs w:val="21"/>
              </w:rPr>
              <w:t>1、</w:t>
            </w:r>
            <w:r>
              <w:rPr>
                <w:rFonts w:hint="eastAsia" w:ascii="宋体" w:hAnsi="宋体" w:cs="宋体"/>
                <w:szCs w:val="21"/>
              </w:rPr>
              <w:t>保证金数额：</w:t>
            </w:r>
            <w:r>
              <w:rPr>
                <w:rFonts w:hint="eastAsia" w:ascii="宋体" w:hAnsi="宋体" w:cs="宋体"/>
                <w:szCs w:val="21"/>
                <w:u w:val="single"/>
              </w:rPr>
              <w:t xml:space="preserve"> / </w:t>
            </w:r>
            <w:r>
              <w:rPr>
                <w:rFonts w:hint="eastAsia" w:ascii="宋体" w:hAnsi="宋体" w:cs="宋体"/>
                <w:szCs w:val="21"/>
              </w:rPr>
              <w:t xml:space="preserve">元整(人民币) </w:t>
            </w:r>
          </w:p>
          <w:p>
            <w:pPr>
              <w:spacing w:line="400" w:lineRule="exact"/>
              <w:rPr>
                <w:rFonts w:ascii="宋体" w:hAnsi="宋体" w:cs="宋体"/>
                <w:bCs/>
                <w:szCs w:val="21"/>
              </w:rPr>
            </w:pPr>
            <w:r>
              <w:rPr>
                <w:rFonts w:hint="eastAsia" w:ascii="宋体" w:hAnsi="宋体" w:cs="宋体"/>
                <w:szCs w:val="21"/>
              </w:rPr>
              <w:t>2、</w:t>
            </w:r>
            <w:r>
              <w:rPr>
                <w:rFonts w:hint="eastAsia" w:ascii="宋体" w:hAnsi="宋体" w:cs="宋体"/>
                <w:bCs/>
                <w:szCs w:val="21"/>
              </w:rPr>
              <w:t>缴纳时间：</w:t>
            </w:r>
            <w:r>
              <w:rPr>
                <w:rFonts w:hint="eastAsia" w:ascii="宋体" w:hAnsi="宋体" w:cs="宋体"/>
                <w:bCs/>
                <w:szCs w:val="21"/>
                <w:u w:val="single"/>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 </w:t>
            </w:r>
            <w:r>
              <w:rPr>
                <w:rFonts w:hint="eastAsia" w:ascii="宋体" w:hAnsi="宋体" w:cs="宋体"/>
                <w:szCs w:val="21"/>
              </w:rPr>
              <w:t>月</w:t>
            </w:r>
            <w:r>
              <w:rPr>
                <w:rFonts w:hint="eastAsia" w:ascii="宋体" w:hAnsi="宋体" w:cs="宋体"/>
                <w:szCs w:val="21"/>
                <w:u w:val="single"/>
              </w:rPr>
              <w:t xml:space="preserve"> / </w:t>
            </w:r>
            <w:r>
              <w:rPr>
                <w:rFonts w:hint="eastAsia" w:ascii="宋体" w:hAnsi="宋体" w:cs="宋体"/>
                <w:szCs w:val="21"/>
              </w:rPr>
              <w:t>日</w:t>
            </w:r>
            <w:r>
              <w:rPr>
                <w:rFonts w:hint="eastAsia" w:ascii="宋体" w:hAnsi="宋体" w:cs="宋体"/>
                <w:szCs w:val="21"/>
                <w:u w:val="single"/>
              </w:rPr>
              <w:t xml:space="preserve"> / </w:t>
            </w:r>
            <w:r>
              <w:rPr>
                <w:rFonts w:hint="eastAsia" w:ascii="宋体" w:hAnsi="宋体" w:cs="宋体"/>
                <w:szCs w:val="21"/>
              </w:rPr>
              <w:t>时</w:t>
            </w:r>
            <w:r>
              <w:rPr>
                <w:rFonts w:hint="eastAsia" w:ascii="宋体" w:hAnsi="宋体" w:cs="宋体"/>
                <w:szCs w:val="21"/>
                <w:u w:val="single"/>
              </w:rPr>
              <w:t xml:space="preserve"> / </w:t>
            </w:r>
            <w:r>
              <w:rPr>
                <w:rFonts w:hint="eastAsia" w:ascii="宋体" w:hAnsi="宋体" w:cs="宋体"/>
                <w:szCs w:val="21"/>
              </w:rPr>
              <w:t>分</w:t>
            </w:r>
            <w:r>
              <w:rPr>
                <w:rFonts w:hint="eastAsia" w:ascii="宋体" w:hAnsi="宋体" w:cs="宋体"/>
                <w:bCs/>
                <w:szCs w:val="21"/>
              </w:rPr>
              <w:t>前（含），以银行到账回单为准。</w:t>
            </w:r>
          </w:p>
          <w:p>
            <w:pPr>
              <w:spacing w:line="400" w:lineRule="exact"/>
              <w:rPr>
                <w:rFonts w:ascii="宋体" w:hAnsi="宋体" w:cs="宋体"/>
                <w:bCs/>
                <w:szCs w:val="21"/>
              </w:rPr>
            </w:pPr>
            <w:r>
              <w:rPr>
                <w:rFonts w:hint="eastAsia" w:ascii="宋体" w:hAnsi="宋体" w:cs="宋体"/>
                <w:szCs w:val="21"/>
              </w:rPr>
              <w:t>3、缴纳方式：银行转账、银行电汇或银行汇票，从投标人</w:t>
            </w:r>
            <w:r>
              <w:rPr>
                <w:rFonts w:hint="eastAsia" w:ascii="宋体" w:hAnsi="宋体" w:cs="宋体"/>
                <w:bCs/>
                <w:szCs w:val="21"/>
              </w:rPr>
              <w:t>账户一次足额缴入到如下投标保证金托管专户。</w:t>
            </w:r>
          </w:p>
          <w:p>
            <w:pPr>
              <w:spacing w:line="400" w:lineRule="exact"/>
              <w:rPr>
                <w:rFonts w:ascii="宋体" w:hAnsi="宋体" w:cs="宋体"/>
                <w:bCs/>
                <w:szCs w:val="21"/>
              </w:rPr>
            </w:pPr>
            <w:r>
              <w:rPr>
                <w:rFonts w:hint="eastAsia" w:ascii="宋体" w:hAnsi="宋体" w:cs="宋体"/>
                <w:bCs/>
                <w:szCs w:val="21"/>
              </w:rPr>
              <w:t>账户名：/</w:t>
            </w:r>
          </w:p>
          <w:p>
            <w:pPr>
              <w:spacing w:line="400" w:lineRule="exact"/>
              <w:rPr>
                <w:rFonts w:ascii="宋体" w:hAnsi="宋体" w:cs="宋体"/>
                <w:bCs/>
                <w:szCs w:val="21"/>
              </w:rPr>
            </w:pPr>
            <w:r>
              <w:rPr>
                <w:rFonts w:hint="eastAsia" w:ascii="宋体" w:hAnsi="宋体" w:cs="宋体"/>
                <w:bCs/>
                <w:szCs w:val="21"/>
              </w:rPr>
              <w:t>开户行：/</w:t>
            </w:r>
          </w:p>
          <w:p>
            <w:pPr>
              <w:spacing w:line="400" w:lineRule="exact"/>
              <w:rPr>
                <w:rFonts w:ascii="宋体" w:hAnsi="宋体" w:cs="宋体"/>
              </w:rPr>
            </w:pPr>
            <w:r>
              <w:rPr>
                <w:rFonts w:hint="eastAsia" w:ascii="宋体" w:hAnsi="宋体" w:cs="宋体"/>
                <w:bCs/>
                <w:szCs w:val="21"/>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u w:val="single"/>
              </w:rPr>
              <w:t xml:space="preserve"> 60 </w:t>
            </w:r>
            <w:r>
              <w:rPr>
                <w:rFonts w:hint="eastAsia" w:ascii="宋体" w:hAnsi="宋体" w:cs="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 xml:space="preserve"> 贰 </w:t>
            </w:r>
            <w:r>
              <w:rPr>
                <w:rFonts w:hint="eastAsia" w:ascii="宋体" w:hAnsi="宋体" w:cs="宋体"/>
                <w:szCs w:val="21"/>
              </w:rPr>
              <w:t>份（正本一份，副本两份），投标文件正本盖章PDF电子文件一份（U盘密封包装，与投标文件一起封存）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u w:val="single"/>
              </w:rPr>
              <w:t>078县道（绕城高速—象嘴路）电力埋管项目、云栖路（含浦大道—象嘴路）电力埋管项目设计服务</w:t>
            </w:r>
            <w:r>
              <w:rPr>
                <w:rFonts w:hint="eastAsia" w:ascii="宋体" w:hAnsi="宋体" w:cs="宋体"/>
                <w:szCs w:val="21"/>
              </w:rPr>
              <w:t>响应文件</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湖南中招项目管理有限公司（长沙市开福区芙蓉中路一段468号湖南财富中心富座2903室）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kern w:val="0"/>
                <w:szCs w:val="21"/>
              </w:rPr>
              <w:t>最后报价</w:t>
            </w:r>
            <w:r>
              <w:rPr>
                <w:rFonts w:hint="eastAsia" w:ascii="宋体" w:hAnsi="宋体" w:cs="宋体"/>
                <w:szCs w:val="21"/>
              </w:rPr>
              <w:t>调整</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bCs/>
                <w:kern w:val="0"/>
                <w:szCs w:val="21"/>
              </w:rPr>
              <w:t>政府采购支持小微企业、福利和监狱企业发展</w:t>
            </w:r>
            <w:r>
              <w:rPr>
                <w:rFonts w:hint="eastAsia" w:ascii="宋体" w:hAnsi="宋体"/>
                <w:szCs w:val="21"/>
              </w:rPr>
              <w:t>（货物类供应商和产品制造商应同时满足小微企业、福利和监狱企业的条件）</w:t>
            </w:r>
            <w:r>
              <w:rPr>
                <w:rFonts w:hint="eastAsia" w:ascii="宋体" w:hAnsi="宋体" w:cs="宋体"/>
                <w:bCs/>
                <w:kern w:val="0"/>
                <w:szCs w:val="21"/>
              </w:rPr>
              <w:t>：</w:t>
            </w:r>
            <w:r>
              <w:rPr>
                <w:rFonts w:hint="eastAsia" w:ascii="宋体" w:hAnsi="宋体"/>
                <w:szCs w:val="21"/>
              </w:rPr>
              <w:t>小型、微型企业、福利和监狱企业，</w:t>
            </w:r>
            <w:r>
              <w:rPr>
                <w:rFonts w:hint="eastAsia" w:ascii="宋体" w:hAnsi="宋体" w:cs="宋体"/>
                <w:kern w:val="0"/>
                <w:szCs w:val="21"/>
              </w:rPr>
              <w:t>最后报价</w:t>
            </w:r>
            <w:r>
              <w:rPr>
                <w:rFonts w:hint="eastAsia" w:ascii="宋体" w:hAnsi="宋体"/>
                <w:szCs w:val="21"/>
              </w:rPr>
              <w:t>扣除比例为</w:t>
            </w:r>
            <w:r>
              <w:rPr>
                <w:rFonts w:hint="eastAsia" w:ascii="宋体" w:hAnsi="宋体"/>
                <w:szCs w:val="21"/>
                <w:u w:val="single"/>
              </w:rPr>
              <w:t xml:space="preserve">/ </w:t>
            </w:r>
            <w:r>
              <w:rPr>
                <w:rFonts w:hint="eastAsia" w:ascii="宋体" w:hAnsi="宋体"/>
                <w:szCs w:val="21"/>
              </w:rPr>
              <w:t>％；联合体参与磋商的，最后报价扣除比例为</w:t>
            </w:r>
            <w:r>
              <w:rPr>
                <w:rFonts w:hint="eastAsia" w:ascii="宋体" w:hAnsi="宋体"/>
                <w:szCs w:val="21"/>
                <w:u w:val="single"/>
              </w:rPr>
              <w:t xml:space="preserve"> / </w:t>
            </w:r>
            <w:r>
              <w:rPr>
                <w:rFonts w:hint="eastAsia" w:ascii="宋体" w:hAnsi="宋体"/>
                <w:szCs w:val="21"/>
              </w:rPr>
              <w:t xml:space="preserve"> %。评审时，用扣除后的最后报价计算价格分。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vAlign w:val="center"/>
          </w:tcPr>
          <w:p>
            <w:pPr>
              <w:adjustRightInd w:val="0"/>
              <w:snapToGrid w:val="0"/>
              <w:spacing w:line="240" w:lineRule="atLeast"/>
              <w:rPr>
                <w:rFonts w:ascii="宋体" w:hAnsi="宋体"/>
                <w:szCs w:val="21"/>
              </w:rPr>
            </w:pPr>
            <w:r>
              <w:rPr>
                <w:rFonts w:hint="eastAsia" w:ascii="宋体" w:hAnsi="宋体"/>
                <w:szCs w:val="21"/>
              </w:rPr>
              <w:t>符合第二章第9</w:t>
            </w:r>
            <w:r>
              <w:rPr>
                <w:rFonts w:ascii="宋体" w:hAnsi="宋体"/>
                <w:szCs w:val="21"/>
              </w:rPr>
              <w:t>.</w:t>
            </w:r>
            <w:r>
              <w:rPr>
                <w:rFonts w:hint="eastAsia" w:ascii="宋体" w:hAnsi="宋体"/>
                <w:szCs w:val="21"/>
              </w:rPr>
              <w:t>1款规定，按第二章第31.6款规定及本款分值调整：</w:t>
            </w:r>
          </w:p>
          <w:p>
            <w:pPr>
              <w:adjustRightInd w:val="0"/>
              <w:snapToGrid w:val="0"/>
              <w:spacing w:line="240" w:lineRule="atLeast"/>
              <w:rPr>
                <w:rFonts w:ascii="宋体" w:hAnsi="宋体"/>
                <w:szCs w:val="21"/>
              </w:rPr>
            </w:pPr>
            <w:r>
              <w:rPr>
                <w:rFonts w:hint="eastAsia" w:ascii="宋体" w:hAnsi="宋体"/>
                <w:szCs w:val="21"/>
              </w:rPr>
              <w:t>1、节能产品：</w:t>
            </w:r>
          </w:p>
          <w:p>
            <w:pPr>
              <w:adjustRightInd w:val="0"/>
              <w:snapToGrid w:val="0"/>
              <w:spacing w:line="240" w:lineRule="atLeast"/>
              <w:ind w:firstLine="105" w:firstLineChars="50"/>
              <w:rPr>
                <w:rFonts w:ascii="宋体" w:hAnsi="宋体"/>
                <w:szCs w:val="21"/>
              </w:rPr>
            </w:pPr>
            <w:r>
              <w:rPr>
                <w:rFonts w:hint="eastAsia" w:ascii="宋体" w:hAnsi="宋体"/>
                <w:szCs w:val="21"/>
              </w:rPr>
              <w:t>技术加分＝技术分值× 加分比例（比例见前附表第38.1项,下同）×（节能产品最后报价÷最后总报价）；</w:t>
            </w:r>
          </w:p>
          <w:p>
            <w:pPr>
              <w:adjustRightInd w:val="0"/>
              <w:snapToGrid w:val="0"/>
              <w:spacing w:line="240" w:lineRule="atLeast"/>
              <w:ind w:left="315" w:leftChars="50" w:hanging="210" w:hangingChars="100"/>
              <w:rPr>
                <w:rFonts w:ascii="宋体" w:hAnsi="宋体"/>
                <w:szCs w:val="21"/>
              </w:rPr>
            </w:pPr>
            <w:r>
              <w:rPr>
                <w:rFonts w:hint="eastAsia" w:ascii="宋体" w:hAnsi="宋体"/>
                <w:szCs w:val="21"/>
              </w:rPr>
              <w:t>价格加分＝价格分值×加分比例×（节能产品最后</w:t>
            </w:r>
          </w:p>
          <w:p>
            <w:pPr>
              <w:adjustRightInd w:val="0"/>
              <w:snapToGrid w:val="0"/>
              <w:spacing w:line="240" w:lineRule="atLeast"/>
              <w:rPr>
                <w:rFonts w:ascii="宋体" w:hAnsi="宋体"/>
                <w:szCs w:val="21"/>
              </w:rPr>
            </w:pPr>
            <w:r>
              <w:rPr>
                <w:rFonts w:hint="eastAsia" w:ascii="宋体" w:hAnsi="宋体"/>
                <w:szCs w:val="21"/>
              </w:rPr>
              <w:t>报价÷最后总报价）。</w:t>
            </w:r>
          </w:p>
          <w:p>
            <w:pPr>
              <w:adjustRightInd w:val="0"/>
              <w:snapToGrid w:val="0"/>
              <w:spacing w:line="240" w:lineRule="atLeast"/>
              <w:rPr>
                <w:rFonts w:ascii="宋体" w:hAnsi="宋体"/>
                <w:szCs w:val="21"/>
              </w:rPr>
            </w:pPr>
            <w:r>
              <w:rPr>
                <w:rFonts w:hint="eastAsia" w:ascii="宋体" w:hAnsi="宋体"/>
                <w:szCs w:val="21"/>
              </w:rPr>
              <w:t>2、环境标志产品：</w:t>
            </w:r>
          </w:p>
          <w:p>
            <w:pPr>
              <w:adjustRightInd w:val="0"/>
              <w:snapToGrid w:val="0"/>
              <w:spacing w:line="240" w:lineRule="atLeast"/>
              <w:ind w:firstLine="105" w:firstLineChars="50"/>
              <w:rPr>
                <w:rFonts w:ascii="宋体" w:hAnsi="宋体"/>
                <w:szCs w:val="21"/>
              </w:rPr>
            </w:pPr>
            <w:r>
              <w:rPr>
                <w:rFonts w:hint="eastAsia" w:ascii="宋体" w:hAnsi="宋体"/>
                <w:szCs w:val="21"/>
              </w:rPr>
              <w:t>技术加分＝技术分值× 加分比例×（环境标志产品最后报价÷最后总报价）；</w:t>
            </w:r>
          </w:p>
          <w:p>
            <w:pPr>
              <w:adjustRightInd w:val="0"/>
              <w:snapToGrid w:val="0"/>
              <w:spacing w:line="240" w:lineRule="atLeast"/>
              <w:ind w:left="315" w:leftChars="50" w:hanging="210" w:hangingChars="100"/>
              <w:rPr>
                <w:rFonts w:ascii="宋体" w:hAnsi="宋体"/>
                <w:szCs w:val="21"/>
              </w:rPr>
            </w:pPr>
            <w:r>
              <w:rPr>
                <w:rFonts w:hint="eastAsia" w:ascii="宋体" w:hAnsi="宋体"/>
                <w:szCs w:val="21"/>
              </w:rPr>
              <w:t>价格加分＝价格分值×加分比例×（环境标志产品</w:t>
            </w:r>
          </w:p>
          <w:p>
            <w:pPr>
              <w:adjustRightInd w:val="0"/>
              <w:snapToGrid w:val="0"/>
              <w:spacing w:line="240" w:lineRule="atLeast"/>
              <w:rPr>
                <w:rFonts w:ascii="宋体" w:hAnsi="宋体"/>
                <w:szCs w:val="21"/>
              </w:rPr>
            </w:pPr>
            <w:r>
              <w:rPr>
                <w:rFonts w:hint="eastAsia" w:ascii="宋体" w:hAnsi="宋体"/>
                <w:szCs w:val="21"/>
              </w:rPr>
              <w:t>最后报价÷最后总报价）。</w:t>
            </w:r>
          </w:p>
          <w:p>
            <w:pPr>
              <w:adjustRightInd w:val="0"/>
              <w:snapToGrid w:val="0"/>
              <w:spacing w:line="240" w:lineRule="atLeast"/>
              <w:ind w:left="210" w:hanging="210" w:hangingChars="100"/>
              <w:rPr>
                <w:rFonts w:ascii="宋体" w:hAnsi="宋体"/>
                <w:szCs w:val="21"/>
              </w:rPr>
            </w:pPr>
            <w:r>
              <w:rPr>
                <w:rFonts w:hint="eastAsia" w:ascii="宋体" w:hAnsi="宋体"/>
                <w:szCs w:val="21"/>
              </w:rPr>
              <w:t>3、两型产品：</w:t>
            </w:r>
          </w:p>
          <w:p>
            <w:pPr>
              <w:adjustRightInd w:val="0"/>
              <w:snapToGrid w:val="0"/>
              <w:spacing w:line="240" w:lineRule="atLeast"/>
              <w:ind w:firstLine="105" w:firstLineChars="50"/>
              <w:rPr>
                <w:rFonts w:ascii="宋体" w:hAnsi="宋体"/>
                <w:szCs w:val="21"/>
              </w:rPr>
            </w:pPr>
            <w:r>
              <w:rPr>
                <w:rFonts w:hint="eastAsia" w:ascii="宋体" w:hAnsi="宋体"/>
                <w:szCs w:val="21"/>
              </w:rPr>
              <w:t>商务加分＝商务分值×加分比例×（两型产品最后报价÷最后总报价）；</w:t>
            </w:r>
          </w:p>
          <w:p>
            <w:pPr>
              <w:adjustRightInd w:val="0"/>
              <w:snapToGrid w:val="0"/>
              <w:spacing w:line="240" w:lineRule="atLeast"/>
              <w:ind w:firstLine="105" w:firstLineChars="50"/>
              <w:rPr>
                <w:rFonts w:ascii="宋体" w:hAnsi="宋体"/>
                <w:szCs w:val="21"/>
              </w:rPr>
            </w:pPr>
            <w:r>
              <w:rPr>
                <w:rFonts w:hint="eastAsia" w:ascii="宋体" w:hAnsi="宋体"/>
                <w:szCs w:val="21"/>
              </w:rPr>
              <w:t>技术加分＝技术分值×加分比例×（两型产品最后报价÷最后总报价）；</w:t>
            </w:r>
          </w:p>
          <w:p>
            <w:pPr>
              <w:adjustRightInd w:val="0"/>
              <w:snapToGrid w:val="0"/>
              <w:spacing w:line="240" w:lineRule="atLeast"/>
              <w:ind w:left="315" w:leftChars="50" w:hanging="210" w:hangingChars="100"/>
              <w:rPr>
                <w:rFonts w:ascii="宋体" w:hAnsi="宋体"/>
                <w:szCs w:val="21"/>
              </w:rPr>
            </w:pPr>
            <w:r>
              <w:rPr>
                <w:rFonts w:hint="eastAsia" w:ascii="宋体" w:hAnsi="宋体"/>
                <w:szCs w:val="21"/>
              </w:rPr>
              <w:t>价格加分＝价格分值×加分比例×（两型产品最后</w:t>
            </w:r>
          </w:p>
          <w:p>
            <w:pPr>
              <w:adjustRightInd w:val="0"/>
              <w:snapToGrid w:val="0"/>
              <w:spacing w:line="240" w:lineRule="atLeast"/>
              <w:rPr>
                <w:rFonts w:ascii="宋体" w:hAnsi="宋体" w:cs="宋体"/>
                <w:szCs w:val="21"/>
              </w:rPr>
            </w:pPr>
            <w:r>
              <w:rPr>
                <w:rFonts w:hint="eastAsia" w:ascii="宋体" w:hAnsi="宋体"/>
                <w:szCs w:val="21"/>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第二章第31.5款</w:t>
            </w:r>
          </w:p>
        </w:tc>
        <w:tc>
          <w:tcPr>
            <w:tcW w:w="1590" w:type="dxa"/>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vAlign w:val="center"/>
          </w:tcPr>
          <w:p>
            <w:pPr>
              <w:snapToGrid w:val="0"/>
              <w:spacing w:before="156" w:line="360" w:lineRule="auto"/>
            </w:pPr>
            <w:r>
              <w:rPr>
                <w:rFonts w:hint="eastAsia" w:ascii="宋体" w:hAnsi="宋体" w:cs="宋体"/>
                <w:szCs w:val="21"/>
              </w:rPr>
              <w:t>1</w:t>
            </w:r>
            <w:r>
              <w:rPr>
                <w:rFonts w:hint="eastAsia" w:ascii="宋体" w:hAnsi="宋体"/>
                <w:szCs w:val="21"/>
              </w:rPr>
              <w:t>、符合政府采购优先采购政策的，产品只能享受节能产品、环境标志产品、两型产品等产品优惠中的一项</w:t>
            </w:r>
            <w:r>
              <w:rPr>
                <w:rFonts w:hint="eastAsia" w:ascii="宋体" w:hAnsi="宋体" w:cs="宋体"/>
                <w:szCs w:val="21"/>
              </w:rPr>
              <w:t>(</w:t>
            </w:r>
            <w:r>
              <w:rPr>
                <w:rFonts w:hint="eastAsia" w:ascii="宋体" w:hAnsi="宋体"/>
                <w:szCs w:val="21"/>
              </w:rPr>
              <w:t>由供应商在响应文件中选择并填报政策功能编码，评审时进行加分</w:t>
            </w:r>
            <w:r>
              <w:rPr>
                <w:rFonts w:hint="eastAsia" w:ascii="宋体" w:hAnsi="宋体" w:cs="宋体"/>
                <w:szCs w:val="21"/>
              </w:rPr>
              <w:t xml:space="preserve">) </w:t>
            </w:r>
            <w:r>
              <w:rPr>
                <w:rFonts w:hint="eastAsia" w:ascii="宋体" w:hAnsi="宋体"/>
                <w:szCs w:val="21"/>
              </w:rPr>
              <w:t>。</w:t>
            </w:r>
          </w:p>
          <w:p>
            <w:pPr>
              <w:snapToGrid w:val="0"/>
              <w:spacing w:before="156" w:line="360" w:lineRule="auto"/>
            </w:pPr>
            <w:r>
              <w:rPr>
                <w:rFonts w:hint="eastAsia" w:ascii="宋体" w:hAnsi="宋体" w:cs="宋体"/>
                <w:szCs w:val="21"/>
              </w:rPr>
              <w:t>2、供应商享受支持小微企业发展、福利和监狱企业政策优惠的，可以与同时享受节能产品、环境标志产品、两型产品等产品优惠中的一项累加。</w:t>
            </w:r>
          </w:p>
          <w:p>
            <w:pPr>
              <w:adjustRightInd w:val="0"/>
              <w:snapToGrid w:val="0"/>
              <w:spacing w:line="240" w:lineRule="atLeast"/>
              <w:rPr>
                <w:rFonts w:ascii="宋体" w:hAnsi="宋体"/>
                <w:szCs w:val="21"/>
              </w:rPr>
            </w:pPr>
            <w:r>
              <w:rPr>
                <w:rFonts w:hint="eastAsia" w:ascii="宋体" w:hAnsi="宋体" w:cs="宋体"/>
                <w:szCs w:val="21"/>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财政部门指定的媒体</w:t>
            </w:r>
          </w:p>
        </w:tc>
        <w:tc>
          <w:tcPr>
            <w:tcW w:w="5494" w:type="dxa"/>
            <w:vAlign w:val="center"/>
          </w:tcPr>
          <w:p>
            <w:pPr>
              <w:adjustRightInd w:val="0"/>
              <w:snapToGrid w:val="0"/>
              <w:spacing w:before="156" w:beforeLines="50" w:line="360" w:lineRule="auto"/>
              <w:rPr>
                <w:rFonts w:ascii="宋体" w:hAnsi="宋体" w:cs="宋体"/>
                <w:szCs w:val="21"/>
                <w:u w:val="single"/>
              </w:rPr>
            </w:pPr>
            <w:r>
              <w:rPr>
                <w:rFonts w:hint="eastAsia" w:ascii="宋体" w:hAnsi="宋体" w:cs="宋体"/>
                <w:szCs w:val="21"/>
              </w:rPr>
              <w:t>长沙政府采购网</w:t>
            </w:r>
            <w:r>
              <w:rPr>
                <w:rFonts w:hint="eastAsia"/>
              </w:rPr>
              <w:t>（</w:t>
            </w:r>
            <w:r>
              <w:fldChar w:fldCharType="begin"/>
            </w:r>
            <w:r>
              <w:instrText xml:space="preserve"> HYPERLINK "http://changs.ccgp-hunan.gov.cn" </w:instrText>
            </w:r>
            <w:r>
              <w:fldChar w:fldCharType="separate"/>
            </w:r>
            <w:r>
              <w:rPr>
                <w:rStyle w:val="56"/>
                <w:rFonts w:hint="eastAsia" w:ascii="宋体" w:hAnsi="宋体" w:cs="宋体"/>
                <w:color w:val="auto"/>
                <w:szCs w:val="21"/>
              </w:rPr>
              <w:t>http://changs.ccgp-hunan.gov.cn</w:t>
            </w:r>
            <w:r>
              <w:rPr>
                <w:rStyle w:val="56"/>
                <w:rFonts w:hint="eastAsia" w:ascii="宋体" w:hAnsi="宋体" w:cs="宋体"/>
                <w:color w:val="auto"/>
                <w:szCs w:val="21"/>
              </w:rPr>
              <w:fldChar w:fldCharType="end"/>
            </w:r>
            <w:r>
              <w:rPr>
                <w:rFonts w:hint="eastAsia"/>
              </w:rPr>
              <w:t>）、湖南智谷投资发展集团有限公司（</w:t>
            </w:r>
            <w:r>
              <w:rPr>
                <w:rFonts w:hint="eastAsia" w:ascii="宋体" w:hAnsi="宋体" w:cs="宋体"/>
                <w:u w:val="single"/>
              </w:rPr>
              <w:t>www.hnzhigu.cn</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采购代理服务费</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经采购人同意，本项目采购代理服务费由中标人在领取中标通知书时参照</w:t>
            </w:r>
            <w:bookmarkStart w:id="9" w:name="OLE_LINK7"/>
            <w:bookmarkStart w:id="10" w:name="OLE_LINK8"/>
            <w:r>
              <w:rPr>
                <w:rFonts w:hint="eastAsia" w:ascii="宋体" w:hAnsi="宋体" w:cs="宋体"/>
                <w:szCs w:val="21"/>
              </w:rPr>
              <w:t>计价格【2002】1980号</w:t>
            </w:r>
            <w:bookmarkEnd w:id="9"/>
            <w:r>
              <w:rPr>
                <w:rFonts w:hint="eastAsia" w:ascii="宋体" w:hAnsi="宋体" w:cs="宋体"/>
                <w:szCs w:val="21"/>
              </w:rPr>
              <w:t>文</w:t>
            </w:r>
            <w:bookmarkEnd w:id="10"/>
            <w:r>
              <w:rPr>
                <w:rFonts w:hint="eastAsia" w:ascii="宋体" w:hAnsi="宋体" w:cs="宋体"/>
                <w:szCs w:val="21"/>
              </w:rPr>
              <w:t>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240" w:lineRule="atLeast"/>
              <w:rPr>
                <w:rFonts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240" w:lineRule="atLeast"/>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240" w:lineRule="atLeast"/>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240" w:lineRule="atLeast"/>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240" w:lineRule="atLeast"/>
              <w:rPr>
                <w:rFonts w:ascii="宋体" w:hAnsi="宋体" w:cs="宋体"/>
                <w:szCs w:val="21"/>
              </w:rPr>
            </w:pPr>
            <w:r>
              <w:rPr>
                <w:rFonts w:hint="eastAsia" w:ascii="宋体" w:hAnsi="宋体" w:cs="宋体"/>
                <w:szCs w:val="21"/>
              </w:rPr>
              <w:t>5、信用信息的使用规则：查询后交由评标委员会评定。</w:t>
            </w:r>
          </w:p>
        </w:tc>
      </w:tr>
    </w:tbl>
    <w:p>
      <w:pPr>
        <w:adjustRightInd w:val="0"/>
        <w:snapToGrid w:val="0"/>
        <w:spacing w:line="360" w:lineRule="auto"/>
        <w:jc w:val="right"/>
        <w:rPr>
          <w:rFonts w:ascii="宋体" w:hAnsi="宋体" w:cs="宋体"/>
          <w:kern w:val="0"/>
          <w:szCs w:val="21"/>
        </w:rPr>
        <w:sectPr>
          <w:headerReference r:id="rId3" w:type="default"/>
          <w:footerReference r:id="rId4" w:type="default"/>
          <w:pgSz w:w="11906" w:h="16838"/>
          <w:pgMar w:top="1440" w:right="1531" w:bottom="1440" w:left="1531" w:header="851" w:footer="992" w:gutter="0"/>
          <w:cols w:space="720" w:num="1"/>
          <w:docGrid w:type="lines" w:linePitch="312" w:charSpace="0"/>
        </w:sectPr>
      </w:pPr>
    </w:p>
    <w:p>
      <w:pPr>
        <w:spacing w:line="320" w:lineRule="exact"/>
        <w:ind w:firstLine="281" w:firstLineChars="100"/>
        <w:jc w:val="center"/>
        <w:rPr>
          <w:rFonts w:ascii="宋体" w:hAnsi="宋体" w:cs="宋体"/>
          <w:b/>
          <w:sz w:val="28"/>
          <w:szCs w:val="28"/>
        </w:rPr>
      </w:pPr>
      <w:r>
        <w:rPr>
          <w:rFonts w:hint="eastAsia" w:ascii="宋体" w:hAnsi="宋体" w:cs="宋体"/>
          <w:b/>
          <w:bCs/>
          <w:sz w:val="28"/>
          <w:szCs w:val="28"/>
        </w:rPr>
        <w:t>附页4</w:t>
      </w:r>
      <w:r>
        <w:rPr>
          <w:rFonts w:hint="eastAsia" w:ascii="宋体" w:hAnsi="宋体" w:cs="宋体"/>
          <w:b/>
          <w:sz w:val="28"/>
          <w:szCs w:val="28"/>
        </w:rPr>
        <w:t>评审因素和标准</w:t>
      </w:r>
    </w:p>
    <w:tbl>
      <w:tblPr>
        <w:tblStyle w:val="46"/>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29"/>
        <w:gridCol w:w="648"/>
        <w:gridCol w:w="6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29" w:type="dxa"/>
            <w:vAlign w:val="center"/>
          </w:tcPr>
          <w:p>
            <w:pPr>
              <w:jc w:val="center"/>
              <w:rPr>
                <w:b/>
                <w:szCs w:val="21"/>
              </w:rPr>
            </w:pPr>
            <w:r>
              <w:rPr>
                <w:rFonts w:hint="eastAsia"/>
                <w:b/>
                <w:szCs w:val="21"/>
              </w:rPr>
              <w:t>评审因素</w:t>
            </w:r>
          </w:p>
        </w:tc>
        <w:tc>
          <w:tcPr>
            <w:tcW w:w="1229" w:type="dxa"/>
            <w:vAlign w:val="center"/>
          </w:tcPr>
          <w:p>
            <w:pPr>
              <w:jc w:val="center"/>
              <w:rPr>
                <w:b/>
                <w:szCs w:val="21"/>
              </w:rPr>
            </w:pPr>
            <w:r>
              <w:rPr>
                <w:rFonts w:hint="eastAsia"/>
                <w:b/>
                <w:szCs w:val="21"/>
              </w:rPr>
              <w:t>计分内容</w:t>
            </w:r>
          </w:p>
        </w:tc>
        <w:tc>
          <w:tcPr>
            <w:tcW w:w="648" w:type="dxa"/>
            <w:vAlign w:val="center"/>
          </w:tcPr>
          <w:p>
            <w:pPr>
              <w:jc w:val="center"/>
              <w:rPr>
                <w:b/>
                <w:szCs w:val="21"/>
              </w:rPr>
            </w:pPr>
            <w:r>
              <w:rPr>
                <w:rFonts w:hint="eastAsia"/>
                <w:b/>
                <w:szCs w:val="21"/>
              </w:rPr>
              <w:t>权值</w:t>
            </w:r>
          </w:p>
        </w:tc>
        <w:tc>
          <w:tcPr>
            <w:tcW w:w="6793" w:type="dxa"/>
          </w:tcPr>
          <w:p>
            <w:pPr>
              <w:jc w:val="center"/>
              <w:rPr>
                <w:b/>
                <w:szCs w:val="21"/>
              </w:rPr>
            </w:pPr>
            <w:r>
              <w:rPr>
                <w:rFonts w:hint="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1029" w:type="dxa"/>
            <w:vAlign w:val="center"/>
          </w:tcPr>
          <w:p>
            <w:pPr>
              <w:jc w:val="center"/>
              <w:rPr>
                <w:b/>
                <w:szCs w:val="21"/>
              </w:rPr>
            </w:pPr>
            <w:r>
              <w:rPr>
                <w:rFonts w:hint="eastAsia"/>
                <w:b/>
                <w:szCs w:val="21"/>
              </w:rPr>
              <w:t>价格</w:t>
            </w:r>
          </w:p>
          <w:p>
            <w:pPr>
              <w:jc w:val="center"/>
              <w:rPr>
                <w:b/>
                <w:szCs w:val="21"/>
              </w:rPr>
            </w:pPr>
            <w:r>
              <w:rPr>
                <w:rFonts w:hint="eastAsia"/>
                <w:b/>
                <w:szCs w:val="21"/>
              </w:rPr>
              <w:t>（30分）</w:t>
            </w:r>
          </w:p>
        </w:tc>
        <w:tc>
          <w:tcPr>
            <w:tcW w:w="1229" w:type="dxa"/>
            <w:vAlign w:val="center"/>
          </w:tcPr>
          <w:p>
            <w:pPr>
              <w:jc w:val="center"/>
              <w:rPr>
                <w:b/>
                <w:szCs w:val="21"/>
              </w:rPr>
            </w:pPr>
            <w:r>
              <w:rPr>
                <w:rFonts w:hint="eastAsia"/>
                <w:b/>
                <w:szCs w:val="21"/>
              </w:rPr>
              <w:t>投标</w:t>
            </w:r>
          </w:p>
          <w:p>
            <w:pPr>
              <w:jc w:val="center"/>
              <w:rPr>
                <w:b/>
                <w:szCs w:val="21"/>
              </w:rPr>
            </w:pPr>
            <w:r>
              <w:rPr>
                <w:rFonts w:hint="eastAsia"/>
                <w:b/>
                <w:szCs w:val="21"/>
              </w:rPr>
              <w:t>总报价</w:t>
            </w:r>
          </w:p>
        </w:tc>
        <w:tc>
          <w:tcPr>
            <w:tcW w:w="648" w:type="dxa"/>
            <w:vAlign w:val="center"/>
          </w:tcPr>
          <w:p>
            <w:pPr>
              <w:jc w:val="center"/>
              <w:rPr>
                <w:b/>
                <w:szCs w:val="21"/>
              </w:rPr>
            </w:pPr>
            <w:r>
              <w:rPr>
                <w:rFonts w:hint="eastAsia"/>
                <w:b/>
                <w:szCs w:val="21"/>
              </w:rPr>
              <w:t>30</w:t>
            </w:r>
          </w:p>
        </w:tc>
        <w:tc>
          <w:tcPr>
            <w:tcW w:w="6793" w:type="dxa"/>
            <w:vAlign w:val="center"/>
          </w:tcPr>
          <w:p>
            <w:pPr>
              <w:spacing w:line="360" w:lineRule="auto"/>
              <w:rPr>
                <w:rFonts w:ascii="宋体" w:hAnsi="宋体" w:cs="仿宋"/>
                <w:szCs w:val="21"/>
              </w:rPr>
            </w:pPr>
            <w:r>
              <w:rPr>
                <w:rFonts w:hint="eastAsia" w:ascii="宋体" w:hAnsi="宋体" w:cs="仿宋"/>
                <w:szCs w:val="21"/>
              </w:rPr>
              <w:t>以经评委会一致认定满足招标文件要求,且经评审后的最低投标报价为评标基准价，其价格得分计30分。其他投标人的价格得分统一按公式计算：报价得分＝评标基准价÷投标报价×投标报价权重。</w:t>
            </w:r>
          </w:p>
          <w:p>
            <w:pPr>
              <w:spacing w:line="360" w:lineRule="auto"/>
              <w:rPr>
                <w:rFonts w:ascii="宋体" w:hAnsi="宋体" w:cs="仿宋"/>
                <w:szCs w:val="21"/>
              </w:rPr>
            </w:pPr>
            <w:r>
              <w:rPr>
                <w:rFonts w:hint="eastAsia" w:ascii="宋体" w:hAnsi="宋体" w:cs="仿宋"/>
                <w:szCs w:val="21"/>
              </w:rPr>
              <w:t>1）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029" w:type="dxa"/>
            <w:vMerge w:val="restart"/>
            <w:vAlign w:val="center"/>
          </w:tcPr>
          <w:p>
            <w:pPr>
              <w:jc w:val="center"/>
              <w:rPr>
                <w:b/>
                <w:szCs w:val="21"/>
              </w:rPr>
            </w:pPr>
            <w:r>
              <w:rPr>
                <w:rFonts w:hint="eastAsia"/>
                <w:b/>
                <w:szCs w:val="21"/>
              </w:rPr>
              <w:t>技术部分（45分）</w:t>
            </w:r>
          </w:p>
        </w:tc>
        <w:tc>
          <w:tcPr>
            <w:tcW w:w="1229" w:type="dxa"/>
            <w:vAlign w:val="center"/>
          </w:tcPr>
          <w:p>
            <w:pPr>
              <w:widowControl/>
              <w:snapToGrid w:val="0"/>
              <w:spacing w:line="300" w:lineRule="exact"/>
              <w:jc w:val="center"/>
              <w:textAlignment w:val="center"/>
              <w:rPr>
                <w:rFonts w:ascii="宋体" w:hAnsi="宋体" w:cs="宋体"/>
                <w:b/>
                <w:szCs w:val="21"/>
              </w:rPr>
            </w:pPr>
            <w:r>
              <w:rPr>
                <w:rFonts w:hint="eastAsia" w:ascii="宋体" w:hAnsi="宋体" w:cs="宋体"/>
                <w:b/>
                <w:szCs w:val="21"/>
              </w:rPr>
              <w:t>对项目的理解</w:t>
            </w:r>
          </w:p>
        </w:tc>
        <w:tc>
          <w:tcPr>
            <w:tcW w:w="648" w:type="dxa"/>
            <w:vAlign w:val="center"/>
          </w:tcPr>
          <w:p>
            <w:pPr>
              <w:widowControl/>
              <w:snapToGrid w:val="0"/>
              <w:spacing w:line="300" w:lineRule="exact"/>
              <w:jc w:val="center"/>
              <w:textAlignment w:val="center"/>
              <w:rPr>
                <w:rFonts w:ascii="宋体" w:hAnsi="宋体" w:cs="宋体"/>
                <w:b/>
                <w:szCs w:val="21"/>
              </w:rPr>
            </w:pPr>
            <w:r>
              <w:rPr>
                <w:rFonts w:hint="eastAsia" w:ascii="宋体" w:hAnsi="宋体" w:cs="宋体"/>
                <w:b/>
                <w:szCs w:val="21"/>
              </w:rPr>
              <w:t>14</w:t>
            </w:r>
          </w:p>
        </w:tc>
        <w:tc>
          <w:tcPr>
            <w:tcW w:w="6793" w:type="dxa"/>
            <w:vAlign w:val="center"/>
          </w:tcPr>
          <w:p>
            <w:pPr>
              <w:spacing w:line="360" w:lineRule="auto"/>
              <w:rPr>
                <w:rFonts w:ascii="宋体" w:hAnsi="宋体" w:cs="宋体"/>
                <w:szCs w:val="21"/>
              </w:rPr>
            </w:pPr>
            <w:r>
              <w:rPr>
                <w:rFonts w:hint="eastAsia" w:ascii="宋体" w:hAnsi="宋体" w:cs="仿宋"/>
                <w:szCs w:val="21"/>
              </w:rPr>
              <w:t>供应商对项目现状和必要性理解深刻，对项目有较详细和针对性的调研，数据完整、认识全面具体，根据对项目的认识、理解程度、完整性、合理性和可实行性经评审委员会综合比较计分，方案合理、科学、可行的，计14分；欠全面或欠充分的，计11分；有缺漏项的，计8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jc w:val="center"/>
              <w:rPr>
                <w:b/>
                <w:szCs w:val="21"/>
              </w:rPr>
            </w:pPr>
          </w:p>
        </w:tc>
        <w:tc>
          <w:tcPr>
            <w:tcW w:w="1229" w:type="dxa"/>
            <w:vAlign w:val="center"/>
          </w:tcPr>
          <w:p>
            <w:pPr>
              <w:widowControl/>
              <w:snapToGrid w:val="0"/>
              <w:spacing w:line="300" w:lineRule="exact"/>
              <w:jc w:val="center"/>
              <w:textAlignment w:val="center"/>
              <w:rPr>
                <w:rFonts w:ascii="宋体" w:hAnsi="宋体" w:cs="宋体"/>
                <w:b/>
                <w:szCs w:val="21"/>
              </w:rPr>
            </w:pPr>
            <w:r>
              <w:rPr>
                <w:rFonts w:hint="eastAsia" w:ascii="宋体" w:hAnsi="宋体" w:cs="宋体"/>
                <w:b/>
                <w:szCs w:val="21"/>
              </w:rPr>
              <w:t>技术方案</w:t>
            </w:r>
          </w:p>
        </w:tc>
        <w:tc>
          <w:tcPr>
            <w:tcW w:w="648" w:type="dxa"/>
            <w:vAlign w:val="center"/>
          </w:tcPr>
          <w:p>
            <w:pPr>
              <w:widowControl/>
              <w:snapToGrid w:val="0"/>
              <w:spacing w:line="300" w:lineRule="exact"/>
              <w:jc w:val="center"/>
              <w:textAlignment w:val="center"/>
              <w:rPr>
                <w:rFonts w:ascii="宋体" w:hAnsi="宋体" w:cs="宋体"/>
                <w:b/>
                <w:szCs w:val="21"/>
              </w:rPr>
            </w:pPr>
            <w:r>
              <w:rPr>
                <w:rFonts w:hint="eastAsia" w:ascii="宋体" w:hAnsi="宋体" w:cs="宋体"/>
                <w:b/>
                <w:szCs w:val="21"/>
              </w:rPr>
              <w:t>14</w:t>
            </w:r>
          </w:p>
        </w:tc>
        <w:tc>
          <w:tcPr>
            <w:tcW w:w="6793" w:type="dxa"/>
            <w:vAlign w:val="center"/>
          </w:tcPr>
          <w:p>
            <w:pPr>
              <w:spacing w:line="360" w:lineRule="auto"/>
              <w:rPr>
                <w:rFonts w:ascii="宋体" w:hAnsi="宋体" w:cs="宋体"/>
                <w:szCs w:val="21"/>
              </w:rPr>
            </w:pPr>
            <w:r>
              <w:rPr>
                <w:rFonts w:hint="eastAsia" w:ascii="宋体" w:hAnsi="宋体" w:cs="仿宋"/>
                <w:szCs w:val="21"/>
              </w:rPr>
              <w:t>供应商所选择技术路线符合本项目现状和技术服务需要，能满足项目特有条件，技术路线整体清晰、全面、符合项目实际，技术方法可行，根据方案的完整性、合理性和可实行性经评审委员会综合比较计分，方案合理、科学、可行的，计14分；欠全面或欠充分的，计11分；有缺漏项的，计8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jc w:val="center"/>
              <w:rPr>
                <w:b/>
                <w:szCs w:val="21"/>
              </w:rPr>
            </w:pPr>
          </w:p>
        </w:tc>
        <w:tc>
          <w:tcPr>
            <w:tcW w:w="1229" w:type="dxa"/>
            <w:vAlign w:val="center"/>
          </w:tcPr>
          <w:p>
            <w:pPr>
              <w:widowControl/>
              <w:snapToGrid w:val="0"/>
              <w:spacing w:line="300" w:lineRule="exact"/>
              <w:jc w:val="center"/>
              <w:textAlignment w:val="center"/>
              <w:rPr>
                <w:rFonts w:ascii="宋体" w:hAnsi="宋体" w:cs="宋体"/>
                <w:b/>
                <w:szCs w:val="21"/>
              </w:rPr>
            </w:pPr>
            <w:r>
              <w:rPr>
                <w:rFonts w:hint="eastAsia" w:ascii="宋体" w:hAnsi="宋体"/>
                <w:b/>
                <w:kern w:val="0"/>
                <w:szCs w:val="21"/>
                <w:shd w:val="clear" w:color="auto" w:fill="FFFFFF"/>
              </w:rPr>
              <w:t>设计进度保障</w:t>
            </w:r>
          </w:p>
        </w:tc>
        <w:tc>
          <w:tcPr>
            <w:tcW w:w="648" w:type="dxa"/>
            <w:vAlign w:val="center"/>
          </w:tcPr>
          <w:p>
            <w:pPr>
              <w:widowControl/>
              <w:snapToGrid w:val="0"/>
              <w:spacing w:line="300" w:lineRule="exact"/>
              <w:jc w:val="center"/>
              <w:textAlignment w:val="center"/>
              <w:rPr>
                <w:rFonts w:ascii="宋体" w:hAnsi="宋体" w:cs="宋体"/>
                <w:b/>
                <w:szCs w:val="21"/>
              </w:rPr>
            </w:pPr>
            <w:r>
              <w:rPr>
                <w:rFonts w:hint="eastAsia" w:ascii="宋体" w:hAnsi="宋体" w:cs="宋体"/>
                <w:b/>
                <w:szCs w:val="21"/>
              </w:rPr>
              <w:t>10</w:t>
            </w:r>
          </w:p>
        </w:tc>
        <w:tc>
          <w:tcPr>
            <w:tcW w:w="6793" w:type="dxa"/>
            <w:vAlign w:val="center"/>
          </w:tcPr>
          <w:p>
            <w:pPr>
              <w:spacing w:line="360" w:lineRule="auto"/>
              <w:rPr>
                <w:rFonts w:ascii="宋体" w:hAnsi="宋体" w:cs="宋体"/>
                <w:szCs w:val="21"/>
              </w:rPr>
            </w:pPr>
            <w:r>
              <w:rPr>
                <w:rFonts w:hint="eastAsia" w:ascii="宋体" w:hAnsi="宋体" w:cs="仿宋"/>
                <w:szCs w:val="21"/>
              </w:rPr>
              <w:t>供应商根据项目需求对设计进度计划安排合理，能在最大程度上节省时间且保证效率，根据方案的完整性、合理性和可实行性经评审委员会综合比较计分，方案合理、科学、可行的，计10分；欠全面或欠充分的，计8分；有缺漏项的，计6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jc w:val="center"/>
              <w:rPr>
                <w:b/>
                <w:szCs w:val="21"/>
              </w:rPr>
            </w:pPr>
          </w:p>
        </w:tc>
        <w:tc>
          <w:tcPr>
            <w:tcW w:w="1229" w:type="dxa"/>
            <w:vAlign w:val="center"/>
          </w:tcPr>
          <w:p>
            <w:pPr>
              <w:pStyle w:val="18"/>
              <w:jc w:val="center"/>
              <w:rPr>
                <w:rFonts w:ascii="宋体" w:hAnsi="宋体" w:cs="宋体"/>
                <w:b/>
                <w:szCs w:val="21"/>
              </w:rPr>
            </w:pPr>
            <w:r>
              <w:rPr>
                <w:rFonts w:hint="eastAsia" w:ascii="宋体" w:hAnsi="宋体" w:cs="宋体"/>
                <w:b/>
                <w:szCs w:val="21"/>
              </w:rPr>
              <w:t>合理化</w:t>
            </w:r>
          </w:p>
          <w:p>
            <w:pPr>
              <w:pStyle w:val="18"/>
              <w:jc w:val="center"/>
              <w:rPr>
                <w:rFonts w:ascii="宋体" w:hAnsi="宋体" w:cs="宋体"/>
                <w:b/>
                <w:szCs w:val="21"/>
              </w:rPr>
            </w:pPr>
            <w:r>
              <w:rPr>
                <w:rFonts w:hint="eastAsia" w:ascii="宋体" w:hAnsi="宋体" w:cs="宋体"/>
                <w:b/>
                <w:szCs w:val="21"/>
              </w:rPr>
              <w:t>建议</w:t>
            </w:r>
          </w:p>
        </w:tc>
        <w:tc>
          <w:tcPr>
            <w:tcW w:w="648" w:type="dxa"/>
            <w:vAlign w:val="center"/>
          </w:tcPr>
          <w:p>
            <w:pPr>
              <w:pStyle w:val="18"/>
              <w:jc w:val="center"/>
              <w:rPr>
                <w:rFonts w:ascii="宋体" w:hAnsi="宋体" w:cs="宋体"/>
                <w:b/>
                <w:szCs w:val="21"/>
              </w:rPr>
            </w:pPr>
            <w:r>
              <w:rPr>
                <w:rFonts w:hint="eastAsia" w:ascii="宋体" w:hAnsi="宋体" w:cs="宋体"/>
                <w:b/>
                <w:szCs w:val="21"/>
              </w:rPr>
              <w:t>7</w:t>
            </w:r>
          </w:p>
        </w:tc>
        <w:tc>
          <w:tcPr>
            <w:tcW w:w="6793" w:type="dxa"/>
            <w:vAlign w:val="center"/>
          </w:tcPr>
          <w:p>
            <w:pPr>
              <w:spacing w:line="360" w:lineRule="auto"/>
              <w:rPr>
                <w:rFonts w:ascii="宋体" w:hAnsi="宋体" w:cs="宋体"/>
                <w:szCs w:val="21"/>
              </w:rPr>
            </w:pPr>
            <w:r>
              <w:rPr>
                <w:rFonts w:hint="eastAsia" w:ascii="宋体" w:hAnsi="宋体" w:cs="仿宋"/>
                <w:szCs w:val="21"/>
              </w:rPr>
              <w:t>供应商根据项目目标及重点，针对项目成果编制、方案落实、建设设计等提出合理化建议。根据方案的完整性、合理性和可实行性经评审委员会综合比较计分，方案合理、科学、可行的，计7分；欠全面或欠充分的，计5分；有缺漏项的，计3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restart"/>
            <w:vAlign w:val="center"/>
          </w:tcPr>
          <w:p>
            <w:pPr>
              <w:jc w:val="center"/>
              <w:rPr>
                <w:b/>
                <w:szCs w:val="21"/>
              </w:rPr>
            </w:pPr>
            <w:r>
              <w:rPr>
                <w:rFonts w:hint="eastAsia"/>
                <w:b/>
                <w:szCs w:val="21"/>
              </w:rPr>
              <w:t>商务部分</w:t>
            </w:r>
          </w:p>
          <w:p>
            <w:pPr>
              <w:jc w:val="center"/>
              <w:rPr>
                <w:b/>
                <w:szCs w:val="21"/>
              </w:rPr>
            </w:pPr>
            <w:r>
              <w:rPr>
                <w:rFonts w:hint="eastAsia"/>
                <w:b/>
                <w:szCs w:val="21"/>
              </w:rPr>
              <w:t>（25分）</w:t>
            </w:r>
          </w:p>
        </w:tc>
        <w:tc>
          <w:tcPr>
            <w:tcW w:w="1229" w:type="dxa"/>
            <w:vAlign w:val="center"/>
          </w:tcPr>
          <w:p>
            <w:pPr>
              <w:jc w:val="center"/>
              <w:rPr>
                <w:b/>
                <w:szCs w:val="21"/>
              </w:rPr>
            </w:pPr>
            <w:r>
              <w:rPr>
                <w:rFonts w:hint="eastAsia"/>
                <w:b/>
                <w:szCs w:val="21"/>
              </w:rPr>
              <w:t>类似业绩</w:t>
            </w:r>
          </w:p>
        </w:tc>
        <w:tc>
          <w:tcPr>
            <w:tcW w:w="648" w:type="dxa"/>
            <w:vAlign w:val="center"/>
          </w:tcPr>
          <w:p>
            <w:pPr>
              <w:jc w:val="center"/>
              <w:rPr>
                <w:b/>
                <w:szCs w:val="21"/>
              </w:rPr>
            </w:pPr>
            <w:r>
              <w:rPr>
                <w:rFonts w:hint="eastAsia"/>
                <w:b/>
                <w:szCs w:val="21"/>
              </w:rPr>
              <w:t>12</w:t>
            </w:r>
          </w:p>
        </w:tc>
        <w:tc>
          <w:tcPr>
            <w:tcW w:w="6793" w:type="dxa"/>
            <w:vAlign w:val="center"/>
          </w:tcPr>
          <w:p>
            <w:pPr>
              <w:spacing w:line="360" w:lineRule="auto"/>
              <w:rPr>
                <w:szCs w:val="21"/>
              </w:rPr>
            </w:pPr>
            <w:r>
              <w:rPr>
                <w:rFonts w:hint="eastAsia"/>
                <w:szCs w:val="21"/>
              </w:rPr>
              <w:t>供应商近三年（以提交响应文件截止时间前36个月内为有效），每具有一个类似项目业绩计3分，计满为止。</w:t>
            </w:r>
            <w:r>
              <w:rPr>
                <w:rFonts w:hint="eastAsia"/>
                <w:b/>
                <w:bCs/>
                <w:szCs w:val="21"/>
              </w:rPr>
              <w:t>（要求提供合同复印件，以合同签订时间为准，否则不计分）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029" w:type="dxa"/>
            <w:vMerge w:val="continue"/>
            <w:vAlign w:val="center"/>
          </w:tcPr>
          <w:p>
            <w:pPr>
              <w:jc w:val="center"/>
              <w:rPr>
                <w:b/>
                <w:szCs w:val="21"/>
              </w:rPr>
            </w:pPr>
          </w:p>
        </w:tc>
        <w:tc>
          <w:tcPr>
            <w:tcW w:w="1229" w:type="dxa"/>
            <w:vAlign w:val="center"/>
          </w:tcPr>
          <w:p>
            <w:pPr>
              <w:jc w:val="center"/>
              <w:rPr>
                <w:b/>
                <w:szCs w:val="21"/>
              </w:rPr>
            </w:pPr>
            <w:r>
              <w:rPr>
                <w:rFonts w:hint="eastAsia"/>
                <w:b/>
                <w:szCs w:val="21"/>
              </w:rPr>
              <w:t>企业综合实力</w:t>
            </w:r>
          </w:p>
        </w:tc>
        <w:tc>
          <w:tcPr>
            <w:tcW w:w="648" w:type="dxa"/>
            <w:vAlign w:val="center"/>
          </w:tcPr>
          <w:p>
            <w:pPr>
              <w:jc w:val="center"/>
              <w:rPr>
                <w:b/>
                <w:szCs w:val="21"/>
              </w:rPr>
            </w:pPr>
            <w:r>
              <w:rPr>
                <w:rFonts w:hint="eastAsia"/>
                <w:b/>
                <w:szCs w:val="21"/>
              </w:rPr>
              <w:t>3</w:t>
            </w:r>
          </w:p>
        </w:tc>
        <w:tc>
          <w:tcPr>
            <w:tcW w:w="6793" w:type="dxa"/>
            <w:vAlign w:val="center"/>
          </w:tcPr>
          <w:p>
            <w:pPr>
              <w:spacing w:line="360" w:lineRule="auto"/>
              <w:rPr>
                <w:szCs w:val="21"/>
              </w:rPr>
            </w:pPr>
            <w:r>
              <w:rPr>
                <w:rFonts w:hint="eastAsia"/>
                <w:szCs w:val="21"/>
              </w:rPr>
              <w:t>供应商同时具有质量管理体系认证证书、环境管理体系认证证书、职业健康安全管理体系认证证书的，计3分。</w:t>
            </w:r>
          </w:p>
          <w:p>
            <w:pPr>
              <w:spacing w:line="360" w:lineRule="auto"/>
            </w:pPr>
            <w:r>
              <w:rPr>
                <w:rFonts w:hint="eastAsia"/>
                <w:szCs w:val="21"/>
              </w:rPr>
              <w:t>注：提供证书扫描件及全国认证认可信息公共服务平台（http://cx.cnca.cn/CertECloud/index/index/page）查询截图并加盖投标人公章，证书处于有效期内，否则不计分。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0" w:hRule="atLeast"/>
          <w:jc w:val="center"/>
        </w:trPr>
        <w:tc>
          <w:tcPr>
            <w:tcW w:w="1029" w:type="dxa"/>
            <w:vMerge w:val="continue"/>
            <w:vAlign w:val="center"/>
          </w:tcPr>
          <w:p>
            <w:pPr>
              <w:jc w:val="center"/>
              <w:rPr>
                <w:b/>
                <w:szCs w:val="21"/>
              </w:rPr>
            </w:pPr>
          </w:p>
        </w:tc>
        <w:tc>
          <w:tcPr>
            <w:tcW w:w="1229" w:type="dxa"/>
            <w:vAlign w:val="center"/>
          </w:tcPr>
          <w:p>
            <w:pPr>
              <w:jc w:val="center"/>
              <w:rPr>
                <w:b/>
                <w:strike/>
                <w:szCs w:val="21"/>
              </w:rPr>
            </w:pPr>
            <w:r>
              <w:rPr>
                <w:rFonts w:hint="eastAsia"/>
                <w:b/>
                <w:szCs w:val="21"/>
              </w:rPr>
              <w:t>团队实力</w:t>
            </w:r>
          </w:p>
        </w:tc>
        <w:tc>
          <w:tcPr>
            <w:tcW w:w="648" w:type="dxa"/>
            <w:vAlign w:val="center"/>
          </w:tcPr>
          <w:p>
            <w:pPr>
              <w:jc w:val="center"/>
              <w:rPr>
                <w:b/>
              </w:rPr>
            </w:pPr>
            <w:r>
              <w:rPr>
                <w:rFonts w:hint="eastAsia"/>
                <w:b/>
              </w:rPr>
              <w:t>10</w:t>
            </w:r>
          </w:p>
        </w:tc>
        <w:tc>
          <w:tcPr>
            <w:tcW w:w="6793" w:type="dxa"/>
            <w:vAlign w:val="center"/>
          </w:tcPr>
          <w:p>
            <w:pPr>
              <w:spacing w:line="360" w:lineRule="auto"/>
            </w:pPr>
            <w:r>
              <w:rPr>
                <w:rFonts w:hint="eastAsia"/>
              </w:rPr>
              <w:t>1.设计项目负责人具有电力相关专业高级及以上职称或具备注册电气工程师（发输变电）的计4分；最高计4分。</w:t>
            </w:r>
          </w:p>
          <w:p>
            <w:pPr>
              <w:spacing w:line="360" w:lineRule="auto"/>
              <w:rPr>
                <w:b/>
                <w:bCs/>
              </w:rPr>
            </w:pPr>
            <w:r>
              <w:rPr>
                <w:rFonts w:hint="eastAsia"/>
                <w:b/>
                <w:bCs/>
              </w:rPr>
              <w:t>注：提供相应证书复印件及近半年内连续三个月（2023年7月-2023年12月）依法缴纳社会保险的证明复印件，否则不予计分。</w:t>
            </w:r>
          </w:p>
          <w:p>
            <w:pPr>
              <w:spacing w:line="360" w:lineRule="auto"/>
            </w:pPr>
            <w:r>
              <w:rPr>
                <w:rFonts w:hint="eastAsia"/>
              </w:rPr>
              <w:t>2.根据本设计项目特点，主要专业设计人员（项目负责人除外）配备：具备一个电力相关专业高级职称的技术人员的计2分，具备一个注册电气工程师（发输变电）证书的技术人员的计1分；具备一个结构相关专业高级职称的技术人员的计2分，具备一个二级及以上注册结构工程师证书的技术人员的计1分，同一人多个证书按一本证书计算，本项最高计6分。</w:t>
            </w:r>
          </w:p>
          <w:p>
            <w:pPr>
              <w:spacing w:line="360" w:lineRule="auto"/>
            </w:pPr>
            <w:r>
              <w:rPr>
                <w:rFonts w:hint="eastAsia"/>
                <w:b/>
                <w:bCs/>
              </w:rPr>
              <w:t>注：提供相应证书复印件及近半年内连续三个月（2023年7月-2023年12月）依法缴纳社会保险的证明复印件，否则不予计分。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58" w:type="dxa"/>
            <w:gridSpan w:val="2"/>
            <w:vAlign w:val="center"/>
          </w:tcPr>
          <w:p>
            <w:pPr>
              <w:jc w:val="center"/>
              <w:rPr>
                <w:b/>
                <w:szCs w:val="21"/>
              </w:rPr>
            </w:pPr>
            <w:r>
              <w:rPr>
                <w:rFonts w:hint="eastAsia"/>
                <w:b/>
                <w:szCs w:val="21"/>
              </w:rPr>
              <w:t>合计</w:t>
            </w:r>
          </w:p>
        </w:tc>
        <w:tc>
          <w:tcPr>
            <w:tcW w:w="648" w:type="dxa"/>
            <w:vAlign w:val="center"/>
          </w:tcPr>
          <w:p>
            <w:pPr>
              <w:jc w:val="center"/>
              <w:rPr>
                <w:b/>
                <w:szCs w:val="21"/>
              </w:rPr>
            </w:pPr>
            <w:r>
              <w:rPr>
                <w:rFonts w:hint="eastAsia"/>
                <w:b/>
                <w:szCs w:val="21"/>
              </w:rPr>
              <w:t>100</w:t>
            </w:r>
          </w:p>
        </w:tc>
        <w:tc>
          <w:tcPr>
            <w:tcW w:w="6793" w:type="dxa"/>
            <w:vAlign w:val="center"/>
          </w:tcPr>
          <w:p>
            <w:pPr>
              <w:jc w:val="center"/>
              <w:rPr>
                <w:b/>
                <w:szCs w:val="21"/>
              </w:rPr>
            </w:pPr>
          </w:p>
        </w:tc>
      </w:tr>
    </w:tbl>
    <w:p>
      <w:pPr>
        <w:rPr>
          <w:rFonts w:ascii="宋体" w:hAnsi="宋体" w:cs="宋体"/>
          <w:b/>
        </w:rPr>
      </w:pPr>
      <w:r>
        <w:rPr>
          <w:rFonts w:hint="eastAsia" w:ascii="宋体" w:hAnsi="宋体" w:cs="宋体"/>
          <w:b/>
        </w:rPr>
        <w:t>说明：</w:t>
      </w:r>
    </w:p>
    <w:p>
      <w:pPr>
        <w:rPr>
          <w:rFonts w:ascii="宋体" w:hAnsi="宋体" w:cs="宋体"/>
          <w:b/>
        </w:rPr>
      </w:pPr>
      <w:r>
        <w:rPr>
          <w:rFonts w:hint="eastAsia" w:ascii="宋体" w:hAnsi="宋体" w:cs="宋体"/>
          <w:b/>
        </w:rPr>
        <w:t>1、评分依据评标标准，对照投标文件进行。评标标准涉及要求提供复印件的，投标文件中须附相关证书和证明文件的复印件并加盖单位公章，否则相应计分项不予计分。</w:t>
      </w:r>
    </w:p>
    <w:p>
      <w:pPr>
        <w:pStyle w:val="62"/>
        <w:ind w:firstLine="0" w:firstLineChars="0"/>
      </w:pPr>
      <w:r>
        <w:rPr>
          <w:rFonts w:hint="eastAsia" w:ascii="宋体" w:hAnsi="宋体" w:cs="宋体"/>
          <w:b/>
        </w:rPr>
        <w:t>2、投标人参与本项目应提供真实、有效的证明材料，应当诚信守法、公平竞争。如有以提供虚假材料（包括但不限于虚假技术参数响应、虚假制造商产品彩页、虚假业绩、虚假证书等）、隐瞒失信信息等谋取中标的行为，一经发现，取消投标资格。</w:t>
      </w:r>
      <w:r>
        <w:br w:type="page"/>
      </w: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50"/>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50"/>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50"/>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受到刑事处罚，或者受到两百万元以上的罚款、责令停产停业、在一至三年内禁止参加政府采购活动、暂扣或者吊销许可证、暂扣或者吊销执照等情形之一的行政处罚，或者存在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6"/>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6"/>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6"/>
        <w:adjustRightInd w:val="0"/>
        <w:snapToGrid w:val="0"/>
        <w:spacing w:line="360" w:lineRule="auto"/>
        <w:rPr>
          <w:rFonts w:hAnsi="宋体" w:cs="宋体"/>
          <w:b/>
        </w:rPr>
      </w:pPr>
      <w:r>
        <w:rPr>
          <w:rFonts w:hint="eastAsia" w:hAnsi="宋体" w:cs="宋体"/>
          <w:b/>
        </w:rPr>
        <w:t>6．联合体形式</w:t>
      </w:r>
    </w:p>
    <w:p>
      <w:pPr>
        <w:pStyle w:val="26"/>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6"/>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6"/>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6"/>
        <w:adjustRightInd w:val="0"/>
        <w:snapToGrid w:val="0"/>
        <w:spacing w:line="360" w:lineRule="auto"/>
        <w:ind w:firstLine="420" w:firstLineChars="200"/>
        <w:rPr>
          <w:rFonts w:hAnsi="宋体" w:cs="宋体"/>
        </w:rPr>
      </w:pPr>
      <w:r>
        <w:rPr>
          <w:rFonts w:hint="eastAsia" w:hAnsi="宋体" w:cs="宋体"/>
        </w:rPr>
        <w:t>第一章 磋商邀请</w:t>
      </w:r>
    </w:p>
    <w:p>
      <w:pPr>
        <w:pStyle w:val="26"/>
        <w:adjustRightInd w:val="0"/>
        <w:snapToGrid w:val="0"/>
        <w:spacing w:line="360" w:lineRule="auto"/>
        <w:ind w:firstLine="420" w:firstLineChars="200"/>
        <w:rPr>
          <w:rFonts w:hAnsi="宋体" w:cs="宋体"/>
        </w:rPr>
      </w:pPr>
      <w:r>
        <w:rPr>
          <w:rFonts w:hint="eastAsia" w:hAnsi="宋体" w:cs="宋体"/>
        </w:rPr>
        <w:t>第二章 磋商须知</w:t>
      </w:r>
    </w:p>
    <w:p>
      <w:pPr>
        <w:pStyle w:val="26"/>
        <w:adjustRightInd w:val="0"/>
        <w:snapToGrid w:val="0"/>
        <w:spacing w:line="360" w:lineRule="auto"/>
        <w:ind w:firstLine="420" w:firstLineChars="200"/>
        <w:rPr>
          <w:rFonts w:hAnsi="宋体" w:cs="宋体"/>
        </w:rPr>
      </w:pPr>
      <w:r>
        <w:rPr>
          <w:rFonts w:hint="eastAsia" w:hAnsi="宋体" w:cs="宋体"/>
        </w:rPr>
        <w:t>第三章 政府采购合同格式条款</w:t>
      </w:r>
    </w:p>
    <w:p>
      <w:pPr>
        <w:pStyle w:val="26"/>
        <w:adjustRightInd w:val="0"/>
        <w:snapToGrid w:val="0"/>
        <w:spacing w:line="360" w:lineRule="auto"/>
        <w:ind w:firstLine="420" w:firstLineChars="200"/>
        <w:rPr>
          <w:rFonts w:hAnsi="宋体" w:cs="宋体"/>
        </w:rPr>
      </w:pPr>
      <w:r>
        <w:rPr>
          <w:rFonts w:hint="eastAsia" w:hAnsi="宋体" w:cs="宋体"/>
        </w:rPr>
        <w:t>第四章 采购需求</w:t>
      </w:r>
    </w:p>
    <w:p>
      <w:pPr>
        <w:pStyle w:val="26"/>
        <w:adjustRightInd w:val="0"/>
        <w:snapToGrid w:val="0"/>
        <w:spacing w:line="360" w:lineRule="auto"/>
        <w:ind w:firstLine="420" w:firstLineChars="200"/>
        <w:rPr>
          <w:rFonts w:hAnsi="宋体" w:cs="宋体"/>
        </w:rPr>
      </w:pPr>
      <w:r>
        <w:rPr>
          <w:rFonts w:hint="eastAsia" w:hAnsi="宋体" w:cs="宋体"/>
        </w:rPr>
        <w:t>第五章 响应文件组成</w:t>
      </w:r>
    </w:p>
    <w:p>
      <w:pPr>
        <w:pStyle w:val="26"/>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6"/>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6"/>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6"/>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6"/>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6"/>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6"/>
        <w:adjustRightInd w:val="0"/>
        <w:snapToGrid w:val="0"/>
        <w:spacing w:line="360" w:lineRule="auto"/>
        <w:ind w:firstLine="420" w:firstLineChars="200"/>
        <w:rPr>
          <w:rFonts w:hAnsi="宋体" w:cs="宋体"/>
        </w:rPr>
      </w:pPr>
      <w:r>
        <w:rPr>
          <w:rFonts w:hint="eastAsia" w:hAnsi="宋体" w:cs="宋体"/>
        </w:rPr>
        <w:t>（1）磋商响应声明</w:t>
      </w:r>
    </w:p>
    <w:p>
      <w:pPr>
        <w:pStyle w:val="26"/>
        <w:adjustRightInd w:val="0"/>
        <w:snapToGrid w:val="0"/>
        <w:spacing w:line="360" w:lineRule="auto"/>
        <w:ind w:firstLine="420" w:firstLineChars="200"/>
        <w:rPr>
          <w:rFonts w:hAnsi="宋体" w:cs="宋体"/>
        </w:rPr>
      </w:pPr>
      <w:r>
        <w:rPr>
          <w:rFonts w:hint="eastAsia" w:hAnsi="宋体" w:cs="宋体"/>
        </w:rPr>
        <w:t>（2）保证金</w:t>
      </w:r>
    </w:p>
    <w:p>
      <w:pPr>
        <w:pStyle w:val="26"/>
        <w:adjustRightInd w:val="0"/>
        <w:snapToGrid w:val="0"/>
        <w:spacing w:line="360" w:lineRule="auto"/>
        <w:ind w:firstLine="420" w:firstLineChars="200"/>
        <w:rPr>
          <w:rFonts w:hAnsi="宋体" w:cs="宋体"/>
        </w:rPr>
      </w:pPr>
      <w:r>
        <w:rPr>
          <w:rFonts w:hint="eastAsia" w:hAnsi="宋体" w:cs="宋体"/>
        </w:rPr>
        <w:t>（3）供应商的资格证明文件</w:t>
      </w:r>
    </w:p>
    <w:p>
      <w:pPr>
        <w:pStyle w:val="26"/>
        <w:adjustRightInd w:val="0"/>
        <w:snapToGrid w:val="0"/>
        <w:spacing w:line="360" w:lineRule="auto"/>
        <w:ind w:firstLine="420" w:firstLineChars="200"/>
        <w:rPr>
          <w:rFonts w:hAnsi="宋体" w:cs="宋体"/>
        </w:rPr>
      </w:pPr>
      <w:r>
        <w:rPr>
          <w:rFonts w:hint="eastAsia" w:hAnsi="宋体" w:cs="宋体"/>
        </w:rPr>
        <w:t>（4）服务方案说明</w:t>
      </w:r>
    </w:p>
    <w:p>
      <w:pPr>
        <w:pStyle w:val="26"/>
        <w:adjustRightInd w:val="0"/>
        <w:snapToGrid w:val="0"/>
        <w:spacing w:line="360" w:lineRule="auto"/>
        <w:ind w:firstLine="420" w:firstLineChars="200"/>
        <w:rPr>
          <w:rFonts w:hAnsi="宋体" w:cs="宋体"/>
        </w:rPr>
      </w:pPr>
      <w:r>
        <w:rPr>
          <w:rFonts w:hint="eastAsia" w:hAnsi="宋体" w:cs="宋体"/>
        </w:rPr>
        <w:t>（5）技术/商务响应与偏离表</w:t>
      </w:r>
    </w:p>
    <w:p>
      <w:pPr>
        <w:pStyle w:val="26"/>
        <w:adjustRightInd w:val="0"/>
        <w:snapToGrid w:val="0"/>
        <w:spacing w:line="360" w:lineRule="auto"/>
        <w:ind w:firstLine="420" w:firstLineChars="200"/>
        <w:rPr>
          <w:rFonts w:hAnsi="宋体" w:cs="宋体"/>
        </w:rPr>
      </w:pPr>
      <w:r>
        <w:rPr>
          <w:rFonts w:hint="eastAsia" w:hAnsi="宋体" w:cs="宋体"/>
        </w:rPr>
        <w:t>（6）报价一览表及分项价格表</w:t>
      </w:r>
    </w:p>
    <w:p>
      <w:pPr>
        <w:pStyle w:val="26"/>
        <w:adjustRightInd w:val="0"/>
        <w:snapToGrid w:val="0"/>
        <w:spacing w:line="360" w:lineRule="auto"/>
        <w:ind w:firstLine="420" w:firstLineChars="200"/>
        <w:rPr>
          <w:rFonts w:hAnsi="宋体" w:cs="宋体"/>
        </w:rPr>
      </w:pPr>
      <w:r>
        <w:rPr>
          <w:rFonts w:hint="eastAsia" w:hAnsi="宋体" w:cs="宋体"/>
        </w:rPr>
        <w:t>（7）供应商认为需提供的其它资料</w:t>
      </w:r>
    </w:p>
    <w:p>
      <w:pPr>
        <w:pStyle w:val="26"/>
        <w:adjustRightInd w:val="0"/>
        <w:snapToGrid w:val="0"/>
        <w:spacing w:line="360" w:lineRule="auto"/>
        <w:ind w:firstLine="420" w:firstLineChars="200"/>
        <w:rPr>
          <w:rFonts w:hAnsi="宋体" w:cs="宋体"/>
        </w:rPr>
      </w:pPr>
      <w:r>
        <w:rPr>
          <w:rFonts w:hint="eastAsia" w:hAnsi="宋体" w:cs="宋体"/>
        </w:rPr>
        <w:t>（8）最后报价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6"/>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75"/>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6"/>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6"/>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6"/>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6"/>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6"/>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6"/>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6"/>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6"/>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6"/>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6"/>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6"/>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6"/>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6"/>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6"/>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6"/>
        <w:adjustRightInd w:val="0"/>
        <w:snapToGrid w:val="0"/>
        <w:spacing w:line="360" w:lineRule="auto"/>
        <w:rPr>
          <w:rFonts w:hAnsi="宋体" w:cs="宋体"/>
          <w:b/>
          <w:kern w:val="0"/>
        </w:rPr>
      </w:pPr>
      <w:r>
        <w:rPr>
          <w:rFonts w:hint="eastAsia" w:hAnsi="宋体" w:cs="宋体"/>
          <w:b/>
          <w:kern w:val="0"/>
        </w:rPr>
        <w:t>27.实质性响应</w:t>
      </w:r>
    </w:p>
    <w:p>
      <w:pPr>
        <w:pStyle w:val="26"/>
        <w:adjustRightInd w:val="0"/>
        <w:snapToGrid w:val="0"/>
        <w:spacing w:line="360" w:lineRule="auto"/>
        <w:ind w:firstLine="420" w:firstLineChars="200"/>
        <w:rPr>
          <w:rFonts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6"/>
        <w:adjustRightInd w:val="0"/>
        <w:snapToGrid w:val="0"/>
        <w:spacing w:line="360" w:lineRule="auto"/>
        <w:rPr>
          <w:rFonts w:hAnsi="宋体" w:cs="宋体"/>
          <w:b/>
          <w:kern w:val="0"/>
        </w:rPr>
      </w:pPr>
      <w:r>
        <w:rPr>
          <w:rFonts w:hint="eastAsia" w:hAnsi="宋体" w:cs="宋体"/>
          <w:b/>
          <w:kern w:val="0"/>
        </w:rPr>
        <w:t xml:space="preserve">28.无效响应 </w:t>
      </w:r>
    </w:p>
    <w:p>
      <w:pPr>
        <w:pStyle w:val="26"/>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rPr>
      </w:pPr>
      <w:r>
        <w:rPr>
          <w:rFonts w:hint="eastAsia" w:ascii="宋体" w:hAnsi="宋体" w:cs="宋体"/>
          <w:bCs/>
          <w:szCs w:val="21"/>
        </w:rPr>
        <w:t>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widowControl/>
        <w:spacing w:line="420" w:lineRule="atLeast"/>
        <w:rPr>
          <w:rFonts w:ascii="宋体" w:hAnsi="宋体" w:cs="宋体"/>
          <w:kern w:val="0"/>
          <w:szCs w:val="21"/>
        </w:rPr>
      </w:pP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6"/>
        <w:adjustRightInd w:val="0"/>
        <w:snapToGrid w:val="0"/>
        <w:spacing w:line="360" w:lineRule="auto"/>
        <w:ind w:left="632" w:hanging="632"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6"/>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6"/>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6"/>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6"/>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6"/>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40.1成交供应商应当在成交通知书发出之日起30日内与采购人签订政府采购合同。</w:t>
      </w:r>
    </w:p>
    <w:p>
      <w:pPr>
        <w:pStyle w:val="26"/>
        <w:adjustRightInd w:val="0"/>
        <w:snapToGrid w:val="0"/>
        <w:spacing w:line="360" w:lineRule="auto"/>
        <w:ind w:firstLine="420" w:firstLineChars="200"/>
        <w:rPr>
          <w:rFonts w:hAnsi="宋体" w:cs="宋体"/>
        </w:rPr>
      </w:pPr>
      <w:r>
        <w:rPr>
          <w:rFonts w:hint="eastAsia" w:hAnsi="宋体" w:cs="宋体"/>
        </w:rPr>
        <w:t>40.2磋商文件、成交供应商的响应文件等均为签订政府采购合同的依据。</w:t>
      </w:r>
    </w:p>
    <w:p>
      <w:pPr>
        <w:pStyle w:val="26"/>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6"/>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26"/>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6"/>
        <w:adjustRightInd w:val="0"/>
        <w:snapToGrid w:val="0"/>
        <w:spacing w:line="360" w:lineRule="auto"/>
        <w:ind w:firstLine="420" w:firstLineChars="200"/>
        <w:rPr>
          <w:rFonts w:hAnsi="宋体" w:cs="宋体"/>
        </w:rPr>
      </w:pPr>
      <w:r>
        <w:rPr>
          <w:rFonts w:hint="eastAsia" w:hAnsi="宋体" w:cs="宋体"/>
        </w:rPr>
        <w:t>（二）未按照采购文件确定的事项签订政府采购合同，或者与采购人另行订立背离合同实质性内容的协议的；</w:t>
      </w:r>
    </w:p>
    <w:p>
      <w:pPr>
        <w:pStyle w:val="26"/>
        <w:adjustRightInd w:val="0"/>
        <w:snapToGrid w:val="0"/>
        <w:spacing w:line="360" w:lineRule="auto"/>
        <w:ind w:firstLine="420" w:firstLineChars="200"/>
        <w:rPr>
          <w:rFonts w:hAnsi="宋体" w:cs="宋体"/>
        </w:rPr>
      </w:pPr>
      <w:r>
        <w:rPr>
          <w:rFonts w:hint="eastAsia" w:hAnsi="宋体" w:cs="宋体"/>
        </w:rPr>
        <w:t>（三）拒绝履行合同义务的；</w:t>
      </w:r>
    </w:p>
    <w:p>
      <w:pPr>
        <w:pStyle w:val="26"/>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2"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jc w:val="left"/>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ind w:firstLine="643" w:firstLineChars="200"/>
        <w:jc w:val="center"/>
        <w:outlineLvl w:val="0"/>
        <w:rPr>
          <w:rFonts w:ascii="宋体" w:hAnsi="宋体" w:cs="宋体"/>
          <w:b/>
          <w:bCs/>
          <w:sz w:val="32"/>
          <w:szCs w:val="32"/>
        </w:rPr>
      </w:pPr>
      <w:r>
        <w:rPr>
          <w:rFonts w:hint="eastAsia" w:ascii="宋体" w:hAnsi="宋体" w:cs="宋体"/>
          <w:b/>
          <w:sz w:val="32"/>
          <w:szCs w:val="32"/>
        </w:rPr>
        <w:br w:type="page"/>
      </w:r>
      <w:r>
        <w:rPr>
          <w:rFonts w:hint="eastAsia" w:ascii="宋体" w:hAnsi="宋体" w:cs="宋体"/>
          <w:b/>
          <w:sz w:val="32"/>
          <w:szCs w:val="32"/>
        </w:rPr>
        <w:t xml:space="preserve">第三章 </w:t>
      </w:r>
      <w:r>
        <w:rPr>
          <w:rFonts w:hint="eastAsia" w:ascii="宋体" w:hAnsi="宋体" w:cs="宋体"/>
          <w:b/>
          <w:bCs/>
          <w:sz w:val="32"/>
          <w:szCs w:val="32"/>
        </w:rPr>
        <w:t>合同格式</w:t>
      </w:r>
    </w:p>
    <w:p>
      <w:pPr>
        <w:jc w:val="center"/>
        <w:rPr>
          <w:rFonts w:ascii="Arial Unicode MS" w:hAnsi="仿宋_GB2312" w:eastAsia="Arial Unicode MS" w:cs="Arial Unicode MS"/>
          <w:sz w:val="28"/>
          <w:szCs w:val="28"/>
        </w:rPr>
      </w:pPr>
      <w:bookmarkStart w:id="11" w:name="_Toc217632601"/>
      <w:bookmarkStart w:id="12" w:name="_Toc244248852"/>
      <w:bookmarkStart w:id="13" w:name="_Toc372060315"/>
      <w:bookmarkStart w:id="14" w:name="_Toc395120789"/>
      <w:r>
        <w:rPr>
          <w:rFonts w:hint="eastAsia" w:ascii="Arial Unicode MS" w:hAnsi="仿宋_GB2312" w:eastAsia="Arial Unicode MS" w:cs="Arial Unicode MS"/>
          <w:sz w:val="28"/>
          <w:szCs w:val="28"/>
        </w:rPr>
        <w:t>（此合同为模板合同，最终以甲乙双方正式签订合同为准）</w:t>
      </w:r>
    </w:p>
    <w:p>
      <w:pPr>
        <w:adjustRightInd w:val="0"/>
        <w:snapToGrid w:val="0"/>
        <w:spacing w:line="360" w:lineRule="auto"/>
        <w:jc w:val="center"/>
        <w:rPr>
          <w:rFonts w:ascii="宋体" w:hAnsi="宋体" w:cs="宋体"/>
          <w:b/>
          <w:sz w:val="32"/>
          <w:szCs w:val="32"/>
        </w:rPr>
      </w:pPr>
    </w:p>
    <w:p>
      <w:pPr>
        <w:jc w:val="center"/>
        <w:rPr>
          <w:rFonts w:ascii="宋体" w:hAnsi="宋体" w:cs="宋体"/>
          <w:sz w:val="24"/>
        </w:rPr>
        <w:sectPr>
          <w:headerReference r:id="rId5" w:type="default"/>
          <w:footerReference r:id="rId6" w:type="default"/>
          <w:pgSz w:w="11906" w:h="16838"/>
          <w:pgMar w:top="1474" w:right="1474" w:bottom="232" w:left="1588" w:header="851" w:footer="992" w:gutter="0"/>
          <w:cols w:space="720" w:num="1"/>
          <w:docGrid w:type="lines" w:linePitch="312" w:charSpace="0"/>
        </w:sectPr>
      </w:pPr>
      <w:r>
        <w:rPr>
          <w:rFonts w:hint="eastAsia" w:ascii="宋体" w:hAnsi="宋体" w:cs="宋体"/>
          <w:sz w:val="24"/>
        </w:rPr>
        <w:t xml:space="preserve">                    </w:t>
      </w:r>
    </w:p>
    <w:p>
      <w:pPr>
        <w:jc w:val="right"/>
        <w:rPr>
          <w:rFonts w:cs="宋体" w:asciiTheme="minorEastAsia" w:hAnsiTheme="minorEastAsia" w:eastAsiaTheme="minorEastAsia"/>
          <w:sz w:val="24"/>
        </w:rPr>
      </w:pPr>
    </w:p>
    <w:p>
      <w:pPr>
        <w:jc w:val="right"/>
        <w:rPr>
          <w:rFonts w:cs="宋体" w:asciiTheme="minorEastAsia" w:hAnsiTheme="minorEastAsia" w:eastAsiaTheme="minorEastAsia"/>
          <w:sz w:val="24"/>
        </w:rPr>
      </w:pPr>
    </w:p>
    <w:p>
      <w:pPr>
        <w:jc w:val="right"/>
        <w:rPr>
          <w:rFonts w:asciiTheme="minorEastAsia" w:hAnsiTheme="minorEastAsia" w:eastAsiaTheme="minorEastAsia"/>
          <w:sz w:val="32"/>
          <w:szCs w:val="32"/>
        </w:rPr>
      </w:pPr>
      <w:r>
        <w:rPr>
          <w:rFonts w:hint="eastAsia" w:cs="宋体" w:asciiTheme="minorEastAsia" w:hAnsiTheme="minorEastAsia" w:eastAsiaTheme="minorEastAsia"/>
          <w:sz w:val="24"/>
        </w:rPr>
        <w:t>合同编号：</w:t>
      </w:r>
      <w:r>
        <w:rPr>
          <w:rFonts w:asciiTheme="minorEastAsia" w:hAnsiTheme="minorEastAsia" w:eastAsiaTheme="minorEastAsia"/>
          <w:sz w:val="32"/>
          <w:szCs w:val="32"/>
        </w:rPr>
        <w:t xml:space="preserve"> </w:t>
      </w:r>
    </w:p>
    <w:p>
      <w:pPr>
        <w:rPr>
          <w:rFonts w:asciiTheme="minorEastAsia" w:hAnsiTheme="minorEastAsia" w:eastAsiaTheme="minorEastAsia"/>
          <w:sz w:val="32"/>
          <w:szCs w:val="32"/>
        </w:rPr>
      </w:pPr>
    </w:p>
    <w:p>
      <w:pPr>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建设工程设计合同</w:t>
      </w:r>
    </w:p>
    <w:p>
      <w:pPr>
        <w:widowControl/>
        <w:snapToGrid w:val="0"/>
        <w:spacing w:before="100" w:beforeAutospacing="1" w:after="100" w:afterAutospacing="1"/>
        <w:jc w:val="center"/>
        <w:rPr>
          <w:rFonts w:asciiTheme="minorEastAsia" w:hAnsiTheme="minorEastAsia" w:eastAsiaTheme="minorEastAsia"/>
          <w:b/>
          <w:kern w:val="0"/>
          <w:sz w:val="44"/>
          <w:szCs w:val="20"/>
        </w:rPr>
      </w:pPr>
      <w:r>
        <w:rPr>
          <w:rFonts w:hint="eastAsia" w:asciiTheme="minorEastAsia" w:hAnsiTheme="minorEastAsia" w:eastAsiaTheme="minorEastAsia"/>
          <w:b/>
          <w:kern w:val="0"/>
          <w:sz w:val="44"/>
          <w:szCs w:val="20"/>
        </w:rPr>
        <w:t>（专业建设工程设计合同）</w:t>
      </w:r>
    </w:p>
    <w:p>
      <w:pPr>
        <w:pStyle w:val="2"/>
        <w:ind w:firstLine="0" w:firstLineChars="0"/>
        <w:rPr>
          <w:rFonts w:cs="宋体" w:asciiTheme="minorEastAsia" w:hAnsiTheme="minorEastAsia" w:eastAsiaTheme="minorEastAsia"/>
          <w:b/>
          <w:bCs/>
          <w:sz w:val="44"/>
          <w:szCs w:val="44"/>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autoSpaceDE w:val="0"/>
        <w:autoSpaceDN w:val="0"/>
        <w:adjustRightInd w:val="0"/>
        <w:ind w:left="2993" w:leftChars="336" w:hanging="2288" w:hangingChars="650"/>
        <w:jc w:val="left"/>
        <w:rPr>
          <w:rFonts w:asciiTheme="minorEastAsia" w:hAnsiTheme="minorEastAsia" w:eastAsiaTheme="minorEastAsia"/>
          <w:spacing w:val="16"/>
          <w:sz w:val="32"/>
          <w:szCs w:val="32"/>
          <w:u w:val="single"/>
        </w:rPr>
      </w:pPr>
      <w:r>
        <w:rPr>
          <w:rFonts w:hint="eastAsia" w:asciiTheme="minorEastAsia" w:hAnsiTheme="minorEastAsia" w:eastAsiaTheme="minorEastAsia"/>
          <w:spacing w:val="16"/>
          <w:sz w:val="32"/>
          <w:szCs w:val="32"/>
        </w:rPr>
        <w:t>工 程 名 称:</w:t>
      </w:r>
      <w:r>
        <w:rPr>
          <w:rFonts w:hint="eastAsia" w:asciiTheme="minorEastAsia" w:hAnsiTheme="minorEastAsia" w:eastAsiaTheme="minorEastAsia"/>
        </w:rPr>
        <w:t xml:space="preserve"> </w:t>
      </w:r>
      <w:r>
        <w:rPr>
          <w:rFonts w:hint="eastAsia" w:asciiTheme="minorEastAsia" w:hAnsiTheme="minorEastAsia" w:eastAsiaTheme="minorEastAsia"/>
          <w:sz w:val="32"/>
          <w:szCs w:val="32"/>
          <w:u w:val="single"/>
        </w:rPr>
        <w:t>078县道（绕城高速—象嘴路）电力埋管项目、云栖路（含浦大道—象嘴路）电力埋管项目设计服务</w:t>
      </w:r>
    </w:p>
    <w:p>
      <w:pPr>
        <w:spacing w:line="360" w:lineRule="auto"/>
        <w:ind w:firstLine="704" w:firstLineChars="200"/>
        <w:rPr>
          <w:rFonts w:asciiTheme="minorEastAsia" w:hAnsiTheme="minorEastAsia" w:eastAsiaTheme="minorEastAsia"/>
          <w:sz w:val="32"/>
          <w:szCs w:val="32"/>
        </w:rPr>
      </w:pPr>
      <w:r>
        <w:rPr>
          <w:rFonts w:hint="eastAsia" w:asciiTheme="minorEastAsia" w:hAnsiTheme="minorEastAsia" w:eastAsiaTheme="minorEastAsia"/>
          <w:spacing w:val="16"/>
          <w:sz w:val="32"/>
          <w:szCs w:val="32"/>
        </w:rPr>
        <w:t>工 程 地 点:</w:t>
      </w:r>
      <w:r>
        <w:rPr>
          <w:rFonts w:hint="eastAsia" w:asciiTheme="minorEastAsia" w:hAnsiTheme="minorEastAsia" w:eastAsiaTheme="minorEastAsia"/>
          <w:sz w:val="32"/>
          <w:szCs w:val="32"/>
          <w:u w:val="single"/>
          <w:lang w:eastAsia="zh-Hans"/>
        </w:rPr>
        <w:t>长沙岳麓</w:t>
      </w:r>
      <w:r>
        <w:rPr>
          <w:rFonts w:hint="eastAsia" w:asciiTheme="minorEastAsia" w:hAnsiTheme="minorEastAsia" w:eastAsiaTheme="minorEastAsia"/>
          <w:sz w:val="32"/>
          <w:szCs w:val="32"/>
          <w:u w:val="single"/>
        </w:rPr>
        <w:t>高新</w:t>
      </w:r>
      <w:r>
        <w:rPr>
          <w:rFonts w:hint="eastAsia" w:asciiTheme="minorEastAsia" w:hAnsiTheme="minorEastAsia" w:eastAsiaTheme="minorEastAsia"/>
          <w:sz w:val="32"/>
          <w:szCs w:val="32"/>
          <w:u w:val="single"/>
          <w:lang w:eastAsia="zh-Hans"/>
        </w:rPr>
        <w:t>区</w:t>
      </w:r>
      <w:r>
        <w:rPr>
          <w:rFonts w:hint="eastAsia" w:asciiTheme="minorEastAsia" w:hAnsiTheme="minorEastAsia" w:eastAsiaTheme="minorEastAsia"/>
          <w:sz w:val="32"/>
          <w:szCs w:val="32"/>
          <w:u w:val="single"/>
        </w:rPr>
        <w:t xml:space="preserve"> </w:t>
      </w:r>
      <w:r>
        <w:rPr>
          <w:rFonts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rPr>
        <w:t xml:space="preserve"> </w:t>
      </w:r>
      <w:r>
        <w:rPr>
          <w:rFonts w:asciiTheme="minorEastAsia" w:hAnsiTheme="minorEastAsia" w:eastAsiaTheme="minorEastAsia"/>
          <w:sz w:val="32"/>
          <w:szCs w:val="32"/>
          <w:u w:val="single"/>
        </w:rPr>
        <w:t xml:space="preserve"> </w:t>
      </w:r>
    </w:p>
    <w:p>
      <w:pPr>
        <w:spacing w:line="360" w:lineRule="auto"/>
        <w:ind w:firstLine="707" w:firstLineChars="221"/>
        <w:rPr>
          <w:rFonts w:asciiTheme="minorEastAsia" w:hAnsiTheme="minorEastAsia" w:eastAsiaTheme="minorEastAsia"/>
          <w:sz w:val="32"/>
          <w:szCs w:val="32"/>
          <w:u w:val="single"/>
        </w:rPr>
      </w:pPr>
      <w:r>
        <w:rPr>
          <w:rFonts w:hint="eastAsia" w:asciiTheme="minorEastAsia" w:hAnsiTheme="minorEastAsia" w:eastAsiaTheme="minorEastAsia"/>
          <w:sz w:val="32"/>
          <w:szCs w:val="32"/>
        </w:rPr>
        <w:t>设计证书等级:</w:t>
      </w:r>
      <w:r>
        <w:rPr>
          <w:rFonts w:hint="eastAsia" w:asciiTheme="minorEastAsia" w:hAnsiTheme="minorEastAsia" w:eastAsiaTheme="minorEastAsia"/>
          <w:sz w:val="32"/>
          <w:szCs w:val="32"/>
          <w:u w:val="single"/>
        </w:rPr>
        <w:t xml:space="preserve">                                     </w:t>
      </w:r>
    </w:p>
    <w:p>
      <w:pPr>
        <w:spacing w:line="360" w:lineRule="auto"/>
        <w:ind w:firstLine="707" w:firstLineChars="221"/>
        <w:rPr>
          <w:rFonts w:asciiTheme="minorEastAsia" w:hAnsiTheme="minorEastAsia" w:eastAsiaTheme="minorEastAsia"/>
          <w:sz w:val="32"/>
          <w:szCs w:val="32"/>
          <w:u w:val="single"/>
        </w:rPr>
      </w:pPr>
      <w:r>
        <w:rPr>
          <w:rFonts w:hint="eastAsia" w:asciiTheme="minorEastAsia" w:hAnsiTheme="minorEastAsia" w:eastAsiaTheme="minorEastAsia"/>
          <w:sz w:val="32"/>
          <w:szCs w:val="32"/>
        </w:rPr>
        <w:t>发   包   人:</w:t>
      </w:r>
      <w:r>
        <w:rPr>
          <w:rFonts w:hint="eastAsia" w:asciiTheme="minorEastAsia" w:hAnsiTheme="minorEastAsia" w:eastAsiaTheme="minorEastAsia"/>
        </w:rPr>
        <w:t xml:space="preserve"> </w:t>
      </w:r>
      <w:r>
        <w:rPr>
          <w:rFonts w:hint="eastAsia" w:asciiTheme="minorEastAsia" w:hAnsiTheme="minorEastAsia" w:eastAsiaTheme="minorEastAsia"/>
          <w:sz w:val="32"/>
          <w:szCs w:val="32"/>
          <w:u w:val="single"/>
        </w:rPr>
        <w:t xml:space="preserve">湖南岳麓经济开发有限责任公司     </w:t>
      </w:r>
    </w:p>
    <w:p>
      <w:pPr>
        <w:spacing w:line="360" w:lineRule="auto"/>
        <w:ind w:firstLine="707" w:firstLineChars="221"/>
        <w:rPr>
          <w:rFonts w:asciiTheme="minorEastAsia" w:hAnsiTheme="minorEastAsia" w:eastAsiaTheme="minorEastAsia"/>
          <w:spacing w:val="10"/>
          <w:sz w:val="32"/>
          <w:szCs w:val="32"/>
          <w:u w:val="single"/>
        </w:rPr>
      </w:pPr>
      <w:r>
        <w:rPr>
          <w:rFonts w:hint="eastAsia" w:asciiTheme="minorEastAsia" w:hAnsiTheme="minorEastAsia" w:eastAsiaTheme="minorEastAsia"/>
          <w:sz w:val="32"/>
          <w:szCs w:val="32"/>
        </w:rPr>
        <w:t>设   计   人:</w:t>
      </w:r>
      <w:r>
        <w:rPr>
          <w:rFonts w:hint="eastAsia" w:asciiTheme="minorEastAsia" w:hAnsiTheme="minorEastAsia" w:eastAsiaTheme="minorEastAsia"/>
          <w:sz w:val="32"/>
          <w:szCs w:val="32"/>
          <w:u w:val="single"/>
        </w:rPr>
        <w:t xml:space="preserve">                                     </w:t>
      </w: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spacing w:line="360" w:lineRule="exact"/>
        <w:rPr>
          <w:rFonts w:asciiTheme="minorEastAsia" w:hAnsiTheme="minorEastAsia" w:eastAsiaTheme="minorEastAsia"/>
          <w:b/>
          <w:bCs/>
          <w:spacing w:val="20"/>
          <w:sz w:val="36"/>
          <w:szCs w:val="44"/>
        </w:rPr>
      </w:pPr>
      <w:r>
        <w:rPr>
          <w:rFonts w:hint="eastAsia" w:asciiTheme="minorEastAsia" w:hAnsiTheme="minorEastAsia" w:eastAsiaTheme="minorEastAsia"/>
          <w:b/>
          <w:bCs/>
          <w:spacing w:val="20"/>
          <w:sz w:val="36"/>
          <w:szCs w:val="44"/>
        </w:rPr>
        <w:t xml:space="preserve">           中华人民共和国建设部</w:t>
      </w:r>
    </w:p>
    <w:p>
      <w:pPr>
        <w:spacing w:line="360" w:lineRule="exact"/>
        <w:ind w:firstLine="5000" w:firstLineChars="1250"/>
        <w:jc w:val="center"/>
        <w:rPr>
          <w:rFonts w:asciiTheme="minorEastAsia" w:hAnsiTheme="minorEastAsia" w:eastAsiaTheme="minorEastAsia"/>
          <w:b/>
          <w:bCs/>
          <w:spacing w:val="20"/>
          <w:sz w:val="36"/>
          <w:szCs w:val="44"/>
        </w:rPr>
      </w:pPr>
      <w:r>
        <w:rPr>
          <w:rFonts w:hint="eastAsia" w:asciiTheme="minorEastAsia" w:hAnsiTheme="minorEastAsia" w:eastAsiaTheme="minorEastAsia"/>
          <w:b/>
          <w:bCs/>
          <w:spacing w:val="20"/>
          <w:sz w:val="36"/>
          <w:szCs w:val="44"/>
        </w:rPr>
        <w:t>监制</w:t>
      </w:r>
    </w:p>
    <w:p>
      <w:pPr>
        <w:spacing w:line="360" w:lineRule="exact"/>
        <w:rPr>
          <w:rFonts w:asciiTheme="minorEastAsia" w:hAnsiTheme="minorEastAsia" w:eastAsiaTheme="minorEastAsia"/>
          <w:b/>
          <w:bCs/>
          <w:spacing w:val="44"/>
          <w:sz w:val="36"/>
          <w:szCs w:val="44"/>
        </w:rPr>
      </w:pPr>
      <w:r>
        <w:rPr>
          <w:rFonts w:hint="eastAsia" w:asciiTheme="minorEastAsia" w:hAnsiTheme="minorEastAsia" w:eastAsiaTheme="minorEastAsia"/>
          <w:b/>
          <w:bCs/>
          <w:spacing w:val="20"/>
          <w:sz w:val="36"/>
          <w:szCs w:val="44"/>
        </w:rPr>
        <w:t xml:space="preserve">           </w:t>
      </w:r>
      <w:r>
        <w:rPr>
          <w:rFonts w:hint="eastAsia" w:asciiTheme="minorEastAsia" w:hAnsiTheme="minorEastAsia" w:eastAsiaTheme="minorEastAsia"/>
          <w:b/>
          <w:bCs/>
          <w:spacing w:val="44"/>
          <w:sz w:val="36"/>
          <w:szCs w:val="44"/>
        </w:rPr>
        <w:t>国家工商行政管理局</w:t>
      </w:r>
    </w:p>
    <w:p>
      <w:pPr>
        <w:spacing w:line="360" w:lineRule="auto"/>
        <w:ind w:firstLine="424" w:firstLineChars="202"/>
        <w:rPr>
          <w:rFonts w:cs="仿宋" w:asciiTheme="minorEastAsia" w:hAnsiTheme="minorEastAsia" w:eastAsiaTheme="minorEastAsia"/>
          <w:bCs/>
          <w:szCs w:val="21"/>
          <w:u w:val="single"/>
        </w:rPr>
      </w:pPr>
      <w:r>
        <w:rPr>
          <w:rFonts w:hint="eastAsia" w:cs="仿宋" w:asciiTheme="minorEastAsia" w:hAnsiTheme="minorEastAsia" w:eastAsiaTheme="minorEastAsia"/>
        </w:rPr>
        <w:br w:type="page"/>
      </w:r>
      <w:r>
        <w:rPr>
          <w:rFonts w:hint="eastAsia" w:cs="仿宋" w:asciiTheme="minorEastAsia" w:hAnsiTheme="minorEastAsia" w:eastAsiaTheme="minorEastAsia"/>
          <w:b/>
          <w:szCs w:val="21"/>
        </w:rPr>
        <w:t>发包人（甲方）：</w:t>
      </w:r>
      <w:r>
        <w:rPr>
          <w:rFonts w:hint="eastAsia" w:cs="仿宋" w:asciiTheme="minorEastAsia" w:hAnsiTheme="minorEastAsia" w:eastAsiaTheme="minorEastAsia"/>
          <w:bCs/>
          <w:szCs w:val="21"/>
          <w:u w:val="single"/>
        </w:rPr>
        <w:t>湖南岳麓经济开发有限责任公司</w:t>
      </w:r>
    </w:p>
    <w:p>
      <w:pPr>
        <w:adjustRightInd w:val="0"/>
        <w:spacing w:line="360" w:lineRule="auto"/>
        <w:ind w:firstLine="420" w:firstLineChars="200"/>
        <w:rPr>
          <w:rFonts w:cs="仿宋" w:asciiTheme="minorEastAsia" w:hAnsiTheme="minorEastAsia" w:eastAsiaTheme="minorEastAsia"/>
          <w:bCs/>
          <w:szCs w:val="21"/>
          <w:u w:val="single"/>
        </w:rPr>
      </w:pPr>
      <w:r>
        <w:rPr>
          <w:rFonts w:hint="eastAsia" w:cs="仿宋" w:asciiTheme="minorEastAsia" w:hAnsiTheme="minorEastAsia" w:eastAsiaTheme="minorEastAsia"/>
          <w:b/>
          <w:bCs/>
          <w:szCs w:val="21"/>
        </w:rPr>
        <w:t>设计人（乙方）</w:t>
      </w:r>
      <w:r>
        <w:rPr>
          <w:rFonts w:hint="eastAsia" w:cs="仿宋" w:asciiTheme="minorEastAsia" w:hAnsiTheme="minorEastAsia" w:eastAsiaTheme="minorEastAsia"/>
          <w:b/>
          <w:szCs w:val="21"/>
        </w:rPr>
        <w:t>：</w:t>
      </w:r>
      <w:r>
        <w:rPr>
          <w:rFonts w:hint="eastAsia" w:cs="仿宋" w:asciiTheme="minorEastAsia" w:hAnsiTheme="minorEastAsia" w:eastAsiaTheme="minorEastAsia"/>
          <w:bCs/>
          <w:szCs w:val="21"/>
          <w:u w:val="single"/>
        </w:rPr>
        <w:t xml:space="preserve">                                </w:t>
      </w:r>
    </w:p>
    <w:p>
      <w:pPr>
        <w:adjustRightInd w:val="0"/>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地址：</w:t>
      </w:r>
      <w:r>
        <w:rPr>
          <w:rFonts w:hint="eastAsia" w:cs="仿宋" w:asciiTheme="minorEastAsia" w:hAnsiTheme="minorEastAsia" w:eastAsiaTheme="minorEastAsia"/>
          <w:szCs w:val="21"/>
          <w:u w:val="single"/>
        </w:rPr>
        <w:t xml:space="preserve">                       </w:t>
      </w:r>
    </w:p>
    <w:p>
      <w:pPr>
        <w:spacing w:line="360" w:lineRule="auto"/>
        <w:ind w:firstLine="420" w:firstLineChars="200"/>
        <w:rPr>
          <w:rFonts w:cs="仿宋" w:asciiTheme="minorEastAsia" w:hAnsiTheme="minorEastAsia" w:eastAsiaTheme="minorEastAsia"/>
          <w:szCs w:val="21"/>
          <w:u w:val="single"/>
        </w:rPr>
      </w:pPr>
      <w:r>
        <w:rPr>
          <w:rFonts w:hint="eastAsia" w:cs="仿宋" w:asciiTheme="minorEastAsia" w:hAnsiTheme="minorEastAsia" w:eastAsiaTheme="minorEastAsia"/>
          <w:szCs w:val="21"/>
        </w:rPr>
        <w:t>法定代表人：</w:t>
      </w:r>
      <w:r>
        <w:rPr>
          <w:rFonts w:hint="eastAsia" w:cs="仿宋" w:asciiTheme="minorEastAsia" w:hAnsiTheme="minorEastAsia" w:eastAsiaTheme="minorEastAsia"/>
          <w:szCs w:val="21"/>
          <w:u w:val="single"/>
        </w:rPr>
        <w:t xml:space="preserve">         </w:t>
      </w:r>
    </w:p>
    <w:p>
      <w:pPr>
        <w:spacing w:line="360" w:lineRule="auto"/>
        <w:ind w:firstLine="436" w:firstLineChars="200"/>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发包人委托设计人承担</w:t>
      </w:r>
      <w:r>
        <w:rPr>
          <w:rFonts w:hint="eastAsia" w:cs="仿宋" w:asciiTheme="minorEastAsia" w:hAnsiTheme="minorEastAsia" w:eastAsiaTheme="minorEastAsia"/>
          <w:spacing w:val="4"/>
          <w:szCs w:val="21"/>
          <w:u w:val="single"/>
        </w:rPr>
        <w:t>078县道（绕城高速—象嘴路）电力埋管项目、云栖路（含浦大道—象嘴路）电力埋管项目设计服务</w:t>
      </w:r>
      <w:r>
        <w:rPr>
          <w:rFonts w:hint="eastAsia" w:cs="仿宋" w:asciiTheme="minorEastAsia" w:hAnsiTheme="minorEastAsia" w:eastAsiaTheme="minorEastAsia"/>
          <w:spacing w:val="4"/>
          <w:szCs w:val="21"/>
        </w:rPr>
        <w:t>，经双方协商一致，签订本合同。</w:t>
      </w:r>
    </w:p>
    <w:p>
      <w:pPr>
        <w:spacing w:line="360" w:lineRule="auto"/>
        <w:ind w:firstLine="436" w:firstLineChars="200"/>
        <w:rPr>
          <w:rFonts w:cs="仿宋" w:asciiTheme="minorEastAsia" w:hAnsiTheme="minorEastAsia" w:eastAsiaTheme="minorEastAsia"/>
          <w:spacing w:val="4"/>
          <w:szCs w:val="21"/>
        </w:rPr>
      </w:pPr>
      <w:r>
        <w:rPr>
          <w:rFonts w:hint="eastAsia" w:cs="仿宋" w:asciiTheme="minorEastAsia" w:hAnsiTheme="minorEastAsia" w:eastAsiaTheme="minorEastAsia"/>
          <w:b/>
          <w:spacing w:val="4"/>
          <w:szCs w:val="21"/>
        </w:rPr>
        <w:t>第一条</w:t>
      </w:r>
      <w:r>
        <w:rPr>
          <w:rFonts w:hint="eastAsia" w:cs="仿宋" w:asciiTheme="minorEastAsia" w:hAnsiTheme="minorEastAsia" w:eastAsiaTheme="minorEastAsia"/>
          <w:spacing w:val="4"/>
          <w:szCs w:val="21"/>
        </w:rPr>
        <w:t xml:space="preserve">  本合同依据下列文件签订：</w:t>
      </w:r>
    </w:p>
    <w:p>
      <w:pPr>
        <w:spacing w:line="360" w:lineRule="auto"/>
        <w:ind w:firstLine="436" w:firstLineChars="200"/>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1.1《中华人民共和国民法典》、《中华人民共和国建筑法》、《建设工程勘察设计管理条例》等。</w:t>
      </w:r>
    </w:p>
    <w:p>
      <w:pPr>
        <w:spacing w:line="360" w:lineRule="auto"/>
        <w:ind w:firstLine="436" w:firstLineChars="200"/>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1.2国家及地方有关建设工程勘察设计管理法规和规章。</w:t>
      </w:r>
    </w:p>
    <w:p>
      <w:pPr>
        <w:spacing w:line="360" w:lineRule="auto"/>
        <w:ind w:firstLine="436" w:firstLineChars="200"/>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1.3建设工程批准文件。</w:t>
      </w:r>
    </w:p>
    <w:p>
      <w:pPr>
        <w:pStyle w:val="42"/>
        <w:spacing w:before="0" w:beforeAutospacing="0" w:after="0" w:afterAutospacing="0" w:line="360" w:lineRule="auto"/>
        <w:ind w:firstLine="436" w:firstLineChars="200"/>
        <w:rPr>
          <w:rFonts w:cs="仿宋" w:asciiTheme="minorEastAsia" w:hAnsiTheme="minorEastAsia" w:eastAsiaTheme="minorEastAsia"/>
          <w:spacing w:val="4"/>
          <w:sz w:val="21"/>
          <w:szCs w:val="21"/>
        </w:rPr>
      </w:pPr>
      <w:r>
        <w:rPr>
          <w:rFonts w:cs="仿宋" w:asciiTheme="minorEastAsia" w:hAnsiTheme="minorEastAsia" w:eastAsiaTheme="minorEastAsia"/>
          <w:b/>
          <w:spacing w:val="4"/>
          <w:sz w:val="21"/>
          <w:szCs w:val="21"/>
        </w:rPr>
        <w:t>第二条</w:t>
      </w:r>
      <w:r>
        <w:rPr>
          <w:rFonts w:cs="仿宋" w:asciiTheme="minorEastAsia" w:hAnsiTheme="minorEastAsia" w:eastAsiaTheme="minorEastAsia"/>
          <w:spacing w:val="4"/>
          <w:sz w:val="21"/>
          <w:szCs w:val="21"/>
        </w:rPr>
        <w:t xml:space="preserve">  本合同项目的名称、规模及设计任务                               </w:t>
      </w:r>
    </w:p>
    <w:p>
      <w:pPr>
        <w:spacing w:line="360" w:lineRule="auto"/>
        <w:ind w:firstLine="420" w:firstLineChars="200"/>
        <w:rPr>
          <w:rFonts w:cs="仿宋" w:asciiTheme="minorEastAsia" w:hAnsiTheme="minorEastAsia" w:eastAsiaTheme="minorEastAsia"/>
          <w:spacing w:val="4"/>
          <w:szCs w:val="21"/>
        </w:rPr>
      </w:pPr>
      <w:r>
        <w:rPr>
          <w:rFonts w:hint="eastAsia" w:cs="仿宋" w:asciiTheme="minorEastAsia" w:hAnsiTheme="minorEastAsia" w:eastAsiaTheme="minorEastAsia"/>
          <w:kern w:val="0"/>
          <w:szCs w:val="21"/>
        </w:rPr>
        <w:t>项目名称：</w:t>
      </w:r>
      <w:r>
        <w:rPr>
          <w:rFonts w:hint="eastAsia" w:cs="仿宋" w:asciiTheme="minorEastAsia" w:hAnsiTheme="minorEastAsia" w:eastAsiaTheme="minorEastAsia"/>
          <w:spacing w:val="4"/>
          <w:szCs w:val="21"/>
        </w:rPr>
        <w:t>078县道（绕城高速—象嘴路）电力埋管项目、云栖路（含浦大道—象嘴路）电力埋管项目设计服务</w:t>
      </w:r>
    </w:p>
    <w:p>
      <w:pPr>
        <w:spacing w:line="360" w:lineRule="auto"/>
        <w:ind w:firstLine="420" w:firstLineChars="200"/>
        <w:jc w:val="left"/>
        <w:textAlignment w:val="center"/>
        <w:rPr>
          <w:rFonts w:cs="仿宋" w:asciiTheme="minorEastAsia" w:hAnsiTheme="minorEastAsia" w:eastAsiaTheme="minorEastAsia"/>
          <w:spacing w:val="4"/>
          <w:szCs w:val="21"/>
        </w:rPr>
      </w:pPr>
      <w:r>
        <w:rPr>
          <w:rFonts w:hint="eastAsia" w:cs="仿宋" w:asciiTheme="minorEastAsia" w:hAnsiTheme="minorEastAsia" w:eastAsiaTheme="minorEastAsia"/>
          <w:kern w:val="0"/>
          <w:szCs w:val="21"/>
        </w:rPr>
        <w:t>项目</w:t>
      </w:r>
      <w:r>
        <w:rPr>
          <w:rFonts w:hint="eastAsia" w:cs="仿宋" w:asciiTheme="minorEastAsia" w:hAnsiTheme="minorEastAsia" w:eastAsiaTheme="minorEastAsia"/>
          <w:spacing w:val="4"/>
          <w:szCs w:val="21"/>
        </w:rPr>
        <w:t>规模：078县道（绕城高速—象嘴路）电力埋管项目由学士桥变配网出线，沿078县道由绕城高速至象嘴路路段进行敷设，长度约1200米，新建10千伏电力埋管8孔。项目投资估算为900万元，其中项目主要建设内容相对应的工程费用约810万元，相关的其他费用约90万元。</w:t>
      </w:r>
    </w:p>
    <w:p>
      <w:pPr>
        <w:spacing w:line="360" w:lineRule="auto"/>
        <w:ind w:firstLine="436" w:firstLineChars="200"/>
        <w:jc w:val="left"/>
        <w:textAlignment w:val="center"/>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云栖路（含浦大道—象嘴路）电力埋管项目由学士桥变配网出线，沿云栖路由含浦大道至象嘴路路段进行敷设，长度约2200米(同步考虑跨含浦大道横管)，新建10千伏电力埋管24孔。项目投资估算为3000万元，其中项目主要建设内容相对应的工程费用约2700万元，相关的其他费用约300万元。</w:t>
      </w:r>
    </w:p>
    <w:p>
      <w:pPr>
        <w:spacing w:line="360" w:lineRule="auto"/>
        <w:ind w:firstLine="436" w:firstLineChars="200"/>
        <w:jc w:val="left"/>
        <w:textAlignment w:val="center"/>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设计任务：078县道（绕城高速—象嘴路）电力埋管项目、云栖路（含浦大道—象嘴路）电力埋管项目设计服务。主要包含并不限于项目可研、方案设计、初步设计、施工图设计、相关造价文件编制等以及相关施工阶段设计服务。具体如下：</w:t>
      </w:r>
    </w:p>
    <w:p>
      <w:pPr>
        <w:spacing w:line="360" w:lineRule="auto"/>
        <w:ind w:firstLine="436" w:firstLineChars="200"/>
        <w:jc w:val="left"/>
        <w:textAlignment w:val="center"/>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1、设计服务：包括但不限于本电力埋管项目的可研、方案设计、初步设计、施工图设计各阶段所有建设内容涉及的所有专业设计服务；</w:t>
      </w:r>
    </w:p>
    <w:p>
      <w:pPr>
        <w:spacing w:line="360" w:lineRule="auto"/>
        <w:ind w:firstLine="436" w:firstLineChars="200"/>
        <w:jc w:val="left"/>
        <w:textAlignment w:val="center"/>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2、报批报建服务：配合发包人向政府主管部门报审设计文件等管理程序必需的技术文件，并按发包人要求准备汇报材料等；并及时按相关主管部门和采购人要求进行修改完善相关报批报建文件，配合完成相关审批程序。</w:t>
      </w:r>
    </w:p>
    <w:p>
      <w:pPr>
        <w:spacing w:line="360" w:lineRule="auto"/>
        <w:ind w:firstLine="436" w:firstLineChars="200"/>
        <w:jc w:val="left"/>
        <w:textAlignment w:val="center"/>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3、施工阶段设计服务：施工现场设计服务以及缺陷责任期设计服务等相关服务工作且各阶段设计成果应符合相关规范要求。</w:t>
      </w:r>
    </w:p>
    <w:p>
      <w:pPr>
        <w:spacing w:line="360" w:lineRule="auto"/>
        <w:ind w:firstLine="436" w:firstLineChars="200"/>
        <w:jc w:val="left"/>
        <w:textAlignment w:val="center"/>
        <w:rPr>
          <w:rFonts w:cs="仿宋" w:asciiTheme="minorEastAsia" w:hAnsiTheme="minorEastAsia" w:eastAsiaTheme="minorEastAsia"/>
          <w:spacing w:val="4"/>
          <w:szCs w:val="21"/>
        </w:rPr>
      </w:pPr>
      <w:r>
        <w:rPr>
          <w:rFonts w:hint="eastAsia" w:cs="仿宋" w:asciiTheme="minorEastAsia" w:hAnsiTheme="minorEastAsia" w:eastAsiaTheme="minorEastAsia"/>
          <w:spacing w:val="4"/>
          <w:szCs w:val="21"/>
        </w:rPr>
        <w:t>4、设计人须负责在项目报批过程中无偿按相关主管部门和发包人要求进行修改完善，配合发包人完成审批。</w:t>
      </w:r>
    </w:p>
    <w:p>
      <w:pPr>
        <w:spacing w:line="360" w:lineRule="auto"/>
        <w:ind w:firstLine="436" w:firstLineChars="200"/>
        <w:rPr>
          <w:rFonts w:cs="仿宋" w:asciiTheme="minorEastAsia" w:hAnsiTheme="minorEastAsia" w:eastAsiaTheme="minorEastAsia"/>
          <w:szCs w:val="21"/>
        </w:rPr>
      </w:pPr>
      <w:r>
        <w:rPr>
          <w:rFonts w:hint="eastAsia" w:cs="仿宋" w:asciiTheme="minorEastAsia" w:hAnsiTheme="minorEastAsia" w:eastAsiaTheme="minorEastAsia"/>
          <w:b/>
          <w:spacing w:val="4"/>
          <w:szCs w:val="21"/>
        </w:rPr>
        <w:t>第三条</w:t>
      </w:r>
      <w:r>
        <w:rPr>
          <w:rFonts w:hint="eastAsia" w:cs="仿宋" w:asciiTheme="minorEastAsia" w:hAnsiTheme="minorEastAsia" w:eastAsiaTheme="minorEastAsia"/>
          <w:szCs w:val="21"/>
        </w:rPr>
        <w:t xml:space="preserve">  发包人应向设计人提交的有关资料及文件</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552"/>
        <w:gridCol w:w="843"/>
        <w:gridCol w:w="2133"/>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98"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255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资料及文件名称</w:t>
            </w:r>
          </w:p>
        </w:tc>
        <w:tc>
          <w:tcPr>
            <w:tcW w:w="843"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份数</w:t>
            </w:r>
          </w:p>
        </w:tc>
        <w:tc>
          <w:tcPr>
            <w:tcW w:w="2133"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提交日期</w:t>
            </w:r>
          </w:p>
        </w:tc>
        <w:tc>
          <w:tcPr>
            <w:tcW w:w="156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98"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255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上级相关批文及文件</w:t>
            </w:r>
          </w:p>
        </w:tc>
        <w:tc>
          <w:tcPr>
            <w:tcW w:w="843"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1</w:t>
            </w:r>
          </w:p>
        </w:tc>
        <w:tc>
          <w:tcPr>
            <w:tcW w:w="2133" w:type="dxa"/>
            <w:vMerge w:val="restar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满足工程进度需要</w:t>
            </w:r>
          </w:p>
        </w:tc>
        <w:tc>
          <w:tcPr>
            <w:tcW w:w="1561" w:type="dxa"/>
            <w:vMerge w:val="restart"/>
            <w:vAlign w:val="center"/>
          </w:tcPr>
          <w:p>
            <w:pPr>
              <w:spacing w:line="360" w:lineRule="auto"/>
              <w:jc w:val="center"/>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98"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255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规划、测量及检测资料</w:t>
            </w:r>
          </w:p>
        </w:tc>
        <w:tc>
          <w:tcPr>
            <w:tcW w:w="843"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1</w:t>
            </w:r>
          </w:p>
        </w:tc>
        <w:tc>
          <w:tcPr>
            <w:tcW w:w="2133" w:type="dxa"/>
            <w:vMerge w:val="continue"/>
            <w:vAlign w:val="center"/>
          </w:tcPr>
          <w:p>
            <w:pPr>
              <w:spacing w:line="360" w:lineRule="auto"/>
              <w:jc w:val="center"/>
              <w:rPr>
                <w:rFonts w:cs="仿宋" w:asciiTheme="minorEastAsia" w:hAnsiTheme="minorEastAsia" w:eastAsiaTheme="minorEastAsia"/>
                <w:szCs w:val="21"/>
              </w:rPr>
            </w:pPr>
          </w:p>
        </w:tc>
        <w:tc>
          <w:tcPr>
            <w:tcW w:w="1561" w:type="dxa"/>
            <w:vMerge w:val="continue"/>
            <w:vAlign w:val="center"/>
          </w:tcPr>
          <w:p>
            <w:pPr>
              <w:spacing w:line="360" w:lineRule="auto"/>
              <w:jc w:val="center"/>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98"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255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现状地形图及原道路施工图或竣工资料</w:t>
            </w:r>
          </w:p>
        </w:tc>
        <w:tc>
          <w:tcPr>
            <w:tcW w:w="843"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2133" w:type="dxa"/>
            <w:vMerge w:val="continue"/>
            <w:vAlign w:val="center"/>
          </w:tcPr>
          <w:p>
            <w:pPr>
              <w:spacing w:line="360" w:lineRule="auto"/>
              <w:jc w:val="center"/>
              <w:rPr>
                <w:rFonts w:cs="仿宋" w:asciiTheme="minorEastAsia" w:hAnsiTheme="minorEastAsia" w:eastAsiaTheme="minorEastAsia"/>
                <w:szCs w:val="21"/>
              </w:rPr>
            </w:pPr>
          </w:p>
        </w:tc>
        <w:tc>
          <w:tcPr>
            <w:tcW w:w="1561" w:type="dxa"/>
            <w:vMerge w:val="continue"/>
            <w:vAlign w:val="center"/>
          </w:tcPr>
          <w:p>
            <w:pPr>
              <w:spacing w:line="360" w:lineRule="auto"/>
              <w:jc w:val="center"/>
              <w:rPr>
                <w:rFonts w:cs="仿宋" w:asciiTheme="minorEastAsia" w:hAnsiTheme="minorEastAsia" w:eastAsiaTheme="minorEastAsia"/>
                <w:szCs w:val="21"/>
              </w:rPr>
            </w:pPr>
          </w:p>
        </w:tc>
      </w:tr>
    </w:tbl>
    <w:p>
      <w:pPr>
        <w:spacing w:line="360" w:lineRule="auto"/>
        <w:ind w:firstLine="436" w:firstLineChars="200"/>
        <w:rPr>
          <w:rFonts w:cs="仿宋" w:asciiTheme="minorEastAsia" w:hAnsiTheme="minorEastAsia" w:eastAsiaTheme="minorEastAsia"/>
          <w:szCs w:val="21"/>
        </w:rPr>
      </w:pPr>
      <w:r>
        <w:rPr>
          <w:rFonts w:hint="eastAsia" w:cs="仿宋" w:asciiTheme="minorEastAsia" w:hAnsiTheme="minorEastAsia" w:eastAsiaTheme="minorEastAsia"/>
          <w:b/>
          <w:spacing w:val="4"/>
          <w:szCs w:val="21"/>
        </w:rPr>
        <w:t>第四条</w:t>
      </w:r>
      <w:r>
        <w:rPr>
          <w:rFonts w:hint="eastAsia" w:cs="仿宋" w:asciiTheme="minorEastAsia" w:hAnsiTheme="minorEastAsia" w:eastAsiaTheme="minorEastAsia"/>
          <w:b/>
          <w:szCs w:val="21"/>
        </w:rPr>
        <w:t xml:space="preserve">  </w:t>
      </w:r>
      <w:r>
        <w:rPr>
          <w:rFonts w:hint="eastAsia" w:cs="仿宋" w:asciiTheme="minorEastAsia" w:hAnsiTheme="minorEastAsia" w:eastAsiaTheme="minorEastAsia"/>
          <w:szCs w:val="21"/>
        </w:rPr>
        <w:t>设计人应向发包人交付的设计资料及文件</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552"/>
        <w:gridCol w:w="850"/>
        <w:gridCol w:w="209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255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资料及文件名称</w:t>
            </w:r>
          </w:p>
        </w:tc>
        <w:tc>
          <w:tcPr>
            <w:tcW w:w="850"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份数</w:t>
            </w:r>
          </w:p>
        </w:tc>
        <w:tc>
          <w:tcPr>
            <w:tcW w:w="2098"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提交日期</w:t>
            </w:r>
          </w:p>
        </w:tc>
        <w:tc>
          <w:tcPr>
            <w:tcW w:w="1604"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1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2552" w:type="dxa"/>
            <w:vAlign w:val="center"/>
          </w:tcPr>
          <w:p>
            <w:pPr>
              <w:spacing w:line="0" w:lineRule="atLeast"/>
              <w:rPr>
                <w:rFonts w:cs="仿宋_GB2312" w:asciiTheme="minorEastAsia" w:hAnsiTheme="minorEastAsia" w:eastAsiaTheme="minorEastAsia"/>
                <w:szCs w:val="21"/>
              </w:rPr>
            </w:pPr>
            <w:r>
              <w:rPr>
                <w:rFonts w:hint="eastAsia" w:cs="仿宋_GB2312" w:asciiTheme="minorEastAsia" w:hAnsiTheme="minorEastAsia" w:eastAsiaTheme="minorEastAsia"/>
                <w:szCs w:val="21"/>
              </w:rPr>
              <w:t>方案设计文件（含CAD版）</w:t>
            </w:r>
          </w:p>
        </w:tc>
        <w:tc>
          <w:tcPr>
            <w:tcW w:w="850" w:type="dxa"/>
            <w:vAlign w:val="center"/>
          </w:tcPr>
          <w:p>
            <w:pPr>
              <w:spacing w:line="0" w:lineRule="atLeast"/>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8</w:t>
            </w:r>
          </w:p>
        </w:tc>
        <w:tc>
          <w:tcPr>
            <w:tcW w:w="2098" w:type="dxa"/>
            <w:vAlign w:val="center"/>
          </w:tcPr>
          <w:p>
            <w:pPr>
              <w:spacing w:line="0" w:lineRule="atLeast"/>
              <w:rPr>
                <w:rFonts w:cs="仿宋_GB2312" w:asciiTheme="minorEastAsia" w:hAnsiTheme="minorEastAsia" w:eastAsiaTheme="minorEastAsia"/>
                <w:szCs w:val="21"/>
              </w:rPr>
            </w:pPr>
            <w:r>
              <w:rPr>
                <w:rFonts w:hint="eastAsia" w:cs="仿宋_GB2312" w:asciiTheme="minorEastAsia" w:hAnsiTheme="minorEastAsia" w:eastAsiaTheme="minorEastAsia"/>
                <w:szCs w:val="21"/>
              </w:rPr>
              <w:t>满足甲方工期要求</w:t>
            </w:r>
          </w:p>
        </w:tc>
        <w:tc>
          <w:tcPr>
            <w:tcW w:w="1604" w:type="dxa"/>
            <w:vAlign w:val="center"/>
          </w:tcPr>
          <w:p>
            <w:pPr>
              <w:spacing w:line="360" w:lineRule="auto"/>
              <w:jc w:val="center"/>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1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2552" w:type="dxa"/>
            <w:vAlign w:val="center"/>
          </w:tcPr>
          <w:p>
            <w:pPr>
              <w:spacing w:line="0" w:lineRule="atLeast"/>
              <w:rPr>
                <w:rFonts w:cs="仿宋_GB2312" w:asciiTheme="minorEastAsia" w:hAnsiTheme="minorEastAsia" w:eastAsiaTheme="minorEastAsia"/>
                <w:szCs w:val="21"/>
              </w:rPr>
            </w:pPr>
            <w:r>
              <w:rPr>
                <w:rFonts w:hint="eastAsia" w:cs="仿宋_GB2312" w:asciiTheme="minorEastAsia" w:hAnsiTheme="minorEastAsia" w:eastAsiaTheme="minorEastAsia"/>
                <w:szCs w:val="21"/>
              </w:rPr>
              <w:t>可研编制文件（含CAD版）</w:t>
            </w:r>
          </w:p>
        </w:tc>
        <w:tc>
          <w:tcPr>
            <w:tcW w:w="850" w:type="dxa"/>
            <w:vAlign w:val="center"/>
          </w:tcPr>
          <w:p>
            <w:pPr>
              <w:spacing w:line="0" w:lineRule="atLeast"/>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8</w:t>
            </w:r>
          </w:p>
        </w:tc>
        <w:tc>
          <w:tcPr>
            <w:tcW w:w="2098" w:type="dxa"/>
            <w:vAlign w:val="center"/>
          </w:tcPr>
          <w:p>
            <w:pPr>
              <w:spacing w:line="0" w:lineRule="atLeast"/>
              <w:rPr>
                <w:rFonts w:cs="仿宋_GB2312" w:asciiTheme="minorEastAsia" w:hAnsiTheme="minorEastAsia" w:eastAsiaTheme="minorEastAsia"/>
                <w:szCs w:val="21"/>
              </w:rPr>
            </w:pPr>
            <w:r>
              <w:rPr>
                <w:rFonts w:hint="eastAsia" w:cs="仿宋_GB2312" w:asciiTheme="minorEastAsia" w:hAnsiTheme="minorEastAsia" w:eastAsiaTheme="minorEastAsia"/>
                <w:szCs w:val="21"/>
              </w:rPr>
              <w:t>满足甲方工期要求</w:t>
            </w:r>
          </w:p>
        </w:tc>
        <w:tc>
          <w:tcPr>
            <w:tcW w:w="1604" w:type="dxa"/>
            <w:vAlign w:val="center"/>
          </w:tcPr>
          <w:p>
            <w:pPr>
              <w:spacing w:line="360" w:lineRule="auto"/>
              <w:jc w:val="center"/>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1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2552" w:type="dxa"/>
            <w:vAlign w:val="center"/>
          </w:tcPr>
          <w:p>
            <w:pPr>
              <w:spacing w:line="0" w:lineRule="atLeast"/>
              <w:rPr>
                <w:rFonts w:cs="仿宋_GB2312" w:asciiTheme="minorEastAsia" w:hAnsiTheme="minorEastAsia" w:eastAsiaTheme="minorEastAsia"/>
                <w:szCs w:val="21"/>
              </w:rPr>
            </w:pPr>
            <w:r>
              <w:rPr>
                <w:rFonts w:hint="eastAsia" w:cs="仿宋_GB2312" w:asciiTheme="minorEastAsia" w:hAnsiTheme="minorEastAsia" w:eastAsiaTheme="minorEastAsia"/>
                <w:szCs w:val="21"/>
              </w:rPr>
              <w:t>初步设计文件（含CAD版）</w:t>
            </w:r>
          </w:p>
        </w:tc>
        <w:tc>
          <w:tcPr>
            <w:tcW w:w="850" w:type="dxa"/>
            <w:vAlign w:val="center"/>
          </w:tcPr>
          <w:p>
            <w:pPr>
              <w:spacing w:line="0" w:lineRule="atLeast"/>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8</w:t>
            </w:r>
          </w:p>
        </w:tc>
        <w:tc>
          <w:tcPr>
            <w:tcW w:w="2098" w:type="dxa"/>
            <w:vAlign w:val="center"/>
          </w:tcPr>
          <w:p>
            <w:pPr>
              <w:spacing w:line="0" w:lineRule="atLeast"/>
              <w:rPr>
                <w:rFonts w:cs="仿宋_GB2312" w:asciiTheme="minorEastAsia" w:hAnsiTheme="minorEastAsia" w:eastAsiaTheme="minorEastAsia"/>
                <w:szCs w:val="21"/>
              </w:rPr>
            </w:pPr>
            <w:r>
              <w:rPr>
                <w:rFonts w:hint="eastAsia" w:cs="仿宋_GB2312" w:asciiTheme="minorEastAsia" w:hAnsiTheme="minorEastAsia" w:eastAsiaTheme="minorEastAsia"/>
                <w:szCs w:val="21"/>
              </w:rPr>
              <w:t>满足甲方工期要求</w:t>
            </w:r>
          </w:p>
        </w:tc>
        <w:tc>
          <w:tcPr>
            <w:tcW w:w="1604" w:type="dxa"/>
            <w:vAlign w:val="center"/>
          </w:tcPr>
          <w:p>
            <w:pPr>
              <w:spacing w:line="360" w:lineRule="auto"/>
              <w:jc w:val="center"/>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12"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2552" w:type="dxa"/>
            <w:vAlign w:val="center"/>
          </w:tcPr>
          <w:p>
            <w:pPr>
              <w:spacing w:line="0" w:lineRule="atLeast"/>
              <w:rPr>
                <w:rFonts w:cs="仿宋_GB2312" w:asciiTheme="minorEastAsia" w:hAnsiTheme="minorEastAsia" w:eastAsiaTheme="minorEastAsia"/>
                <w:szCs w:val="21"/>
              </w:rPr>
            </w:pPr>
            <w:r>
              <w:rPr>
                <w:rFonts w:hint="eastAsia" w:cs="仿宋_GB2312" w:asciiTheme="minorEastAsia" w:hAnsiTheme="minorEastAsia" w:eastAsiaTheme="minorEastAsia"/>
                <w:szCs w:val="21"/>
              </w:rPr>
              <w:t>施工图设计文件</w:t>
            </w:r>
          </w:p>
        </w:tc>
        <w:tc>
          <w:tcPr>
            <w:tcW w:w="850" w:type="dxa"/>
            <w:vAlign w:val="center"/>
          </w:tcPr>
          <w:p>
            <w:pPr>
              <w:spacing w:line="0" w:lineRule="atLeast"/>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8</w:t>
            </w:r>
          </w:p>
        </w:tc>
        <w:tc>
          <w:tcPr>
            <w:tcW w:w="2098" w:type="dxa"/>
            <w:vAlign w:val="center"/>
          </w:tcPr>
          <w:p>
            <w:pPr>
              <w:spacing w:line="0" w:lineRule="atLeast"/>
              <w:rPr>
                <w:rFonts w:cs="仿宋_GB2312" w:asciiTheme="minorEastAsia" w:hAnsiTheme="minorEastAsia" w:eastAsiaTheme="minorEastAsia"/>
                <w:szCs w:val="21"/>
              </w:rPr>
            </w:pPr>
            <w:r>
              <w:rPr>
                <w:rFonts w:hint="eastAsia" w:cs="仿宋_GB2312" w:asciiTheme="minorEastAsia" w:hAnsiTheme="minorEastAsia" w:eastAsiaTheme="minorEastAsia"/>
                <w:szCs w:val="21"/>
              </w:rPr>
              <w:t>满足甲方工期要求</w:t>
            </w:r>
          </w:p>
        </w:tc>
        <w:tc>
          <w:tcPr>
            <w:tcW w:w="1604" w:type="dxa"/>
            <w:vAlign w:val="center"/>
          </w:tcPr>
          <w:p>
            <w:pPr>
              <w:spacing w:line="360" w:lineRule="auto"/>
              <w:jc w:val="center"/>
              <w:rPr>
                <w:rFonts w:cs="仿宋" w:asciiTheme="minorEastAsia" w:hAnsiTheme="minorEastAsia" w:eastAsiaTheme="minorEastAsia"/>
                <w:szCs w:val="21"/>
              </w:rPr>
            </w:pPr>
          </w:p>
        </w:tc>
      </w:tr>
    </w:tbl>
    <w:p>
      <w:pPr>
        <w:pStyle w:val="66"/>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lang w:eastAsia="zh-Hans"/>
        </w:rPr>
        <w:t>中标（成交）通知书发出后5天内完成可研报告编制，可研报告编制完成后10天内完成方案设计；方案设计通过后15天内完成初步设计、概算编制；初步设计通过后20天内完成施工图设计。</w:t>
      </w:r>
    </w:p>
    <w:p>
      <w:pPr>
        <w:pStyle w:val="42"/>
        <w:numPr>
          <w:ilvl w:val="0"/>
          <w:numId w:val="3"/>
        </w:numPr>
        <w:snapToGrid w:val="0"/>
        <w:spacing w:before="0" w:beforeAutospacing="0" w:after="0" w:afterAutospacing="0" w:line="360" w:lineRule="auto"/>
        <w:ind w:firstLine="420" w:firstLineChars="200"/>
        <w:rPr>
          <w:rFonts w:cs="仿宋" w:asciiTheme="minorEastAsia" w:hAnsiTheme="minorEastAsia" w:eastAsiaTheme="minorEastAsia"/>
          <w:sz w:val="21"/>
          <w:szCs w:val="21"/>
          <w:lang w:eastAsia="zh-Hans"/>
        </w:rPr>
      </w:pPr>
      <w:r>
        <w:rPr>
          <w:rFonts w:hint="eastAsia" w:cs="仿宋" w:asciiTheme="minorEastAsia" w:hAnsiTheme="minorEastAsia" w:eastAsiaTheme="minorEastAsia"/>
          <w:kern w:val="2"/>
          <w:sz w:val="21"/>
          <w:szCs w:val="21"/>
        </w:rPr>
        <w:t>合同价款及支付方式</w:t>
      </w:r>
      <w:r>
        <w:rPr>
          <w:rFonts w:cs="仿宋" w:asciiTheme="minorEastAsia" w:hAnsiTheme="minorEastAsia" w:eastAsiaTheme="minorEastAsia"/>
          <w:sz w:val="21"/>
          <w:szCs w:val="21"/>
          <w:lang w:eastAsia="zh-Hans"/>
        </w:rPr>
        <w:t xml:space="preserve"> </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5.1本合同的暂定价为 ¥</w:t>
      </w:r>
      <w:r>
        <w:rPr>
          <w:rFonts w:hint="eastAsia" w:cs="仿宋" w:asciiTheme="minorEastAsia" w:hAnsiTheme="minorEastAsia" w:eastAsiaTheme="minorEastAsia"/>
          <w:sz w:val="21"/>
          <w:szCs w:val="21"/>
          <w:u w:val="single"/>
        </w:rPr>
        <w:t xml:space="preserve">     </w:t>
      </w:r>
      <w:r>
        <w:rPr>
          <w:rFonts w:hint="eastAsia" w:cs="仿宋" w:asciiTheme="minorEastAsia" w:hAnsiTheme="minorEastAsia" w:eastAsiaTheme="minorEastAsia"/>
          <w:sz w:val="21"/>
          <w:szCs w:val="21"/>
        </w:rPr>
        <w:t>元（大写 人民币</w:t>
      </w:r>
      <w:r>
        <w:rPr>
          <w:rFonts w:hint="eastAsia" w:cs="仿宋" w:asciiTheme="minorEastAsia" w:hAnsiTheme="minorEastAsia" w:eastAsiaTheme="minorEastAsia"/>
          <w:sz w:val="21"/>
          <w:szCs w:val="21"/>
          <w:u w:val="single"/>
        </w:rPr>
        <w:t xml:space="preserve">      </w:t>
      </w:r>
      <w:r>
        <w:rPr>
          <w:rFonts w:hint="eastAsia" w:cs="仿宋" w:asciiTheme="minorEastAsia" w:hAnsiTheme="minorEastAsia" w:eastAsiaTheme="minorEastAsia"/>
          <w:sz w:val="21"/>
          <w:szCs w:val="21"/>
        </w:rPr>
        <w:t>）。其中不含税金额为¥</w:t>
      </w:r>
      <w:r>
        <w:rPr>
          <w:rFonts w:hint="eastAsia" w:cs="仿宋" w:asciiTheme="minorEastAsia" w:hAnsiTheme="minorEastAsia" w:eastAsiaTheme="minorEastAsia"/>
          <w:sz w:val="21"/>
          <w:szCs w:val="21"/>
          <w:u w:val="single"/>
        </w:rPr>
        <w:t xml:space="preserve">     </w:t>
      </w:r>
      <w:r>
        <w:rPr>
          <w:rFonts w:hint="eastAsia" w:cs="仿宋" w:asciiTheme="minorEastAsia" w:hAnsiTheme="minorEastAsia" w:eastAsiaTheme="minorEastAsia"/>
          <w:sz w:val="21"/>
          <w:szCs w:val="21"/>
        </w:rPr>
        <w:t>元，税金为¥</w:t>
      </w:r>
      <w:r>
        <w:rPr>
          <w:rFonts w:hint="eastAsia" w:cs="仿宋" w:asciiTheme="minorEastAsia" w:hAnsiTheme="minorEastAsia" w:eastAsiaTheme="minorEastAsia"/>
          <w:sz w:val="21"/>
          <w:szCs w:val="21"/>
          <w:u w:val="single"/>
        </w:rPr>
        <w:t xml:space="preserve">    </w:t>
      </w:r>
      <w:r>
        <w:rPr>
          <w:rFonts w:hint="eastAsia" w:cs="仿宋" w:asciiTheme="minorEastAsia" w:hAnsiTheme="minorEastAsia" w:eastAsiaTheme="minorEastAsia"/>
          <w:sz w:val="21"/>
          <w:szCs w:val="21"/>
        </w:rPr>
        <w:t>元，税率：</w:t>
      </w:r>
      <w:r>
        <w:rPr>
          <w:rFonts w:hint="eastAsia" w:cs="仿宋" w:asciiTheme="minorEastAsia" w:hAnsiTheme="minorEastAsia" w:eastAsiaTheme="minorEastAsia"/>
          <w:sz w:val="21"/>
          <w:szCs w:val="21"/>
          <w:u w:val="single"/>
        </w:rPr>
        <w:t xml:space="preserve">    </w:t>
      </w:r>
      <w:r>
        <w:rPr>
          <w:rFonts w:hint="eastAsia" w:cs="仿宋" w:asciiTheme="minorEastAsia" w:hAnsiTheme="minorEastAsia" w:eastAsiaTheme="minorEastAsia"/>
          <w:sz w:val="21"/>
          <w:szCs w:val="21"/>
        </w:rPr>
        <w:t>% 。总费用按长财评综【2022】14号文并结合中标优惠率</w:t>
      </w:r>
      <w:r>
        <w:rPr>
          <w:rFonts w:hint="eastAsia" w:cs="仿宋" w:asciiTheme="minorEastAsia" w:hAnsiTheme="minorEastAsia" w:eastAsiaTheme="minorEastAsia"/>
          <w:sz w:val="21"/>
          <w:szCs w:val="21"/>
          <w:u w:val="single"/>
        </w:rPr>
        <w:t xml:space="preserve">   </w:t>
      </w:r>
      <w:r>
        <w:rPr>
          <w:rFonts w:hint="eastAsia" w:cs="仿宋" w:asciiTheme="minorEastAsia" w:hAnsiTheme="minorEastAsia" w:eastAsiaTheme="minorEastAsia"/>
          <w:sz w:val="21"/>
          <w:szCs w:val="21"/>
        </w:rPr>
        <w:t>%计算，最终结算计费额为施工图预算，如没有则以工程最终结算为准。总费用最终结算金额不超过65.4万元。专业调整系数取1.0。复杂系数取0.85，附加调整系数取1.0，设计阶段合并简化为一阶段取0.8系数。</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bookmarkStart w:id="15" w:name="_Hlk133500417"/>
      <w:r>
        <w:rPr>
          <w:rFonts w:hint="eastAsia" w:cs="仿宋" w:asciiTheme="minorEastAsia" w:hAnsiTheme="minorEastAsia" w:eastAsiaTheme="minorEastAsia"/>
          <w:sz w:val="21"/>
          <w:szCs w:val="21"/>
        </w:rPr>
        <w:t>5.2</w:t>
      </w:r>
      <w:r>
        <w:rPr>
          <w:rFonts w:cs="仿宋" w:asciiTheme="minorEastAsia" w:hAnsiTheme="minorEastAsia" w:eastAsiaTheme="minorEastAsia"/>
          <w:sz w:val="21"/>
          <w:szCs w:val="21"/>
        </w:rPr>
        <w:t>付款方式：</w:t>
      </w:r>
    </w:p>
    <w:bookmarkEnd w:id="15"/>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①全部施工图审查通过后付至总费用的70%。</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②工程竣工验收后付至总费用的85%。</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③余款待工程结算审计完成，总费用通过结算审核后一次性付清。</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5.3设计人应当在发包人付款前按发包人要求提供等额合法增值税专用发票，发包人凭票付款，否则发包人有权延期付款且无须承担迟延付款的违约责任。</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发包人开票信息：湖南岳麓经济开发有限责任公司</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纳税人识别号：91430100794712201H</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开户行：湖南湘江新区农村商业银行联丰支行</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银行账号：8201 0500 0000 4376 2</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地址：长沙市岳麓区学士路336号湖南检验检测特色产业园A1栋</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电话：88532200</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设计人收款账户信息：</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纳税人识别号：</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开户行：</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银行账号：</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地址：</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电话：</w:t>
      </w:r>
    </w:p>
    <w:p>
      <w:pPr>
        <w:spacing w:line="360" w:lineRule="auto"/>
        <w:ind w:firstLine="436" w:firstLineChars="200"/>
        <w:rPr>
          <w:rFonts w:cs="仿宋" w:asciiTheme="minorEastAsia" w:hAnsiTheme="minorEastAsia" w:eastAsiaTheme="minorEastAsia"/>
          <w:b/>
          <w:szCs w:val="21"/>
        </w:rPr>
      </w:pPr>
      <w:r>
        <w:rPr>
          <w:rFonts w:hint="eastAsia" w:cs="仿宋" w:asciiTheme="minorEastAsia" w:hAnsiTheme="minorEastAsia" w:eastAsiaTheme="minorEastAsia"/>
          <w:b/>
          <w:spacing w:val="4"/>
          <w:szCs w:val="21"/>
        </w:rPr>
        <w:t>第六条</w:t>
      </w:r>
      <w:r>
        <w:rPr>
          <w:rFonts w:hint="eastAsia" w:cs="仿宋" w:asciiTheme="minorEastAsia" w:hAnsiTheme="minorEastAsia" w:eastAsiaTheme="minorEastAsia"/>
          <w:b/>
          <w:szCs w:val="21"/>
        </w:rPr>
        <w:t xml:space="preserve">  双方责任</w:t>
      </w:r>
    </w:p>
    <w:p>
      <w:pPr>
        <w:spacing w:line="360" w:lineRule="auto"/>
        <w:ind w:firstLine="420"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6.1 发包人责任：</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6.1.1 发包人按本合同第三条规定的内容，在规定的时间内向设计人提交基础资料及文件，并对其完整性、正确性及时限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6.1.3 发包人要求设计人比合同规定时间提前交付设计文件时，如果设计人能够做到，发包人应根据设计人提前投入的工作量，向设计人支付赶工费。</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6.1.4 发包人应为派赴现场处理有关设计问题的工作人员，提供必要的工作生活及交通等方便条件。</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pPr>
        <w:spacing w:line="360" w:lineRule="auto"/>
        <w:ind w:firstLine="420"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6.2 设计人责任：</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6.2.1 设计人应按国家规定技术规范、标准、规程及发包人提出的设计要求，进行工程设计，按合同规定的进度要求提交质量合格的设计资料，并对其负责。</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6.2.2 设计人对设计文件出现的遗漏或错误负责修改或补充。由于设计人设计错误造成工程质量事故损失，设计人除负责采取补救措施外，应免收受损失部分的设计费，并根据损失程度和设计人责任大小向发包人支付赔偿金，同时，与发包人对工程质量事故损失承担连带赔偿责任。</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6.2.3 设计人应及时配合施工现场解决设计和施工中出现的问题，对设计不周全、图纸表述不清晰或与实际不符等问题，要及时予以修正或补充设计，其费用由设计方自付。在施工及保修期内服务过程中交通及食宿费用由设计方自理。</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6.2.4 由于设计人原因，延误了设计文件等资料的交付时间，每延误一天应减收该项目应收设计费的千分之二。</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6.2.5 合同生效后，设计人不得单方要求终止或解除合同，否则，设计人应按合同金额的20%支付违约金给发包人，给发包人造成其他损失的，还应赔偿损失。</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spacing w:line="360" w:lineRule="auto"/>
        <w:ind w:firstLine="436" w:firstLineChars="200"/>
        <w:rPr>
          <w:rFonts w:cs="仿宋" w:asciiTheme="minorEastAsia" w:hAnsiTheme="minorEastAsia" w:eastAsiaTheme="minorEastAsia"/>
          <w:b/>
          <w:szCs w:val="21"/>
        </w:rPr>
      </w:pPr>
      <w:r>
        <w:rPr>
          <w:rFonts w:hint="eastAsia" w:cs="仿宋" w:asciiTheme="minorEastAsia" w:hAnsiTheme="minorEastAsia" w:eastAsiaTheme="minorEastAsia"/>
          <w:b/>
          <w:spacing w:val="4"/>
          <w:szCs w:val="21"/>
        </w:rPr>
        <w:t>第七条</w:t>
      </w:r>
      <w:r>
        <w:rPr>
          <w:rFonts w:hint="eastAsia" w:cs="仿宋" w:asciiTheme="minorEastAsia" w:hAnsiTheme="minorEastAsia" w:eastAsiaTheme="minorEastAsia"/>
          <w:b/>
          <w:szCs w:val="21"/>
        </w:rPr>
        <w:t xml:space="preserve">  违约责任：</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7.1 在合同履行期间，因发包人原因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7.2 发包人应按本合同第五条规定的金额和时间向设计人支付设计费。</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7.4 合同生效后，设计人要求终止或解除合同。设计人应按合同金额的20%支付违约金给发包人，给发包人造成其他损失的，还应赔偿损失。</w:t>
      </w:r>
    </w:p>
    <w:p>
      <w:pPr>
        <w:spacing w:line="360" w:lineRule="auto"/>
        <w:ind w:firstLine="436" w:firstLineChars="200"/>
        <w:rPr>
          <w:rFonts w:cs="仿宋" w:asciiTheme="minorEastAsia" w:hAnsiTheme="minorEastAsia" w:eastAsiaTheme="minorEastAsia"/>
          <w:b/>
          <w:szCs w:val="21"/>
        </w:rPr>
      </w:pPr>
      <w:r>
        <w:rPr>
          <w:rFonts w:hint="eastAsia" w:cs="仿宋" w:asciiTheme="minorEastAsia" w:hAnsiTheme="minorEastAsia" w:eastAsiaTheme="minorEastAsia"/>
          <w:b/>
          <w:spacing w:val="4"/>
          <w:szCs w:val="21"/>
        </w:rPr>
        <w:t>第八条</w:t>
      </w:r>
      <w:r>
        <w:rPr>
          <w:rFonts w:hint="eastAsia" w:cs="仿宋" w:asciiTheme="minorEastAsia" w:hAnsiTheme="minorEastAsia" w:eastAsiaTheme="minorEastAsia"/>
          <w:b/>
          <w:szCs w:val="21"/>
        </w:rPr>
        <w:t xml:space="preserve">  其他</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8.1 发包人要求设计人派专人留驻施工现场进行配合与解决有关问题时，双方应另行签订补充协议或技术咨询服务合同。</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8.2 设计人为本合同项目所采用的国家或地方标准图，由发包人自费向有关出版部门购买。</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8.3 本工程设计资料及文件中，建筑材料、建筑构配件和设备，应当注明其规格、型号、性能等技术指标，设计人不得指定生产厂、供应商。发包人需要设计人的设计人员配合加工定货时，所需要费用由发包人承担。</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8.4 发包人委托设计人配合引进项目的设计任务，从询价、对外谈判、国内外技术考察直至建成投产的各个阶段，应吸收承担有关设计任务的设计人员参加。出国差旅费用由发包人支付，非承担有关设计任务的设计人员参加的，费用由该人员自行承担，与发包人无关。</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8.5 如发包人委托设计人承担本合同内容以外的工作服务，由双方另行协商支付费用。</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8.7 本合同在履行过程中发生的争议，由双方当事人协商解决，协商不成的可由当地建设行政主管部门调解，调解不成时，双方当事人均可向工程所在地人民法院起诉。</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8.8 本合同一式 捌 份，发包人 肆 份，设计人 肆 份，均具有同等法律效力，经双方签字盖章后生效。</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8.9 本合同生效后，按规定到项目所在地省级建设行政主管部门规定的审查部门备案；双方认为必要时，到项目所在地工商行政管理部门申请鉴证。双方履行完合同约定的义务后，本合同即行终止。</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8.10 本合同未尽事宜，双方可签订补充协议，有关协议及双方认可的来往电报、传真、会议纪要等书面文件，均为本合同组成部分，与本合同具有同等法律效力。本合同中所列地址为双方各类文件及司法机关文书的有效送达地址，任何一方变更的，仍然视为有效送达。</w:t>
      </w:r>
    </w:p>
    <w:p>
      <w:pPr>
        <w:rPr>
          <w:rFonts w:cs="仿宋_GB2312" w:asciiTheme="minorEastAsia" w:hAnsiTheme="minorEastAsia" w:eastAsiaTheme="minorEastAsia"/>
          <w:sz w:val="24"/>
        </w:rPr>
      </w:pPr>
      <w:r>
        <w:rPr>
          <w:rFonts w:hint="eastAsia" w:cs="仿宋" w:asciiTheme="minorEastAsia" w:hAnsiTheme="minorEastAsia" w:eastAsiaTheme="minorEastAsia"/>
          <w:sz w:val="24"/>
        </w:rPr>
        <w:br w:type="page"/>
      </w:r>
    </w:p>
    <w:tbl>
      <w:tblPr>
        <w:tblStyle w:val="46"/>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发包人名称：</w:t>
            </w:r>
            <w:r>
              <w:rPr>
                <w:rFonts w:hint="eastAsia" w:cs="仿宋_GB2312" w:asciiTheme="minorEastAsia" w:hAnsiTheme="minorEastAsia" w:eastAsiaTheme="minorEastAsia"/>
                <w:szCs w:val="21"/>
                <w:u w:val="single"/>
              </w:rPr>
              <w:t>湖南岳麓经济开发有限责任公司</w:t>
            </w:r>
            <w:r>
              <w:rPr>
                <w:rFonts w:hint="eastAsia" w:cs="仿宋_GB2312" w:asciiTheme="minorEastAsia" w:hAnsiTheme="minorEastAsia" w:eastAsiaTheme="minorEastAsia"/>
                <w:szCs w:val="21"/>
              </w:rPr>
              <w:t>（盖章）</w:t>
            </w:r>
          </w:p>
        </w:tc>
        <w:tc>
          <w:tcPr>
            <w:tcW w:w="4273"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设计人名称：</w:t>
            </w:r>
            <w:r>
              <w:rPr>
                <w:rFonts w:hint="eastAsia"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 xml:space="preserve">法定代表或 </w:t>
            </w:r>
          </w:p>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委托代理人：</w:t>
            </w:r>
            <w:r>
              <w:rPr>
                <w:rFonts w:hint="eastAsia" w:cs="仿宋_GB2312" w:asciiTheme="minorEastAsia" w:hAnsiTheme="minorEastAsia" w:eastAsiaTheme="minorEastAsia"/>
                <w:szCs w:val="21"/>
                <w:u w:val="single"/>
              </w:rPr>
              <w:t xml:space="preserve">             </w:t>
            </w:r>
          </w:p>
        </w:tc>
        <w:tc>
          <w:tcPr>
            <w:tcW w:w="4273"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 xml:space="preserve">法定代表或 </w:t>
            </w:r>
          </w:p>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委托代理人：</w:t>
            </w:r>
            <w:r>
              <w:rPr>
                <w:rFonts w:hint="eastAsia" w:cs="仿宋_GB2312"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231" w:type="dxa"/>
            <w:tcBorders>
              <w:top w:val="nil"/>
              <w:left w:val="nil"/>
              <w:bottom w:val="nil"/>
              <w:right w:val="nil"/>
            </w:tcBorders>
            <w:vAlign w:val="center"/>
          </w:tcPr>
          <w:p>
            <w:pPr>
              <w:rPr>
                <w:rFonts w:cs="仿宋_GB2312" w:asciiTheme="minorEastAsia" w:hAnsiTheme="minorEastAsia" w:eastAsiaTheme="minorEastAsia"/>
                <w:szCs w:val="21"/>
                <w:u w:val="single"/>
              </w:rPr>
            </w:pPr>
            <w:r>
              <w:rPr>
                <w:rFonts w:hint="eastAsia" w:cs="仿宋_GB2312" w:asciiTheme="minorEastAsia" w:hAnsiTheme="minorEastAsia" w:eastAsiaTheme="minorEastAsia"/>
                <w:szCs w:val="21"/>
              </w:rPr>
              <w:t>电    话：</w:t>
            </w:r>
            <w:r>
              <w:rPr>
                <w:rFonts w:hint="eastAsia" w:cs="仿宋_GB2312" w:asciiTheme="minorEastAsia" w:hAnsiTheme="minorEastAsia" w:eastAsiaTheme="minorEastAsia"/>
                <w:szCs w:val="21"/>
                <w:u w:val="single"/>
              </w:rPr>
              <w:t xml:space="preserve">          </w:t>
            </w:r>
          </w:p>
          <w:p>
            <w:pPr>
              <w:rPr>
                <w:rFonts w:cs="仿宋_GB2312" w:asciiTheme="minorEastAsia" w:hAnsiTheme="minorEastAsia" w:eastAsiaTheme="minorEastAsia"/>
                <w:szCs w:val="21"/>
                <w:u w:val="single"/>
              </w:rPr>
            </w:pPr>
            <w:r>
              <w:rPr>
                <w:rFonts w:hint="eastAsia" w:cs="仿宋_GB2312" w:asciiTheme="minorEastAsia" w:hAnsiTheme="minorEastAsia" w:eastAsiaTheme="minorEastAsia"/>
                <w:szCs w:val="21"/>
              </w:rPr>
              <w:t>地    址：</w:t>
            </w:r>
            <w:r>
              <w:rPr>
                <w:rFonts w:hint="eastAsia" w:cs="仿宋_GB2312" w:asciiTheme="minorEastAsia" w:hAnsiTheme="minorEastAsia" w:eastAsiaTheme="minorEastAsia"/>
                <w:szCs w:val="21"/>
                <w:u w:val="single"/>
              </w:rPr>
              <w:t xml:space="preserve">                     </w:t>
            </w:r>
          </w:p>
        </w:tc>
        <w:tc>
          <w:tcPr>
            <w:tcW w:w="4273" w:type="dxa"/>
            <w:tcBorders>
              <w:top w:val="nil"/>
              <w:left w:val="nil"/>
              <w:bottom w:val="nil"/>
              <w:right w:val="nil"/>
            </w:tcBorders>
            <w:vAlign w:val="center"/>
          </w:tcPr>
          <w:p>
            <w:pPr>
              <w:rPr>
                <w:rFonts w:cs="仿宋_GB2312" w:asciiTheme="minorEastAsia" w:hAnsiTheme="minorEastAsia" w:eastAsiaTheme="minorEastAsia"/>
                <w:szCs w:val="21"/>
                <w:u w:val="single"/>
              </w:rPr>
            </w:pPr>
            <w:r>
              <w:rPr>
                <w:rFonts w:hint="eastAsia" w:cs="仿宋_GB2312" w:asciiTheme="minorEastAsia" w:hAnsiTheme="minorEastAsia" w:eastAsiaTheme="minorEastAsia"/>
                <w:szCs w:val="21"/>
              </w:rPr>
              <w:t>电    话：</w:t>
            </w:r>
            <w:r>
              <w:rPr>
                <w:rFonts w:hint="eastAsia" w:cs="仿宋_GB2312" w:asciiTheme="minorEastAsia" w:hAnsiTheme="minorEastAsia" w:eastAsiaTheme="minorEastAsia"/>
                <w:szCs w:val="21"/>
                <w:u w:val="single"/>
              </w:rPr>
              <w:t xml:space="preserve">            </w:t>
            </w:r>
          </w:p>
          <w:p>
            <w:pPr>
              <w:rPr>
                <w:rFonts w:cs="仿宋_GB2312" w:asciiTheme="minorEastAsia" w:hAnsiTheme="minorEastAsia" w:eastAsiaTheme="minorEastAsia"/>
                <w:szCs w:val="21"/>
                <w:u w:val="single"/>
              </w:rPr>
            </w:pPr>
            <w:r>
              <w:rPr>
                <w:rFonts w:hint="eastAsia" w:cs="仿宋_GB2312" w:asciiTheme="minorEastAsia" w:hAnsiTheme="minorEastAsia" w:eastAsiaTheme="minorEastAsia"/>
                <w:szCs w:val="21"/>
              </w:rPr>
              <w:t>地    址：</w:t>
            </w:r>
            <w:r>
              <w:rPr>
                <w:rFonts w:hint="eastAsia" w:cs="仿宋_GB2312"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开户名称：</w:t>
            </w:r>
            <w:r>
              <w:rPr>
                <w:rFonts w:hint="eastAsia" w:cs="仿宋_GB2312" w:asciiTheme="minorEastAsia" w:hAnsiTheme="minorEastAsia" w:eastAsiaTheme="minorEastAsia"/>
                <w:szCs w:val="21"/>
                <w:u w:val="single"/>
              </w:rPr>
              <w:t xml:space="preserve">                    </w:t>
            </w:r>
          </w:p>
        </w:tc>
        <w:tc>
          <w:tcPr>
            <w:tcW w:w="4273"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开户名称：</w:t>
            </w:r>
            <w:r>
              <w:rPr>
                <w:rFonts w:hint="eastAsia" w:cs="仿宋_GB2312"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开户银行：</w:t>
            </w:r>
            <w:r>
              <w:rPr>
                <w:rFonts w:hint="eastAsia" w:cs="仿宋_GB2312" w:asciiTheme="minorEastAsia" w:hAnsiTheme="minorEastAsia" w:eastAsiaTheme="minorEastAsia"/>
                <w:szCs w:val="21"/>
                <w:u w:val="single"/>
              </w:rPr>
              <w:t xml:space="preserve">                    </w:t>
            </w:r>
          </w:p>
        </w:tc>
        <w:tc>
          <w:tcPr>
            <w:tcW w:w="4273"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开户银行：</w:t>
            </w:r>
            <w:r>
              <w:rPr>
                <w:rFonts w:hint="eastAsia" w:cs="仿宋_GB2312"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银行账号：</w:t>
            </w:r>
            <w:r>
              <w:rPr>
                <w:rFonts w:hint="eastAsia" w:cs="仿宋_GB2312" w:asciiTheme="minorEastAsia" w:hAnsiTheme="minorEastAsia" w:eastAsiaTheme="minorEastAsia"/>
                <w:szCs w:val="21"/>
                <w:u w:val="single"/>
              </w:rPr>
              <w:t xml:space="preserve">                    </w:t>
            </w:r>
          </w:p>
        </w:tc>
        <w:tc>
          <w:tcPr>
            <w:tcW w:w="4273"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银行账号：</w:t>
            </w:r>
            <w:r>
              <w:rPr>
                <w:rFonts w:hint="eastAsia" w:cs="仿宋_GB2312"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日    期：</w:t>
            </w:r>
            <w:r>
              <w:rPr>
                <w:rFonts w:hint="eastAsia"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年</w:t>
            </w:r>
            <w:r>
              <w:rPr>
                <w:rFonts w:hint="eastAsia"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月</w:t>
            </w:r>
            <w:r>
              <w:rPr>
                <w:rFonts w:hint="eastAsia"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 xml:space="preserve">日 </w:t>
            </w:r>
          </w:p>
        </w:tc>
        <w:tc>
          <w:tcPr>
            <w:tcW w:w="4273" w:type="dxa"/>
            <w:tcBorders>
              <w:top w:val="nil"/>
              <w:left w:val="nil"/>
              <w:bottom w:val="nil"/>
              <w:right w:val="nil"/>
            </w:tcBorders>
            <w:vAlign w:val="center"/>
          </w:tcPr>
          <w:p>
            <w:pPr>
              <w:rPr>
                <w:rFonts w:cs="仿宋_GB2312" w:asciiTheme="minorEastAsia" w:hAnsiTheme="minorEastAsia" w:eastAsiaTheme="minorEastAsia"/>
                <w:szCs w:val="21"/>
              </w:rPr>
            </w:pPr>
            <w:r>
              <w:rPr>
                <w:rFonts w:hint="eastAsia" w:cs="仿宋_GB2312" w:asciiTheme="minorEastAsia" w:hAnsiTheme="minorEastAsia" w:eastAsiaTheme="minorEastAsia"/>
                <w:szCs w:val="21"/>
              </w:rPr>
              <w:t>日    期：</w:t>
            </w:r>
            <w:r>
              <w:rPr>
                <w:rFonts w:hint="eastAsia"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年</w:t>
            </w:r>
            <w:r>
              <w:rPr>
                <w:rFonts w:hint="eastAsia"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月</w:t>
            </w:r>
            <w:r>
              <w:rPr>
                <w:rFonts w:hint="eastAsia"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 xml:space="preserve">日 </w:t>
            </w:r>
          </w:p>
        </w:tc>
      </w:tr>
    </w:tbl>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（以下内容无正文，为签章栏）</w:t>
      </w:r>
    </w:p>
    <w:p>
      <w:pPr>
        <w:rPr>
          <w:rFonts w:cs="仿宋_GB2312" w:asciiTheme="minorEastAsia" w:hAnsiTheme="minorEastAsia" w:eastAsiaTheme="minorEastAsia"/>
          <w:szCs w:val="21"/>
        </w:rPr>
      </w:pPr>
    </w:p>
    <w:p>
      <w:pPr>
        <w:spacing w:line="360" w:lineRule="auto"/>
        <w:rPr>
          <w:rFonts w:asciiTheme="minorEastAsia" w:hAnsiTheme="minorEastAsia" w:eastAsiaTheme="minorEastAsia"/>
          <w:b/>
          <w:spacing w:val="20"/>
          <w:sz w:val="56"/>
        </w:rPr>
      </w:pPr>
    </w:p>
    <w:p>
      <w:pPr>
        <w:jc w:val="center"/>
        <w:rPr>
          <w:rFonts w:cs="宋体" w:asciiTheme="minorEastAsia" w:hAnsiTheme="minorEastAsia" w:eastAsiaTheme="minorEastAsia"/>
          <w:b/>
          <w:bCs/>
          <w:kern w:val="0"/>
          <w:sz w:val="44"/>
        </w:rPr>
      </w:pPr>
      <w:r>
        <w:rPr>
          <w:rFonts w:hint="eastAsia" w:asciiTheme="minorEastAsia" w:hAnsiTheme="minorEastAsia" w:eastAsiaTheme="minorEastAsia"/>
          <w:b/>
          <w:sz w:val="28"/>
          <w:szCs w:val="28"/>
        </w:rPr>
        <w:t>（此合同为模板合同，最终以甲乙双方正式签订合同为准）</w:t>
      </w: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bookmarkEnd w:id="11"/>
    <w:bookmarkEnd w:id="12"/>
    <w:bookmarkEnd w:id="13"/>
    <w:bookmarkEnd w:id="14"/>
    <w:p>
      <w:pPr>
        <w:widowControl/>
        <w:jc w:val="left"/>
        <w:rPr>
          <w:rFonts w:ascii="宋体" w:hAnsi="宋体" w:cs="宋体"/>
          <w:b/>
          <w:sz w:val="32"/>
          <w:szCs w:val="32"/>
        </w:rPr>
      </w:pPr>
      <w:r>
        <w:rPr>
          <w:rFonts w:ascii="宋体" w:hAnsi="宋体" w:cs="宋体"/>
          <w:b/>
          <w:sz w:val="32"/>
          <w:szCs w:val="32"/>
        </w:rPr>
        <w:br w:type="page"/>
      </w:r>
    </w:p>
    <w:p>
      <w:pPr>
        <w:adjustRightInd w:val="0"/>
        <w:snapToGrid w:val="0"/>
        <w:spacing w:line="360" w:lineRule="auto"/>
        <w:jc w:val="center"/>
        <w:outlineLvl w:val="0"/>
        <w:rPr>
          <w:rFonts w:ascii="宋体" w:hAnsi="宋体" w:cs="宋体"/>
          <w:b/>
          <w:sz w:val="32"/>
          <w:szCs w:val="32"/>
        </w:rPr>
      </w:pPr>
      <w:r>
        <w:rPr>
          <w:rFonts w:hint="eastAsia" w:ascii="宋体" w:hAnsi="宋体" w:cs="宋体"/>
          <w:b/>
          <w:sz w:val="32"/>
          <w:szCs w:val="32"/>
        </w:rPr>
        <w:t>第四章 采购需求</w:t>
      </w:r>
    </w:p>
    <w:p>
      <w:pPr>
        <w:spacing w:line="520" w:lineRule="exact"/>
        <w:jc w:val="left"/>
        <w:textAlignment w:val="center"/>
        <w:rPr>
          <w:rFonts w:ascii="宋体" w:hAnsi="宋体" w:cs="宋体"/>
          <w:b/>
          <w:szCs w:val="21"/>
        </w:rPr>
      </w:pPr>
      <w:r>
        <w:rPr>
          <w:rFonts w:hint="eastAsia" w:ascii="宋体" w:hAnsi="宋体" w:cs="宋体"/>
          <w:b/>
          <w:szCs w:val="21"/>
        </w:rPr>
        <w:t>一、项目名称</w:t>
      </w:r>
    </w:p>
    <w:p>
      <w:pPr>
        <w:spacing w:line="520" w:lineRule="exact"/>
        <w:ind w:firstLine="420" w:firstLineChars="200"/>
        <w:jc w:val="left"/>
        <w:textAlignment w:val="center"/>
        <w:rPr>
          <w:rFonts w:ascii="宋体" w:hAnsi="宋体" w:cs="宋体"/>
          <w:szCs w:val="21"/>
        </w:rPr>
      </w:pPr>
      <w:r>
        <w:rPr>
          <w:rFonts w:hint="eastAsia" w:ascii="宋体" w:hAnsi="宋体" w:cs="宋体"/>
          <w:szCs w:val="21"/>
        </w:rPr>
        <w:t>078县道（绕城高速—象嘴路）电力埋管项目、云栖路（含浦大道—象嘴路）电力埋管项目设计服务。</w:t>
      </w:r>
    </w:p>
    <w:p>
      <w:pPr>
        <w:spacing w:line="520" w:lineRule="exact"/>
        <w:jc w:val="left"/>
        <w:textAlignment w:val="center"/>
        <w:rPr>
          <w:rFonts w:ascii="宋体" w:hAnsi="宋体" w:cs="宋体"/>
          <w:b/>
          <w:szCs w:val="21"/>
        </w:rPr>
      </w:pPr>
      <w:r>
        <w:rPr>
          <w:rFonts w:hint="eastAsia" w:ascii="宋体" w:hAnsi="宋体" w:cs="宋体"/>
          <w:b/>
          <w:szCs w:val="21"/>
        </w:rPr>
        <w:t>二、建设地点</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长沙市岳麓高新区078县道（绕城高速—象嘴路）、云栖路（含浦大道—象嘴路）。</w:t>
      </w:r>
    </w:p>
    <w:p>
      <w:pPr>
        <w:spacing w:line="520" w:lineRule="exact"/>
        <w:jc w:val="left"/>
        <w:textAlignment w:val="center"/>
        <w:rPr>
          <w:rFonts w:ascii="宋体" w:hAnsi="宋体" w:cs="宋体"/>
          <w:b/>
          <w:szCs w:val="21"/>
        </w:rPr>
      </w:pPr>
      <w:r>
        <w:rPr>
          <w:rFonts w:hint="eastAsia" w:ascii="宋体" w:hAnsi="宋体" w:cs="宋体"/>
          <w:b/>
          <w:szCs w:val="21"/>
        </w:rPr>
        <w:t>三、工程概况</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078县道（绕城高速—象嘴路）电力埋管项目由学士桥变配网出线，沿078县道由绕城高速至象嘴路路段进行敷设，长度约1200米，新建10千伏电力埋管8孔。项目投资估算为900万元，其中项目主要建设内容相对应的工程费用约810万元，相关的其他费用约90万元。</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云栖路（含浦大道—象嘴路）电力埋管项目由学士桥变配网出线，沿云栖路由含浦大道至象嘴路路段进行敷设，长度约2200米(同步考虑跨含浦大道横管)，新建10千伏电力埋管24孔。项目投资估算为3000万元，其中项目主要建设内容相对应的工程费用约2700万元，相关的其他费用约300万元。</w:t>
      </w:r>
    </w:p>
    <w:p>
      <w:pPr>
        <w:spacing w:line="520" w:lineRule="exact"/>
        <w:jc w:val="left"/>
        <w:textAlignment w:val="center"/>
        <w:rPr>
          <w:rFonts w:ascii="宋体" w:hAnsi="宋体" w:cs="宋体"/>
          <w:b/>
          <w:szCs w:val="21"/>
        </w:rPr>
      </w:pPr>
      <w:r>
        <w:rPr>
          <w:rFonts w:hint="eastAsia" w:ascii="宋体" w:hAnsi="宋体" w:cs="宋体"/>
          <w:b/>
          <w:szCs w:val="21"/>
        </w:rPr>
        <w:t>四、设计周期</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设计总周期50日历天（所有阶段完成时间均不含行政批复时间），具体以合同签订为准。</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中标（成交）通知书发出后5天内完成可研报告编制，可研报告编制完成后10天内完成方案设计；方案设计通过后15天内完成初步设计、概算编制；初步设计通过后20天内完成施工图设计。</w:t>
      </w:r>
    </w:p>
    <w:p>
      <w:pPr>
        <w:spacing w:line="520" w:lineRule="exact"/>
        <w:jc w:val="left"/>
        <w:textAlignment w:val="center"/>
        <w:rPr>
          <w:rFonts w:ascii="宋体" w:hAnsi="宋体" w:cs="宋体"/>
          <w:b/>
          <w:szCs w:val="21"/>
        </w:rPr>
      </w:pPr>
      <w:r>
        <w:rPr>
          <w:rFonts w:hint="eastAsia" w:ascii="宋体" w:hAnsi="宋体" w:cs="宋体"/>
          <w:b/>
          <w:szCs w:val="21"/>
        </w:rPr>
        <w:t>五、招标范围</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078县道（绕城高速—象嘴路）电力埋管项目、云栖路（含浦大道—象嘴路）电力埋管项目设计服务。主要包含并不限于项目可研、方案设计、初步设计、施工图设计、相关造价文件编制等以及相关施工阶段设计服务。</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1、设计服务：包括但不限于本电力埋管项目的可研、方案设计、初步设计、施工图设计各阶段所有建设内容涉及的所有专业设计服务；</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2、报批报建服务：配合发包人向政府主管部门报审设计文件等管理程序必需的技术文件，并按发包人要求准备汇报材料等；并及时按相关主管部门和采购人要求进行修改完善相关报批报建文件，配合完成相关审批程序。</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3、施工阶段设计服务：施工现场设计服务以及缺陷责任期设计服务等相关服务工作且各阶段设计成果应符合相关规范要求。</w:t>
      </w:r>
    </w:p>
    <w:p>
      <w:pPr>
        <w:spacing w:line="520" w:lineRule="exact"/>
        <w:jc w:val="left"/>
        <w:textAlignment w:val="center"/>
        <w:rPr>
          <w:rFonts w:ascii="宋体" w:hAnsi="宋体" w:cs="宋体"/>
          <w:b/>
          <w:szCs w:val="21"/>
        </w:rPr>
      </w:pPr>
      <w:r>
        <w:rPr>
          <w:rFonts w:hint="eastAsia" w:ascii="宋体" w:hAnsi="宋体" w:cs="宋体"/>
          <w:b/>
          <w:szCs w:val="21"/>
        </w:rPr>
        <w:t>六、设计成果要求</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1、质量要求：符合现行国家有关工程设计规范和标准的合格工程；</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2、服务要求：服务过程中及保修期内，由于设计原因发生的一切安全生产事故均由成交供应商承担一切责任和损失；</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3、人员要求：成交供应商自行配备主要专业设计人员。</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4、设计成果交付：</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（1）各阶段设计内容及深度须符合电力工程编制深度要求；</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 xml:space="preserve">（2）设计成果具体做法及要求：包含可研编制阶段、方案设计阶段、初步设计、概算编制阶段、施工图设计阶段的所有文件和图纸，图纸及文件内容和深度应符合国家、湖南省及长沙市相关部门设计报批报建和施工要求。 </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注：所有设计阶段应提供设计成果电子文件（PDF与CAD版本）。</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5、技术要求</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1）本工程的设计过程和成果均须符合电力工程编制深度要求及有关设计方面的现行标准、规范、规程、办法、示例，以及长沙市下发的有关设计方面的文件和规定。在设计过程中，如果国家或有关部门颁布了新的技术标准、规范或法规，设计人应采用新的标准、规范或法规进行设计。</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（2）设计要求</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1）设计方案投资额不得高于本项目总投资估算，概算不得超估算，预算不得超概算。</w:t>
      </w:r>
    </w:p>
    <w:p>
      <w:pPr>
        <w:spacing w:line="520" w:lineRule="exact"/>
        <w:ind w:firstLine="464" w:firstLineChars="221"/>
        <w:jc w:val="left"/>
        <w:textAlignment w:val="center"/>
        <w:rPr>
          <w:rFonts w:ascii="宋体" w:hAnsi="宋体" w:cs="宋体"/>
          <w:bCs/>
          <w:szCs w:val="21"/>
        </w:rPr>
      </w:pPr>
      <w:r>
        <w:rPr>
          <w:rFonts w:hint="eastAsia" w:ascii="宋体" w:hAnsi="宋体" w:cs="宋体"/>
          <w:bCs/>
          <w:szCs w:val="21"/>
        </w:rPr>
        <w:t>2）设计方案的布局应科学合理、设计新颖，符合规划设计条件要求，做到高起点、高质量、高水准。</w:t>
      </w:r>
    </w:p>
    <w:p>
      <w:pPr>
        <w:spacing w:line="520" w:lineRule="exact"/>
        <w:ind w:firstLine="464" w:firstLineChars="221"/>
        <w:jc w:val="left"/>
        <w:textAlignment w:val="center"/>
        <w:rPr>
          <w:rFonts w:ascii="宋体" w:hAnsi="宋体" w:cs="宋体"/>
          <w:szCs w:val="21"/>
        </w:rPr>
      </w:pPr>
      <w:r>
        <w:rPr>
          <w:rFonts w:hint="eastAsia" w:ascii="宋体" w:hAnsi="宋体" w:cs="宋体"/>
          <w:bCs/>
          <w:szCs w:val="21"/>
        </w:rPr>
        <w:t>3）完成甲方和相关审查部门的阶段性审查意见所提出的修改工作。设计单位提供给甲方的设计成果务必保证图纸的完整性和准确性。</w:t>
      </w:r>
    </w:p>
    <w:p>
      <w:pPr>
        <w:spacing w:line="360" w:lineRule="auto"/>
        <w:rPr>
          <w:rFonts w:ascii="宋体" w:hAnsi="宋体" w:cs="宋体"/>
          <w:b/>
          <w:bCs/>
          <w:kern w:val="0"/>
          <w:szCs w:val="21"/>
        </w:rPr>
      </w:pPr>
      <w:r>
        <w:rPr>
          <w:rFonts w:hint="eastAsia" w:ascii="宋体" w:hAnsi="宋体" w:cs="宋体"/>
          <w:b/>
          <w:bCs/>
          <w:kern w:val="0"/>
          <w:szCs w:val="21"/>
        </w:rPr>
        <w:t>七、其他事项及说明</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rPr>
        <w:t>1、付款人：湖南岳麓经济开发有限责任公司。</w:t>
      </w:r>
    </w:p>
    <w:p>
      <w:pPr>
        <w:widowControl/>
        <w:shd w:val="clear" w:color="auto" w:fill="FFFFFF"/>
        <w:spacing w:line="360" w:lineRule="auto"/>
        <w:ind w:firstLine="420" w:firstLineChars="200"/>
        <w:jc w:val="left"/>
        <w:rPr>
          <w:rFonts w:ascii="宋体" w:hAnsi="宋体" w:cs="宋体"/>
          <w:strike/>
          <w:szCs w:val="21"/>
        </w:rPr>
      </w:pPr>
      <w:r>
        <w:rPr>
          <w:rFonts w:hint="eastAsia" w:ascii="宋体" w:hAnsi="宋体" w:cs="宋体"/>
          <w:szCs w:val="21"/>
        </w:rPr>
        <w:t>2、</w:t>
      </w:r>
      <w:r>
        <w:rPr>
          <w:rFonts w:hint="eastAsia" w:ascii="宋体" w:hAnsi="宋体" w:cs="宋体"/>
          <w:szCs w:val="21"/>
          <w:lang w:val="zh-TW" w:eastAsia="zh-TW"/>
        </w:rPr>
        <w:t>付款方式：</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sz w:val="21"/>
          <w:szCs w:val="21"/>
          <w:lang w:val="zh-TW"/>
        </w:rPr>
        <w:t>按进度付款，</w:t>
      </w:r>
      <w:r>
        <w:rPr>
          <w:rFonts w:hint="eastAsia" w:cs="仿宋" w:asciiTheme="minorEastAsia" w:hAnsiTheme="minorEastAsia" w:eastAsiaTheme="minorEastAsia"/>
          <w:sz w:val="21"/>
          <w:szCs w:val="21"/>
        </w:rPr>
        <w:t>具体如下：</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①全部施工图审查通过</w:t>
      </w:r>
      <w:r>
        <w:rPr>
          <w:rFonts w:cs="仿宋" w:asciiTheme="minorEastAsia" w:hAnsiTheme="minorEastAsia" w:eastAsiaTheme="minorEastAsia"/>
          <w:sz w:val="21"/>
          <w:szCs w:val="21"/>
        </w:rPr>
        <w:t>后付至</w:t>
      </w:r>
      <w:r>
        <w:rPr>
          <w:rFonts w:hint="eastAsia" w:cs="仿宋" w:asciiTheme="minorEastAsia" w:hAnsiTheme="minorEastAsia" w:eastAsiaTheme="minorEastAsia"/>
          <w:sz w:val="21"/>
          <w:szCs w:val="21"/>
        </w:rPr>
        <w:t>总费用</w:t>
      </w:r>
      <w:r>
        <w:rPr>
          <w:rFonts w:cs="仿宋" w:asciiTheme="minorEastAsia" w:hAnsiTheme="minorEastAsia" w:eastAsiaTheme="minorEastAsia"/>
          <w:sz w:val="21"/>
          <w:szCs w:val="21"/>
        </w:rPr>
        <w:t>的</w:t>
      </w:r>
      <w:r>
        <w:rPr>
          <w:rFonts w:hint="eastAsia" w:cs="仿宋" w:asciiTheme="minorEastAsia" w:hAnsiTheme="minorEastAsia" w:eastAsiaTheme="minorEastAsia"/>
          <w:sz w:val="21"/>
          <w:szCs w:val="21"/>
        </w:rPr>
        <w:t>7</w:t>
      </w:r>
      <w:r>
        <w:rPr>
          <w:rFonts w:cs="仿宋" w:asciiTheme="minorEastAsia" w:hAnsiTheme="minorEastAsia" w:eastAsiaTheme="minorEastAsia"/>
          <w:sz w:val="21"/>
          <w:szCs w:val="21"/>
        </w:rPr>
        <w:t>0%；</w:t>
      </w:r>
    </w:p>
    <w:p>
      <w:pPr>
        <w:pStyle w:val="42"/>
        <w:snapToGrid w:val="0"/>
        <w:spacing w:before="0" w:beforeAutospacing="0" w:after="0" w:afterAutospacing="0"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②工程竣工验收</w:t>
      </w:r>
      <w:r>
        <w:rPr>
          <w:rFonts w:cs="仿宋" w:asciiTheme="minorEastAsia" w:hAnsiTheme="minorEastAsia" w:eastAsiaTheme="minorEastAsia"/>
          <w:sz w:val="21"/>
          <w:szCs w:val="21"/>
        </w:rPr>
        <w:t>后付至</w:t>
      </w:r>
      <w:r>
        <w:rPr>
          <w:rFonts w:hint="eastAsia" w:cs="仿宋" w:asciiTheme="minorEastAsia" w:hAnsiTheme="minorEastAsia" w:eastAsiaTheme="minorEastAsia"/>
          <w:sz w:val="21"/>
          <w:szCs w:val="21"/>
        </w:rPr>
        <w:t>总费用</w:t>
      </w:r>
      <w:r>
        <w:rPr>
          <w:rFonts w:cs="仿宋" w:asciiTheme="minorEastAsia" w:hAnsiTheme="minorEastAsia" w:eastAsiaTheme="minorEastAsia"/>
          <w:sz w:val="21"/>
          <w:szCs w:val="21"/>
        </w:rPr>
        <w:t>的</w:t>
      </w:r>
      <w:r>
        <w:rPr>
          <w:rFonts w:hint="eastAsia" w:cs="仿宋" w:asciiTheme="minorEastAsia" w:hAnsiTheme="minorEastAsia" w:eastAsiaTheme="minorEastAsia"/>
          <w:sz w:val="21"/>
          <w:szCs w:val="21"/>
        </w:rPr>
        <w:t>85</w:t>
      </w:r>
      <w:r>
        <w:rPr>
          <w:rFonts w:cs="仿宋" w:asciiTheme="minorEastAsia" w:hAnsiTheme="minorEastAsia" w:eastAsiaTheme="minorEastAsia"/>
          <w:sz w:val="21"/>
          <w:szCs w:val="21"/>
        </w:rPr>
        <w:t>%；</w:t>
      </w:r>
    </w:p>
    <w:p>
      <w:pPr>
        <w:widowControl/>
        <w:shd w:val="clear" w:color="auto" w:fill="FFFFFF"/>
        <w:spacing w:line="360" w:lineRule="auto"/>
        <w:ind w:firstLine="420" w:firstLineChars="200"/>
        <w:jc w:val="left"/>
        <w:rPr>
          <w:rFonts w:ascii="宋体" w:hAnsi="宋体" w:cs="宋体"/>
          <w:szCs w:val="21"/>
        </w:rPr>
      </w:pPr>
      <w:r>
        <w:rPr>
          <w:rFonts w:hint="eastAsia" w:cs="仿宋" w:asciiTheme="minorEastAsia" w:hAnsiTheme="minorEastAsia" w:eastAsiaTheme="minorEastAsia"/>
          <w:szCs w:val="21"/>
        </w:rPr>
        <w:t>③</w:t>
      </w:r>
      <w:r>
        <w:rPr>
          <w:rFonts w:cs="仿宋" w:asciiTheme="minorEastAsia" w:hAnsiTheme="minorEastAsia" w:eastAsiaTheme="minorEastAsia"/>
          <w:szCs w:val="21"/>
        </w:rPr>
        <w:t>余款待工程结算审计完成，</w:t>
      </w:r>
      <w:r>
        <w:rPr>
          <w:rFonts w:hint="eastAsia" w:cs="仿宋" w:asciiTheme="minorEastAsia" w:hAnsiTheme="minorEastAsia" w:eastAsiaTheme="minorEastAsia"/>
          <w:szCs w:val="21"/>
        </w:rPr>
        <w:t>总费用</w:t>
      </w:r>
      <w:r>
        <w:rPr>
          <w:rFonts w:cs="仿宋" w:asciiTheme="minorEastAsia" w:hAnsiTheme="minorEastAsia" w:eastAsiaTheme="minorEastAsia"/>
          <w:szCs w:val="21"/>
        </w:rPr>
        <w:t>通过结算审核后一次性付清。</w:t>
      </w:r>
    </w:p>
    <w:p>
      <w:pPr>
        <w:widowControl/>
        <w:shd w:val="clear" w:color="auto" w:fill="FFFFFF"/>
        <w:spacing w:line="360" w:lineRule="auto"/>
        <w:ind w:firstLine="420" w:firstLineChars="200"/>
        <w:jc w:val="left"/>
        <w:rPr>
          <w:rFonts w:ascii="宋体" w:hAnsi="宋体" w:cs="宋体"/>
          <w:szCs w:val="21"/>
          <w:lang w:val="zh-TW" w:eastAsia="zh-TW"/>
        </w:rPr>
      </w:pPr>
      <w:r>
        <w:rPr>
          <w:rFonts w:hint="eastAsia" w:ascii="宋体" w:hAnsi="宋体" w:cs="宋体"/>
          <w:szCs w:val="21"/>
        </w:rPr>
        <w:t>3</w:t>
      </w:r>
      <w:r>
        <w:rPr>
          <w:rFonts w:hint="eastAsia" w:ascii="宋体" w:hAnsi="宋体" w:cs="宋体"/>
          <w:szCs w:val="21"/>
          <w:lang w:val="zh-TW"/>
        </w:rPr>
        <w:t>、服务</w:t>
      </w:r>
      <w:r>
        <w:rPr>
          <w:rFonts w:hint="eastAsia" w:ascii="宋体" w:hAnsi="宋体" w:cs="宋体"/>
          <w:szCs w:val="21"/>
          <w:lang w:val="zh-TW" w:eastAsia="zh-TW"/>
        </w:rPr>
        <w:t>时间及地点</w:t>
      </w:r>
    </w:p>
    <w:p>
      <w:pPr>
        <w:widowControl/>
        <w:shd w:val="clear" w:color="auto" w:fill="FFFFFF"/>
        <w:spacing w:line="360" w:lineRule="auto"/>
        <w:ind w:firstLine="420" w:firstLineChars="200"/>
        <w:jc w:val="left"/>
        <w:rPr>
          <w:rFonts w:ascii="宋体" w:hAnsi="宋体" w:cs="宋体"/>
          <w:szCs w:val="21"/>
          <w:lang w:val="zh-TW"/>
        </w:rPr>
      </w:pPr>
      <w:r>
        <w:rPr>
          <w:rFonts w:hint="eastAsia" w:ascii="宋体" w:hAnsi="宋体" w:cs="宋体"/>
          <w:szCs w:val="21"/>
        </w:rPr>
        <w:t>3</w:t>
      </w:r>
      <w:r>
        <w:rPr>
          <w:rFonts w:hint="eastAsia" w:ascii="宋体" w:hAnsi="宋体" w:cs="宋体"/>
          <w:szCs w:val="21"/>
          <w:lang w:val="zh-TW" w:eastAsia="zh-TW"/>
        </w:rPr>
        <w:t>.1.项目</w:t>
      </w:r>
      <w:r>
        <w:rPr>
          <w:rFonts w:hint="eastAsia" w:ascii="宋体" w:hAnsi="宋体" w:cs="宋体"/>
          <w:szCs w:val="21"/>
          <w:lang w:val="zh-TW"/>
        </w:rPr>
        <w:t>服务</w:t>
      </w:r>
      <w:r>
        <w:rPr>
          <w:rFonts w:hint="eastAsia" w:ascii="宋体" w:hAnsi="宋体" w:cs="宋体"/>
          <w:szCs w:val="21"/>
          <w:lang w:val="zh-TW" w:eastAsia="zh-TW"/>
        </w:rPr>
        <w:t>时间：</w:t>
      </w:r>
      <w:r>
        <w:rPr>
          <w:rFonts w:hint="eastAsia" w:ascii="宋体" w:hAnsi="宋体" w:cs="宋体"/>
          <w:bCs/>
          <w:szCs w:val="21"/>
        </w:rPr>
        <w:t>中标（成交）通知书发出后5天内完成可研报告编制，可研报告编制完成后10天内完成方案设计；方案设计通过后15天内完成初步设计、概算编制；初步设计通过后20天内完成施工图设计。以上时间不含主管单位审批时间，具体以合同签订为准。</w:t>
      </w:r>
    </w:p>
    <w:p>
      <w:pPr>
        <w:widowControl/>
        <w:shd w:val="clear" w:color="auto" w:fill="FFFFFF"/>
        <w:spacing w:line="360" w:lineRule="auto"/>
        <w:ind w:firstLine="420" w:firstLineChars="200"/>
        <w:jc w:val="left"/>
        <w:rPr>
          <w:rFonts w:ascii="宋体" w:hAnsi="宋体" w:cs="宋体"/>
          <w:szCs w:val="21"/>
          <w:lang w:val="zh-TW" w:eastAsia="zh-TW"/>
        </w:rPr>
      </w:pPr>
      <w:r>
        <w:rPr>
          <w:rFonts w:hint="eastAsia" w:ascii="宋体" w:hAnsi="宋体" w:cs="宋体"/>
          <w:szCs w:val="21"/>
        </w:rPr>
        <w:t>3</w:t>
      </w:r>
      <w:r>
        <w:rPr>
          <w:rFonts w:hint="eastAsia" w:ascii="宋体" w:hAnsi="宋体" w:cs="宋体"/>
          <w:szCs w:val="21"/>
          <w:lang w:val="zh-TW" w:eastAsia="zh-TW"/>
        </w:rPr>
        <w:t>.2.</w:t>
      </w:r>
      <w:r>
        <w:rPr>
          <w:rFonts w:hint="eastAsia" w:ascii="宋体" w:hAnsi="宋体" w:cs="宋体"/>
          <w:szCs w:val="21"/>
          <w:lang w:val="zh-TW"/>
        </w:rPr>
        <w:t>服务</w:t>
      </w:r>
      <w:r>
        <w:rPr>
          <w:rFonts w:hint="eastAsia" w:ascii="宋体" w:hAnsi="宋体" w:cs="宋体"/>
          <w:szCs w:val="21"/>
          <w:lang w:val="zh-TW" w:eastAsia="zh-TW"/>
        </w:rPr>
        <w:t>地点：</w:t>
      </w:r>
      <w:r>
        <w:rPr>
          <w:rFonts w:hint="eastAsia" w:ascii="宋体" w:hAnsi="宋体" w:cs="宋体"/>
          <w:szCs w:val="21"/>
          <w:lang w:val="zh-TW"/>
        </w:rPr>
        <w:t>采购人</w:t>
      </w:r>
      <w:r>
        <w:rPr>
          <w:rFonts w:hint="eastAsia" w:ascii="宋体" w:hAnsi="宋体" w:cs="宋体"/>
          <w:szCs w:val="21"/>
          <w:lang w:val="zh-TW" w:eastAsia="zh-TW"/>
        </w:rPr>
        <w:t>指定地点。</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rPr>
        <w:t>4、本项目上限值组成：</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rPr>
        <w:t>本项目上限值依据长财评综[2022]14号文计算，其计费额为施工图预算，如没有则以工程最终结算为准，专业调整系数取1.0，复杂调整系数取0.85，附加调整系数1.0，设计阶段合并简化为一阶段取0.8系数。本项目上限值上限值为654000元，最终结算计费额为施工图预算，没有施工图预算的以工程结算价作为计费额，最终结算不高于本上限值中的相关系数，且总金额不超过654000元。</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rPr>
        <w:t>5、必须遵守建设单位相关管理办法，服从建设单位指挥和安排。</w:t>
      </w:r>
    </w:p>
    <w:p>
      <w:pPr>
        <w:pStyle w:val="2"/>
        <w:ind w:left="0" w:leftChars="0" w:firstLine="422"/>
        <w:rPr>
          <w:b/>
          <w:bCs/>
        </w:rPr>
      </w:pPr>
      <w:r>
        <w:rPr>
          <w:rFonts w:hint="eastAsia" w:ascii="宋体" w:hAnsi="宋体" w:cs="宋体"/>
          <w:b/>
          <w:bCs/>
          <w:szCs w:val="21"/>
          <w:lang w:val="zh-TW" w:eastAsia="zh-TW"/>
        </w:rPr>
        <w:t>对于上述项目要求，</w:t>
      </w:r>
      <w:r>
        <w:rPr>
          <w:rFonts w:hint="eastAsia" w:ascii="宋体" w:hAnsi="宋体" w:cs="宋体"/>
          <w:b/>
          <w:bCs/>
          <w:szCs w:val="21"/>
          <w:lang w:val="zh-TW"/>
        </w:rPr>
        <w:t>供应商</w:t>
      </w:r>
      <w:r>
        <w:rPr>
          <w:rFonts w:hint="eastAsia" w:ascii="宋体" w:hAnsi="宋体" w:cs="宋体"/>
          <w:b/>
          <w:bCs/>
          <w:szCs w:val="21"/>
          <w:lang w:val="zh-TW" w:eastAsia="zh-TW"/>
        </w:rPr>
        <w:t>应在</w:t>
      </w:r>
      <w:r>
        <w:rPr>
          <w:rFonts w:hint="eastAsia" w:ascii="宋体" w:hAnsi="宋体" w:cs="宋体"/>
          <w:b/>
          <w:bCs/>
          <w:szCs w:val="21"/>
          <w:lang w:val="zh-TW"/>
        </w:rPr>
        <w:t>响应</w:t>
      </w:r>
      <w:r>
        <w:rPr>
          <w:rFonts w:hint="eastAsia" w:ascii="宋体" w:hAnsi="宋体" w:cs="宋体"/>
          <w:b/>
          <w:bCs/>
          <w:szCs w:val="21"/>
          <w:lang w:val="zh-TW" w:eastAsia="zh-TW"/>
        </w:rPr>
        <w:t>文件中进行回应，做出承诺及说明。</w:t>
      </w:r>
    </w:p>
    <w:p>
      <w:pPr>
        <w:jc w:val="left"/>
        <w:rPr>
          <w:rFonts w:ascii="宋体" w:hAnsi="宋体" w:cs="宋体"/>
          <w:b/>
          <w:sz w:val="32"/>
          <w:szCs w:val="32"/>
        </w:rPr>
      </w:pPr>
      <w:r>
        <w:rPr>
          <w:rFonts w:hint="eastAsia" w:ascii="宋体" w:hAnsi="宋体" w:cs="宋体"/>
          <w:b/>
          <w:sz w:val="32"/>
          <w:szCs w:val="32"/>
        </w:rPr>
        <w:br w:type="page"/>
      </w:r>
    </w:p>
    <w:p>
      <w:pPr>
        <w:adjustRightInd w:val="0"/>
        <w:snapToGrid w:val="0"/>
        <w:spacing w:line="360" w:lineRule="auto"/>
        <w:jc w:val="center"/>
        <w:outlineLvl w:val="0"/>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供应商的响应文件应包含以下八个部分：</w:t>
      </w:r>
    </w:p>
    <w:p>
      <w:pPr>
        <w:adjustRightInd w:val="0"/>
        <w:snapToGrid w:val="0"/>
        <w:spacing w:line="360" w:lineRule="auto"/>
        <w:jc w:val="left"/>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rPr>
          <w:rFonts w:ascii="宋体" w:hAnsi="宋体" w:cs="宋体"/>
          <w:b/>
          <w:szCs w:val="21"/>
        </w:rPr>
      </w:pPr>
      <w:r>
        <w:rPr>
          <w:rFonts w:hint="eastAsia" w:ascii="宋体" w:hAnsi="宋体" w:cs="宋体"/>
          <w:b/>
          <w:szCs w:val="21"/>
        </w:rPr>
        <w:t>二、供应商的资格证明资料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附件3：供应商基本情况表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附件4：磋商文件规定的基本资格条件证明资料</w:t>
      </w:r>
    </w:p>
    <w:p>
      <w:pPr>
        <w:adjustRightInd w:val="0"/>
        <w:snapToGrid w:val="0"/>
        <w:spacing w:line="360" w:lineRule="auto"/>
        <w:ind w:firstLine="420" w:firstLineChars="200"/>
        <w:rPr>
          <w:rFonts w:ascii="宋体" w:hAnsi="宋体" w:cs="宋体"/>
          <w:szCs w:val="21"/>
        </w:rPr>
      </w:pPr>
      <w:r>
        <w:rPr>
          <w:rFonts w:hint="eastAsia" w:ascii="宋体" w:hAnsi="宋体" w:cs="宋体"/>
          <w:bCs/>
          <w:szCs w:val="21"/>
        </w:rPr>
        <w:t>附件5：</w:t>
      </w:r>
      <w:r>
        <w:rPr>
          <w:rFonts w:hint="eastAsia" w:ascii="宋体" w:hAnsi="宋体" w:cs="宋体"/>
          <w:szCs w:val="21"/>
        </w:rPr>
        <w:t>磋商文件规定的特定资格条件证明资料</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附件6：其他说明</w:t>
      </w:r>
    </w:p>
    <w:p>
      <w:pPr>
        <w:adjustRightInd w:val="0"/>
        <w:snapToGrid w:val="0"/>
        <w:spacing w:line="360" w:lineRule="auto"/>
        <w:rPr>
          <w:rFonts w:ascii="宋体" w:hAnsi="宋体" w:cs="宋体"/>
          <w:b/>
          <w:szCs w:val="21"/>
        </w:rPr>
      </w:pPr>
      <w:r>
        <w:rPr>
          <w:rFonts w:hint="eastAsia" w:ascii="宋体" w:hAnsi="宋体" w:cs="宋体"/>
          <w:b/>
          <w:szCs w:val="21"/>
        </w:rPr>
        <w:t>三、服务方案说明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附件7：服务方案说明（服务类适用）</w:t>
      </w:r>
    </w:p>
    <w:p>
      <w:pPr>
        <w:adjustRightInd w:val="0"/>
        <w:snapToGrid w:val="0"/>
        <w:spacing w:line="360" w:lineRule="auto"/>
        <w:rPr>
          <w:rFonts w:ascii="宋体" w:hAnsi="宋体" w:cs="宋体"/>
          <w:b/>
        </w:rPr>
      </w:pPr>
      <w:r>
        <w:rPr>
          <w:rFonts w:hint="eastAsia" w:ascii="宋体" w:hAnsi="宋体" w:cs="宋体"/>
          <w:b/>
        </w:rPr>
        <w:t>四、技术/商务响应与偏离表</w:t>
      </w:r>
    </w:p>
    <w:p>
      <w:pPr>
        <w:adjustRightInd w:val="0"/>
        <w:snapToGrid w:val="0"/>
        <w:spacing w:line="360" w:lineRule="auto"/>
        <w:rPr>
          <w:rFonts w:ascii="宋体" w:hAnsi="宋体" w:cs="宋体"/>
          <w:b/>
          <w:szCs w:val="21"/>
        </w:rPr>
      </w:pPr>
      <w:r>
        <w:rPr>
          <w:rFonts w:hint="eastAsia" w:ascii="宋体" w:hAnsi="宋体" w:cs="宋体"/>
          <w:b/>
          <w:szCs w:val="21"/>
        </w:rPr>
        <w:t>五、报价一览表及分项价格表</w:t>
      </w:r>
    </w:p>
    <w:p>
      <w:pPr>
        <w:adjustRightInd w:val="0"/>
        <w:snapToGrid w:val="0"/>
        <w:spacing w:line="360" w:lineRule="auto"/>
        <w:ind w:firstLine="420" w:firstLineChars="200"/>
        <w:jc w:val="left"/>
        <w:rPr>
          <w:rFonts w:ascii="宋体" w:hAnsi="宋体" w:cs="宋体"/>
          <w:bCs/>
          <w:szCs w:val="21"/>
        </w:rPr>
      </w:pPr>
      <w:r>
        <w:rPr>
          <w:rFonts w:hint="eastAsia" w:ascii="宋体" w:hAnsi="宋体" w:cs="宋体"/>
          <w:szCs w:val="21"/>
        </w:rPr>
        <w:t>附件8：</w:t>
      </w:r>
      <w:r>
        <w:rPr>
          <w:rFonts w:hint="eastAsia" w:ascii="宋体" w:hAnsi="宋体" w:cs="宋体"/>
          <w:bCs/>
          <w:szCs w:val="21"/>
        </w:rPr>
        <w:t>报价一览表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bCs/>
          <w:szCs w:val="21"/>
        </w:rPr>
        <w:t>附件8-1：分项价格表</w:t>
      </w:r>
    </w:p>
    <w:p>
      <w:pPr>
        <w:adjustRightInd w:val="0"/>
        <w:snapToGrid w:val="0"/>
        <w:spacing w:line="360" w:lineRule="auto"/>
        <w:rPr>
          <w:rFonts w:ascii="宋体" w:hAnsi="宋体" w:cs="宋体"/>
          <w:b/>
          <w:szCs w:val="21"/>
        </w:rPr>
      </w:pPr>
      <w:r>
        <w:rPr>
          <w:rFonts w:hint="eastAsia" w:ascii="宋体" w:hAnsi="宋体" w:cs="宋体"/>
          <w:b/>
          <w:szCs w:val="21"/>
        </w:rPr>
        <w:t>六、供应商认为需提供的其它资料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rPr>
        <w:t>七、最后报价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2"/>
        <w:ind w:firstLine="643"/>
        <w:rPr>
          <w:rFonts w:ascii="宋体" w:hAnsi="宋体" w:cs="宋体"/>
          <w:b/>
          <w:sz w:val="32"/>
          <w:szCs w:val="32"/>
        </w:rPr>
      </w:pPr>
    </w:p>
    <w:p>
      <w:pPr>
        <w:pStyle w:val="2"/>
        <w:ind w:firstLine="643"/>
        <w:rPr>
          <w:rFonts w:ascii="宋体" w:hAnsi="宋体" w:cs="宋体"/>
          <w:b/>
          <w:sz w:val="32"/>
          <w:szCs w:val="32"/>
        </w:rPr>
      </w:pPr>
    </w:p>
    <w:p>
      <w:pPr>
        <w:pStyle w:val="2"/>
        <w:ind w:firstLine="643"/>
        <w:rPr>
          <w:rFonts w:ascii="宋体" w:hAnsi="宋体" w:cs="宋体"/>
          <w:b/>
          <w:sz w:val="32"/>
          <w:szCs w:val="32"/>
        </w:rPr>
      </w:pPr>
    </w:p>
    <w:p>
      <w:pPr>
        <w:pStyle w:val="2"/>
        <w:ind w:firstLine="643"/>
        <w:rPr>
          <w:rFonts w:ascii="宋体" w:hAnsi="宋体" w:cs="宋体"/>
          <w:b/>
          <w:sz w:val="32"/>
          <w:szCs w:val="32"/>
        </w:rPr>
      </w:pPr>
    </w:p>
    <w:p>
      <w:pPr>
        <w:pStyle w:val="2"/>
        <w:ind w:firstLine="643"/>
        <w:rPr>
          <w:rFonts w:ascii="宋体" w:hAnsi="宋体" w:cs="宋体"/>
          <w:b/>
          <w:sz w:val="32"/>
          <w:szCs w:val="32"/>
        </w:rPr>
      </w:pPr>
    </w:p>
    <w:p>
      <w:pPr>
        <w:pStyle w:val="2"/>
        <w:ind w:firstLine="643"/>
        <w:rPr>
          <w:rFonts w:ascii="宋体" w:hAnsi="宋体" w:cs="宋体"/>
          <w:b/>
          <w:sz w:val="32"/>
          <w:szCs w:val="32"/>
        </w:rPr>
      </w:pPr>
    </w:p>
    <w:p>
      <w:pPr>
        <w:spacing w:line="360" w:lineRule="exact"/>
        <w:jc w:val="center"/>
        <w:rPr>
          <w:rFonts w:ascii="宋体" w:hAnsi="宋体" w:cs="宋体"/>
          <w:b/>
          <w:sz w:val="32"/>
          <w:szCs w:val="32"/>
        </w:rPr>
      </w:pPr>
    </w:p>
    <w:p>
      <w:pPr>
        <w:widowControl/>
        <w:jc w:val="left"/>
        <w:rPr>
          <w:rFonts w:ascii="宋体" w:hAnsi="宋体" w:cs="宋体"/>
          <w:b/>
          <w:sz w:val="32"/>
          <w:szCs w:val="32"/>
        </w:rPr>
      </w:pPr>
      <w:r>
        <w:rPr>
          <w:rFonts w:ascii="宋体" w:hAnsi="宋体" w:cs="宋体"/>
          <w:b/>
          <w:sz w:val="32"/>
          <w:szCs w:val="32"/>
        </w:rPr>
        <w:br w:type="page"/>
      </w: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项目名称)的竞争性磋商文件（采购编号：</w:t>
      </w:r>
      <w:r>
        <w:rPr>
          <w:rFonts w:hint="eastAsia" w:ascii="宋体" w:hAnsi="宋体" w:cs="宋体"/>
          <w:szCs w:val="21"/>
          <w:u w:val="single"/>
        </w:rPr>
        <w:t xml:space="preserve">            </w:t>
      </w:r>
      <w:r>
        <w:rPr>
          <w:rFonts w:hint="eastAsia" w:ascii="宋体" w:hAnsi="宋体" w:cs="宋体"/>
          <w:szCs w:val="21"/>
        </w:rPr>
        <w:t xml:space="preserve"> ；采购代理编号：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pStyle w:val="26"/>
        <w:adjustRightInd w:val="0"/>
        <w:snapToGrid w:val="0"/>
        <w:spacing w:line="360" w:lineRule="auto"/>
        <w:ind w:firstLine="420" w:firstLineChars="200"/>
        <w:rPr>
          <w:rFonts w:hAnsi="宋体"/>
        </w:rPr>
      </w:pPr>
      <w:r>
        <w:rPr>
          <w:rFonts w:hint="eastAsia" w:hAnsi="宋体" w:cs="宋体"/>
        </w:rPr>
        <w:t>（1）</w:t>
      </w:r>
      <w:r>
        <w:rPr>
          <w:rFonts w:hint="eastAsia" w:hAnsi="宋体"/>
        </w:rPr>
        <w:t>受到刑事处罚；</w:t>
      </w:r>
    </w:p>
    <w:p>
      <w:pPr>
        <w:pStyle w:val="26"/>
        <w:adjustRightInd w:val="0"/>
        <w:snapToGrid w:val="0"/>
        <w:spacing w:line="360" w:lineRule="auto"/>
        <w:ind w:firstLine="420" w:firstLineChars="200"/>
        <w:rPr>
          <w:rFonts w:hAnsi="宋体"/>
        </w:rPr>
      </w:pPr>
      <w:r>
        <w:rPr>
          <w:rFonts w:hint="eastAsia" w:hAnsi="宋体"/>
        </w:rPr>
        <w:t>（2）受到</w:t>
      </w:r>
      <w:r>
        <w:rPr>
          <w:rFonts w:hint="eastAsia" w:hAnsi="宋体"/>
          <w:bCs/>
        </w:rPr>
        <w:t>责令停产停业、吊销许可证或者执照、较大数额罚款等行政处罚，</w:t>
      </w:r>
      <w:r>
        <w:rPr>
          <w:rFonts w:hint="eastAsia" w:hAnsi="宋体" w:cs="宋体"/>
        </w:rPr>
        <w:t>其中较大数额罚款是指：达到200万元以上的罚款的；法律、行政法规以及国务院有关部门明确规定相关领域“较大数额罚款”标准高于200万的，从其规定</w:t>
      </w:r>
      <w:r>
        <w:rPr>
          <w:rFonts w:hint="eastAsia" w:hAnsi="宋体"/>
        </w:rPr>
        <w:t>。</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rPr>
          <w:rFonts w:ascii="宋体" w:hAnsi="宋体" w:cs="宋体"/>
          <w:bCs/>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r>
        <w:rPr>
          <w:b/>
          <w:szCs w:val="21"/>
        </w:rPr>
        <w:t>注：</w:t>
      </w:r>
      <w:r>
        <w:rPr>
          <w:rFonts w:hint="eastAsia"/>
          <w:b/>
          <w:szCs w:val="21"/>
        </w:rPr>
        <w:t>（</w:t>
      </w:r>
      <w:r>
        <w:rPr>
          <w:b/>
          <w:szCs w:val="21"/>
        </w:rPr>
        <w:t>此法定代表人身份证明由投标单位加盖单位公章，除投标文件中须提供外，还须另外准备一份，不装入投标文件，与项目的投标文件同时分别递交，否则，视为自动放弃投标。）</w:t>
      </w: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r>
        <w:rPr>
          <w:rFonts w:hint="eastAsia" w:ascii="宋体" w:hAnsi="宋体" w:cs="宋体"/>
          <w:b/>
        </w:rPr>
        <w:t>（注：此法定代表人授权委托书由投标单位法定代表人和委托代理人亲笔签署，并加盖单位公章，除投标文件中须提供外，供应商代表不是供应商法定代表人的，请另单独准备本授权委托书原件一份，与项目的投标文件同时分别递交，否则，视为自动放弃投标。）</w:t>
      </w:r>
    </w:p>
    <w:p>
      <w:pPr>
        <w:spacing w:line="360" w:lineRule="exact"/>
        <w:rPr>
          <w:rFonts w:ascii="宋体" w:hAnsi="宋体" w:cs="宋体"/>
          <w:b/>
        </w:rPr>
      </w:pPr>
    </w:p>
    <w:p>
      <w:pPr>
        <w:spacing w:line="360" w:lineRule="exact"/>
        <w:rPr>
          <w:rFonts w:ascii="宋体" w:hAnsi="宋体" w:cs="宋体"/>
          <w:b/>
        </w:rPr>
      </w:pPr>
    </w:p>
    <w:p>
      <w:pPr>
        <w:pStyle w:val="2"/>
        <w:ind w:left="0" w:leftChars="0" w:firstLine="0" w:firstLineChars="0"/>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二、供应商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附件3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6"/>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 w:val="30"/>
          <w:szCs w:val="30"/>
        </w:rPr>
      </w:pPr>
    </w:p>
    <w:p>
      <w:pPr>
        <w:spacing w:line="480" w:lineRule="exact"/>
        <w:rPr>
          <w:rFonts w:ascii="宋体" w:hAnsi="宋体" w:cs="宋体"/>
          <w:sz w:val="30"/>
          <w:szCs w:val="30"/>
        </w:rPr>
      </w:pPr>
      <w:r>
        <w:rPr>
          <w:rFonts w:hint="eastAsia" w:ascii="宋体" w:hAnsi="宋体" w:cs="宋体"/>
          <w:sz w:val="30"/>
          <w:szCs w:val="30"/>
        </w:rPr>
        <w:t>附件4      磋商文件规定的基本资格条件证明资料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w:t>
      </w:r>
    </w:p>
    <w:p>
      <w:pPr>
        <w:spacing w:line="480" w:lineRule="exact"/>
        <w:ind w:firstLine="525" w:firstLineChars="250"/>
        <w:rPr>
          <w:rFonts w:ascii="宋体" w:hAnsi="宋体" w:cs="宋体"/>
          <w:szCs w:val="21"/>
        </w:rPr>
      </w:pPr>
      <w:r>
        <w:rPr>
          <w:rFonts w:hint="eastAsia" w:ascii="宋体" w:hAnsi="宋体" w:cs="宋体"/>
          <w:szCs w:val="21"/>
        </w:rPr>
        <w:t>提供第二章 磋商须知第 3.1 款供应商基本资格条件证明资料的复印件。</w:t>
      </w:r>
    </w:p>
    <w:p>
      <w:pPr>
        <w:spacing w:line="480" w:lineRule="exact"/>
        <w:ind w:firstLine="525" w:firstLineChars="250"/>
        <w:rPr>
          <w:rFonts w:ascii="宋体" w:hAnsi="宋体" w:cs="宋体"/>
          <w:szCs w:val="21"/>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b/>
          <w:sz w:val="30"/>
          <w:szCs w:val="30"/>
        </w:rPr>
      </w:pPr>
    </w:p>
    <w:p>
      <w:pPr>
        <w:widowControl/>
        <w:jc w:val="left"/>
        <w:rPr>
          <w:rFonts w:ascii="宋体" w:hAnsi="宋体" w:cs="宋体"/>
          <w:b/>
          <w:sz w:val="30"/>
          <w:szCs w:val="30"/>
        </w:rPr>
      </w:pPr>
      <w:r>
        <w:rPr>
          <w:rFonts w:ascii="宋体" w:hAnsi="宋体" w:cs="宋体"/>
          <w:b/>
          <w:sz w:val="30"/>
          <w:szCs w:val="30"/>
        </w:rPr>
        <w:br w:type="page"/>
      </w:r>
    </w:p>
    <w:p>
      <w:pPr>
        <w:spacing w:line="480" w:lineRule="exact"/>
        <w:rPr>
          <w:rFonts w:ascii="宋体" w:hAnsi="宋体" w:cs="宋体"/>
          <w:b/>
          <w:sz w:val="30"/>
          <w:szCs w:val="30"/>
        </w:rPr>
      </w:pPr>
      <w:r>
        <w:rPr>
          <w:rFonts w:hint="eastAsia" w:ascii="宋体" w:hAnsi="宋体" w:cs="宋体"/>
          <w:b/>
          <w:sz w:val="30"/>
          <w:szCs w:val="30"/>
        </w:rPr>
        <w:t>附件5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pStyle w:val="31"/>
        <w:rPr>
          <w:rFonts w:ascii="宋体" w:hAnsi="宋体" w:cs="宋体"/>
          <w:sz w:val="30"/>
          <w:szCs w:val="30"/>
        </w:rPr>
      </w:pPr>
    </w:p>
    <w:p>
      <w:pPr>
        <w:pStyle w:val="31"/>
        <w:rPr>
          <w:rFonts w:ascii="宋体" w:hAnsi="宋体" w:cs="宋体"/>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widowControl/>
        <w:jc w:val="left"/>
        <w:rPr>
          <w:rFonts w:ascii="宋体" w:hAnsi="宋体" w:cs="宋体"/>
          <w:b/>
          <w:sz w:val="30"/>
          <w:szCs w:val="30"/>
        </w:rPr>
      </w:pPr>
      <w:r>
        <w:rPr>
          <w:rFonts w:ascii="宋体" w:hAnsi="宋体" w:cs="宋体"/>
          <w:b/>
          <w:sz w:val="30"/>
          <w:szCs w:val="30"/>
        </w:rPr>
        <w:br w:type="page"/>
      </w:r>
    </w:p>
    <w:p>
      <w:pPr>
        <w:adjustRightInd w:val="0"/>
        <w:snapToGrid w:val="0"/>
        <w:spacing w:line="360" w:lineRule="auto"/>
        <w:rPr>
          <w:rFonts w:ascii="宋体" w:hAnsi="宋体" w:cs="宋体"/>
          <w:b/>
          <w:sz w:val="30"/>
          <w:szCs w:val="30"/>
        </w:rPr>
      </w:pPr>
      <w:r>
        <w:rPr>
          <w:rFonts w:hint="eastAsia" w:ascii="宋体" w:hAnsi="宋体" w:cs="宋体"/>
          <w:b/>
          <w:sz w:val="30"/>
          <w:szCs w:val="30"/>
        </w:rPr>
        <w:t>附件6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31"/>
        <w:rPr>
          <w:rFonts w:ascii="宋体" w:hAnsi="宋体" w:cs="宋体"/>
          <w:b/>
          <w:sz w:val="32"/>
          <w:szCs w:val="32"/>
        </w:rPr>
      </w:pPr>
    </w:p>
    <w:p>
      <w:pPr>
        <w:pStyle w:val="31"/>
        <w:rPr>
          <w:rFonts w:ascii="宋体" w:hAnsi="宋体" w:cs="宋体"/>
          <w:b/>
          <w:sz w:val="32"/>
          <w:szCs w:val="32"/>
        </w:rPr>
      </w:pPr>
    </w:p>
    <w:p>
      <w:pPr>
        <w:pStyle w:val="31"/>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三、服务方案说明</w:t>
      </w:r>
    </w:p>
    <w:p>
      <w:pPr>
        <w:adjustRightInd w:val="0"/>
        <w:snapToGrid w:val="0"/>
        <w:spacing w:line="360" w:lineRule="auto"/>
        <w:jc w:val="center"/>
        <w:rPr>
          <w:rFonts w:ascii="宋体" w:hAnsi="宋体" w:cs="宋体"/>
          <w:b/>
          <w:sz w:val="32"/>
          <w:szCs w:val="32"/>
        </w:rPr>
      </w:pPr>
    </w:p>
    <w:p>
      <w:pPr>
        <w:adjustRightInd w:val="0"/>
        <w:snapToGrid w:val="0"/>
        <w:rPr>
          <w:rFonts w:ascii="黑体" w:eastAsia="黑体"/>
          <w:sz w:val="30"/>
          <w:szCs w:val="30"/>
        </w:rPr>
      </w:pPr>
      <w:r>
        <w:rPr>
          <w:rFonts w:hint="eastAsia" w:ascii="黑体" w:eastAsia="黑体"/>
          <w:sz w:val="30"/>
          <w:szCs w:val="30"/>
        </w:rPr>
        <w:t>附件7-1：</w:t>
      </w:r>
    </w:p>
    <w:p>
      <w:pPr>
        <w:adjustRightInd w:val="0"/>
        <w:snapToGrid w:val="0"/>
        <w:spacing w:line="360" w:lineRule="auto"/>
        <w:rPr>
          <w:rFonts w:ascii="宋体" w:hAnsi="宋体" w:cs="宋体"/>
          <w:sz w:val="30"/>
          <w:szCs w:val="30"/>
        </w:rPr>
      </w:pPr>
      <w:r>
        <w:rPr>
          <w:rFonts w:hint="eastAsia" w:ascii="宋体" w:hAnsi="宋体" w:cs="宋体"/>
          <w:sz w:val="30"/>
          <w:szCs w:val="30"/>
        </w:rPr>
        <w:t>服务方案说明（服务类适用）</w:t>
      </w:r>
    </w:p>
    <w:p>
      <w:pPr>
        <w:spacing w:line="360" w:lineRule="auto"/>
        <w:rPr>
          <w:rFonts w:ascii="宋体" w:hAnsi="宋体" w:cs="宋体"/>
          <w:szCs w:val="21"/>
        </w:rPr>
      </w:pPr>
      <w:r>
        <w:rPr>
          <w:rFonts w:hint="eastAsia" w:ascii="宋体" w:hAnsi="宋体" w:cs="宋体"/>
          <w:bCs/>
          <w:szCs w:val="21"/>
        </w:rPr>
        <w:t>供应商应根据第四章规定和本项目评标标准要求编写项目实施服务方案。服务方案应包括但不限于：(1)</w:t>
      </w:r>
      <w:r>
        <w:rPr>
          <w:rFonts w:hint="eastAsia"/>
        </w:rPr>
        <w:t xml:space="preserve"> </w:t>
      </w:r>
      <w:r>
        <w:rPr>
          <w:rFonts w:hint="eastAsia" w:ascii="宋体" w:hAnsi="宋体" w:cs="宋体"/>
          <w:bCs/>
          <w:szCs w:val="21"/>
        </w:rPr>
        <w:t>对项目的理解；(2)</w:t>
      </w:r>
      <w:r>
        <w:rPr>
          <w:rFonts w:hint="eastAsia" w:ascii="宋体" w:hAnsi="宋体" w:cs="宋体"/>
          <w:szCs w:val="21"/>
        </w:rPr>
        <w:t xml:space="preserve"> 技术方案</w:t>
      </w:r>
      <w:r>
        <w:rPr>
          <w:rFonts w:hint="eastAsia" w:ascii="宋体" w:hAnsi="宋体" w:cs="宋体"/>
          <w:bCs/>
          <w:szCs w:val="21"/>
        </w:rPr>
        <w:t>；(3)</w:t>
      </w:r>
      <w:r>
        <w:rPr>
          <w:rFonts w:hint="eastAsia" w:ascii="宋体" w:hAnsi="宋体"/>
          <w:kern w:val="0"/>
          <w:szCs w:val="21"/>
          <w:shd w:val="clear" w:color="auto" w:fill="FFFFFF"/>
        </w:rPr>
        <w:t xml:space="preserve"> 设计进度保障</w:t>
      </w:r>
      <w:r>
        <w:rPr>
          <w:rFonts w:hint="eastAsia" w:ascii="宋体" w:hAnsi="宋体" w:cs="宋体"/>
          <w:bCs/>
          <w:szCs w:val="21"/>
        </w:rPr>
        <w:t>；(4)</w:t>
      </w:r>
      <w:r>
        <w:rPr>
          <w:rFonts w:hint="eastAsia"/>
        </w:rPr>
        <w:t xml:space="preserve"> </w:t>
      </w:r>
      <w:r>
        <w:rPr>
          <w:rFonts w:hint="eastAsia" w:ascii="宋体" w:hAnsi="宋体" w:cs="宋体"/>
          <w:bCs/>
          <w:szCs w:val="21"/>
        </w:rPr>
        <w:t>合理化建议。</w:t>
      </w:r>
      <w:r>
        <w:rPr>
          <w:rFonts w:ascii="宋体" w:hAnsi="宋体" w:cs="宋体"/>
          <w:szCs w:val="21"/>
        </w:rPr>
        <w:t xml:space="preserve"> </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pStyle w:val="2"/>
      </w:pPr>
    </w:p>
    <w:p>
      <w:pPr>
        <w:adjustRightInd w:val="0"/>
        <w:snapToGrid w:val="0"/>
        <w:rPr>
          <w:rFonts w:ascii="宋体" w:hAnsi="宋体" w:cs="宋体"/>
          <w:sz w:val="30"/>
          <w:szCs w:val="30"/>
        </w:rPr>
      </w:pPr>
    </w:p>
    <w:p>
      <w:pPr>
        <w:adjustRightInd w:val="0"/>
        <w:snapToGrid w:val="0"/>
        <w:spacing w:line="360" w:lineRule="auto"/>
        <w:rPr>
          <w:rFonts w:ascii="宋体" w:hAnsi="宋体" w:cs="宋体"/>
          <w:bCs/>
          <w:szCs w:val="21"/>
        </w:rPr>
      </w:pPr>
    </w:p>
    <w:p>
      <w:pPr>
        <w:pStyle w:val="31"/>
      </w:pPr>
    </w:p>
    <w:p>
      <w:pPr>
        <w:pStyle w:val="31"/>
      </w:pPr>
    </w:p>
    <w:p>
      <w:pPr>
        <w:pStyle w:val="31"/>
      </w:pPr>
    </w:p>
    <w:p>
      <w:pPr>
        <w:pStyle w:val="31"/>
      </w:pPr>
    </w:p>
    <w:p>
      <w:pPr>
        <w:widowControl/>
        <w:jc w:val="left"/>
        <w:rPr>
          <w:rFonts w:ascii="黑体" w:eastAsia="黑体"/>
          <w:sz w:val="30"/>
          <w:szCs w:val="30"/>
        </w:rPr>
      </w:pPr>
      <w:r>
        <w:rPr>
          <w:rFonts w:ascii="黑体" w:eastAsia="黑体"/>
          <w:sz w:val="30"/>
          <w:szCs w:val="30"/>
        </w:rPr>
        <w:br w:type="page"/>
      </w:r>
    </w:p>
    <w:p>
      <w:pPr>
        <w:adjustRightInd w:val="0"/>
        <w:snapToGrid w:val="0"/>
        <w:rPr>
          <w:rFonts w:ascii="黑体" w:eastAsia="黑体"/>
          <w:sz w:val="30"/>
          <w:szCs w:val="30"/>
        </w:rPr>
      </w:pPr>
      <w:r>
        <w:rPr>
          <w:rFonts w:hint="eastAsia" w:ascii="黑体" w:eastAsia="黑体"/>
          <w:sz w:val="30"/>
          <w:szCs w:val="30"/>
        </w:rPr>
        <w:t>附件7-2：</w:t>
      </w:r>
    </w:p>
    <w:p>
      <w:pPr>
        <w:spacing w:line="360" w:lineRule="atLeast"/>
        <w:jc w:val="center"/>
        <w:rPr>
          <w:rFonts w:ascii="黑体" w:eastAsia="黑体"/>
          <w:sz w:val="30"/>
          <w:szCs w:val="30"/>
        </w:rPr>
      </w:pPr>
      <w:r>
        <w:rPr>
          <w:rFonts w:hint="eastAsia" w:ascii="黑体" w:eastAsia="黑体"/>
          <w:sz w:val="30"/>
          <w:szCs w:val="30"/>
        </w:rPr>
        <w:t>主要人员简历表(</w:t>
      </w:r>
      <w:r>
        <w:rPr>
          <w:rFonts w:hint="eastAsia" w:ascii="黑体" w:hAnsi="宋体" w:eastAsia="黑体"/>
          <w:sz w:val="30"/>
          <w:szCs w:val="30"/>
        </w:rPr>
        <w:t>服务类适用</w:t>
      </w:r>
      <w:r>
        <w:rPr>
          <w:rFonts w:hint="eastAsia" w:ascii="黑体" w:eastAsia="黑体"/>
          <w:sz w:val="30"/>
          <w:szCs w:val="30"/>
        </w:rPr>
        <w:t>)</w:t>
      </w:r>
    </w:p>
    <w:p>
      <w:pPr>
        <w:spacing w:line="360" w:lineRule="atLeast"/>
        <w:jc w:val="center"/>
        <w:rPr>
          <w:rFonts w:ascii="宋体"/>
          <w:sz w:val="28"/>
          <w:szCs w:val="28"/>
        </w:rPr>
      </w:pPr>
    </w:p>
    <w:tbl>
      <w:tblPr>
        <w:tblStyle w:val="46"/>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1" w:hRule="exact"/>
        </w:trPr>
        <w:tc>
          <w:tcPr>
            <w:tcW w:w="2032" w:type="dxa"/>
            <w:gridSpan w:val="2"/>
            <w:vAlign w:val="center"/>
          </w:tcPr>
          <w:p>
            <w:pPr>
              <w:spacing w:line="360" w:lineRule="atLeast"/>
              <w:jc w:val="center"/>
              <w:rPr>
                <w:rFonts w:ascii="宋体"/>
              </w:rPr>
            </w:pPr>
            <w:r>
              <w:rPr>
                <w:rFonts w:hint="eastAsia" w:ascii="宋体"/>
              </w:rPr>
              <w:t>姓</w:t>
            </w:r>
            <w:r>
              <w:rPr>
                <w:rFonts w:ascii="宋体"/>
              </w:rPr>
              <w:t xml:space="preserve">   </w:t>
            </w:r>
            <w:r>
              <w:rPr>
                <w:rFonts w:hint="eastAsia" w:ascii="宋体"/>
              </w:rPr>
              <w:t>名</w:t>
            </w:r>
          </w:p>
        </w:tc>
        <w:tc>
          <w:tcPr>
            <w:tcW w:w="2468" w:type="dxa"/>
            <w:vAlign w:val="center"/>
          </w:tcPr>
          <w:p>
            <w:pPr>
              <w:spacing w:line="360" w:lineRule="atLeast"/>
              <w:jc w:val="center"/>
              <w:rPr>
                <w:rFonts w:ascii="宋体"/>
              </w:rPr>
            </w:pPr>
          </w:p>
        </w:tc>
        <w:tc>
          <w:tcPr>
            <w:tcW w:w="2340" w:type="dxa"/>
            <w:gridSpan w:val="3"/>
            <w:vAlign w:val="center"/>
          </w:tcPr>
          <w:p>
            <w:pPr>
              <w:spacing w:line="360" w:lineRule="atLeast"/>
              <w:jc w:val="center"/>
              <w:rPr>
                <w:rFonts w:ascii="宋体"/>
              </w:rPr>
            </w:pPr>
            <w:r>
              <w:rPr>
                <w:rFonts w:hint="eastAsia" w:ascii="宋体"/>
              </w:rPr>
              <w:t>性</w:t>
            </w:r>
            <w:r>
              <w:rPr>
                <w:rFonts w:ascii="宋体"/>
              </w:rPr>
              <w:t xml:space="preserve">  </w:t>
            </w:r>
            <w:r>
              <w:rPr>
                <w:rFonts w:hint="eastAsia" w:ascii="宋体"/>
              </w:rPr>
              <w:t>别</w:t>
            </w:r>
          </w:p>
        </w:tc>
        <w:tc>
          <w:tcPr>
            <w:tcW w:w="1663" w:type="dxa"/>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032" w:type="dxa"/>
            <w:gridSpan w:val="2"/>
            <w:vAlign w:val="center"/>
          </w:tcPr>
          <w:p>
            <w:pPr>
              <w:spacing w:line="360" w:lineRule="atLeast"/>
              <w:jc w:val="center"/>
              <w:rPr>
                <w:rFonts w:ascii="宋体"/>
              </w:rPr>
            </w:pPr>
            <w:r>
              <w:rPr>
                <w:rFonts w:hint="eastAsia" w:ascii="宋体"/>
              </w:rPr>
              <w:t>职</w:t>
            </w:r>
            <w:r>
              <w:rPr>
                <w:rFonts w:ascii="宋体"/>
              </w:rPr>
              <w:t xml:space="preserve">   </w:t>
            </w:r>
            <w:r>
              <w:rPr>
                <w:rFonts w:hint="eastAsia" w:ascii="宋体"/>
              </w:rPr>
              <w:t>务</w:t>
            </w:r>
          </w:p>
        </w:tc>
        <w:tc>
          <w:tcPr>
            <w:tcW w:w="2468" w:type="dxa"/>
            <w:vAlign w:val="center"/>
          </w:tcPr>
          <w:p>
            <w:pPr>
              <w:spacing w:line="360" w:lineRule="atLeast"/>
              <w:jc w:val="center"/>
              <w:rPr>
                <w:rFonts w:ascii="宋体"/>
              </w:rPr>
            </w:pPr>
          </w:p>
        </w:tc>
        <w:tc>
          <w:tcPr>
            <w:tcW w:w="2340" w:type="dxa"/>
            <w:gridSpan w:val="3"/>
            <w:vAlign w:val="center"/>
          </w:tcPr>
          <w:p>
            <w:pPr>
              <w:spacing w:line="360" w:lineRule="atLeast"/>
              <w:jc w:val="center"/>
              <w:rPr>
                <w:rFonts w:ascii="宋体"/>
              </w:rPr>
            </w:pPr>
            <w:r>
              <w:rPr>
                <w:rFonts w:hint="eastAsia" w:ascii="宋体"/>
              </w:rPr>
              <w:t>职</w:t>
            </w:r>
            <w:r>
              <w:rPr>
                <w:rFonts w:ascii="宋体"/>
              </w:rPr>
              <w:t xml:space="preserve">  </w:t>
            </w:r>
            <w:r>
              <w:rPr>
                <w:rFonts w:hint="eastAsia" w:ascii="宋体"/>
              </w:rPr>
              <w:t>称</w:t>
            </w:r>
          </w:p>
        </w:tc>
        <w:tc>
          <w:tcPr>
            <w:tcW w:w="1663" w:type="dxa"/>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exact"/>
        </w:trPr>
        <w:tc>
          <w:tcPr>
            <w:tcW w:w="2032" w:type="dxa"/>
            <w:gridSpan w:val="2"/>
            <w:vAlign w:val="center"/>
          </w:tcPr>
          <w:p>
            <w:pPr>
              <w:spacing w:line="360" w:lineRule="atLeast"/>
              <w:jc w:val="center"/>
              <w:rPr>
                <w:rFonts w:ascii="宋体"/>
              </w:rPr>
            </w:pPr>
            <w:r>
              <w:rPr>
                <w:rFonts w:hint="eastAsia" w:ascii="宋体"/>
              </w:rPr>
              <w:t>毕业学校、专业</w:t>
            </w:r>
          </w:p>
        </w:tc>
        <w:tc>
          <w:tcPr>
            <w:tcW w:w="6471" w:type="dxa"/>
            <w:gridSpan w:val="5"/>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vAlign w:val="center"/>
          </w:tcPr>
          <w:p>
            <w:pPr>
              <w:spacing w:line="360" w:lineRule="atLeast"/>
              <w:jc w:val="center"/>
              <w:rPr>
                <w:rFonts w:ascii="宋体"/>
              </w:rPr>
            </w:pPr>
            <w:r>
              <w:rPr>
                <w:rFonts w:hint="eastAsia" w:ascii="宋体"/>
              </w:rPr>
              <w:t>身份证号</w:t>
            </w:r>
          </w:p>
        </w:tc>
        <w:tc>
          <w:tcPr>
            <w:tcW w:w="2468" w:type="dxa"/>
            <w:vAlign w:val="center"/>
          </w:tcPr>
          <w:p>
            <w:pPr>
              <w:spacing w:line="360" w:lineRule="atLeast"/>
              <w:jc w:val="center"/>
              <w:rPr>
                <w:rFonts w:ascii="宋体"/>
              </w:rPr>
            </w:pPr>
          </w:p>
        </w:tc>
        <w:tc>
          <w:tcPr>
            <w:tcW w:w="2340" w:type="dxa"/>
            <w:gridSpan w:val="3"/>
            <w:vAlign w:val="center"/>
          </w:tcPr>
          <w:p>
            <w:pPr>
              <w:spacing w:line="360" w:lineRule="atLeast"/>
              <w:jc w:val="center"/>
              <w:rPr>
                <w:rFonts w:ascii="宋体"/>
              </w:rPr>
            </w:pPr>
            <w:r>
              <w:rPr>
                <w:rFonts w:hint="eastAsia" w:ascii="宋体"/>
              </w:rPr>
              <w:t>拟在本合同任职</w:t>
            </w:r>
          </w:p>
        </w:tc>
        <w:tc>
          <w:tcPr>
            <w:tcW w:w="1663" w:type="dxa"/>
            <w:vAlign w:val="center"/>
          </w:tcPr>
          <w:p>
            <w:pPr>
              <w:spacing w:line="360" w:lineRule="atLeast"/>
              <w:ind w:right="-105" w:rightChars="-50"/>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vAlign w:val="center"/>
          </w:tcPr>
          <w:p>
            <w:pPr>
              <w:spacing w:line="360" w:lineRule="atLeast"/>
              <w:jc w:val="center"/>
              <w:rPr>
                <w:rFonts w:ascii="宋体"/>
              </w:rPr>
            </w:pPr>
            <w:r>
              <w:rPr>
                <w:rFonts w:hint="eastAsia" w:ascii="宋体"/>
              </w:rPr>
              <w:t>执业资格证</w:t>
            </w:r>
          </w:p>
        </w:tc>
        <w:tc>
          <w:tcPr>
            <w:tcW w:w="2468" w:type="dxa"/>
            <w:vAlign w:val="center"/>
          </w:tcPr>
          <w:p>
            <w:pPr>
              <w:spacing w:line="360" w:lineRule="atLeast"/>
              <w:jc w:val="center"/>
              <w:rPr>
                <w:rFonts w:ascii="宋体"/>
              </w:rPr>
            </w:pPr>
          </w:p>
        </w:tc>
        <w:tc>
          <w:tcPr>
            <w:tcW w:w="2340" w:type="dxa"/>
            <w:gridSpan w:val="3"/>
            <w:vAlign w:val="center"/>
          </w:tcPr>
          <w:p>
            <w:pPr>
              <w:spacing w:line="360" w:lineRule="atLeast"/>
              <w:jc w:val="center"/>
              <w:rPr>
                <w:rFonts w:ascii="宋体"/>
              </w:rPr>
            </w:pPr>
            <w:r>
              <w:rPr>
                <w:rFonts w:hint="eastAsia" w:ascii="宋体"/>
              </w:rPr>
              <w:t>执业资格证书号</w:t>
            </w:r>
          </w:p>
        </w:tc>
        <w:tc>
          <w:tcPr>
            <w:tcW w:w="1663" w:type="dxa"/>
            <w:vAlign w:val="center"/>
          </w:tcPr>
          <w:p>
            <w:pPr>
              <w:spacing w:line="360" w:lineRule="atLeast"/>
              <w:ind w:right="-105" w:rightChars="-50"/>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8503" w:type="dxa"/>
            <w:gridSpan w:val="7"/>
            <w:vAlign w:val="center"/>
          </w:tcPr>
          <w:p>
            <w:pPr>
              <w:spacing w:line="360" w:lineRule="atLeast"/>
              <w:rPr>
                <w:rFonts w:ascii="宋体"/>
              </w:rPr>
            </w:pPr>
            <w:r>
              <w:rPr>
                <w:rFonts w:hint="eastAsia" w:ascii="宋体"/>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r>
              <w:rPr>
                <w:rFonts w:hint="eastAsia" w:ascii="宋体"/>
              </w:rPr>
              <w:t>时间</w:t>
            </w:r>
          </w:p>
        </w:tc>
        <w:tc>
          <w:tcPr>
            <w:tcW w:w="3636" w:type="dxa"/>
            <w:gridSpan w:val="3"/>
            <w:vAlign w:val="center"/>
          </w:tcPr>
          <w:p>
            <w:pPr>
              <w:spacing w:line="360" w:lineRule="atLeast"/>
              <w:jc w:val="center"/>
              <w:rPr>
                <w:rFonts w:ascii="宋体"/>
              </w:rPr>
            </w:pPr>
            <w:r>
              <w:rPr>
                <w:rFonts w:hint="eastAsia" w:ascii="宋体"/>
              </w:rPr>
              <w:t>类似项目名称</w:t>
            </w:r>
          </w:p>
        </w:tc>
        <w:tc>
          <w:tcPr>
            <w:tcW w:w="1404" w:type="dxa"/>
            <w:vAlign w:val="center"/>
          </w:tcPr>
          <w:p>
            <w:pPr>
              <w:spacing w:line="360" w:lineRule="atLeast"/>
              <w:jc w:val="center"/>
              <w:rPr>
                <w:rFonts w:ascii="宋体"/>
              </w:rPr>
            </w:pPr>
            <w:r>
              <w:rPr>
                <w:rFonts w:hint="eastAsia" w:ascii="宋体"/>
              </w:rPr>
              <w:t>担任职务</w:t>
            </w:r>
          </w:p>
        </w:tc>
        <w:tc>
          <w:tcPr>
            <w:tcW w:w="2203" w:type="dxa"/>
            <w:gridSpan w:val="2"/>
            <w:vAlign w:val="center"/>
          </w:tcPr>
          <w:p>
            <w:pPr>
              <w:spacing w:line="360" w:lineRule="atLeast"/>
              <w:jc w:val="center"/>
              <w:rPr>
                <w:rFonts w:ascii="宋体"/>
              </w:rPr>
            </w:pPr>
            <w:r>
              <w:rPr>
                <w:rFonts w:hint="eastAsia" w:ascii="宋体"/>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bl>
    <w:p>
      <w:pPr>
        <w:spacing w:line="360" w:lineRule="atLeast"/>
        <w:rPr>
          <w:rFonts w:ascii="仿宋_GB2312" w:eastAsia="仿宋_GB2312"/>
        </w:rPr>
      </w:pPr>
      <w:r>
        <w:rPr>
          <w:rFonts w:hint="eastAsia" w:ascii="仿宋_GB2312" w:hAnsi="宋体" w:eastAsia="仿宋_GB2312"/>
          <w:szCs w:val="21"/>
        </w:rPr>
        <w:t>说明</w:t>
      </w:r>
      <w:r>
        <w:rPr>
          <w:rFonts w:hint="eastAsia" w:ascii="仿宋_GB2312" w:eastAsia="仿宋_GB2312"/>
        </w:rPr>
        <w:t>：</w:t>
      </w:r>
      <w:r>
        <w:rPr>
          <w:rFonts w:hint="eastAsia" w:ascii="仿宋_GB2312" w:hAnsi="宋体" w:eastAsia="仿宋_GB2312"/>
          <w:szCs w:val="21"/>
        </w:rPr>
        <w:t>主要人员证书、</w:t>
      </w:r>
      <w:r>
        <w:rPr>
          <w:rFonts w:hint="eastAsia" w:ascii="仿宋_GB2312" w:eastAsia="仿宋_GB2312"/>
        </w:rPr>
        <w:t>类似项目证明资料等按第二章第</w:t>
      </w:r>
      <w:r>
        <w:rPr>
          <w:rFonts w:hint="eastAsia" w:ascii="仿宋_GB2312" w:hAnsi="宋体" w:eastAsia="仿宋_GB2312"/>
        </w:rPr>
        <w:t>42.1款</w:t>
      </w:r>
      <w:r>
        <w:rPr>
          <w:rFonts w:hint="eastAsia" w:ascii="仿宋_GB2312" w:eastAsia="仿宋_GB2312"/>
        </w:rPr>
        <w:t>或第四章要求提供。</w:t>
      </w:r>
    </w:p>
    <w:p>
      <w:pPr>
        <w:adjustRightInd w:val="0"/>
        <w:snapToGrid w:val="0"/>
        <w:spacing w:line="360" w:lineRule="auto"/>
        <w:rPr>
          <w:rFonts w:ascii="宋体" w:hAnsi="宋体"/>
          <w:szCs w:val="21"/>
        </w:rPr>
      </w:pPr>
    </w:p>
    <w:p>
      <w:pPr>
        <w:rPr>
          <w:rFonts w:ascii="宋体" w:hAnsi="宋体"/>
          <w:szCs w:val="21"/>
        </w:rPr>
      </w:pPr>
    </w:p>
    <w:p>
      <w:pPr>
        <w:adjustRightInd w:val="0"/>
        <w:snapToGrid w:val="0"/>
        <w:spacing w:line="360" w:lineRule="auto"/>
        <w:rPr>
          <w:rFonts w:ascii="宋体" w:hAnsi="宋体"/>
          <w:bCs/>
          <w:szCs w:val="21"/>
        </w:rPr>
      </w:pPr>
      <w:r>
        <w:rPr>
          <w:rFonts w:hint="eastAsia" w:ascii="宋体" w:hAnsi="宋体"/>
          <w:szCs w:val="21"/>
        </w:rPr>
        <w:t>供应商名称：</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rPr>
        <w:t>_</w:t>
      </w:r>
    </w:p>
    <w:p>
      <w:pPr>
        <w:spacing w:line="360" w:lineRule="exact"/>
        <w:rPr>
          <w:rFonts w:ascii="宋体"/>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widowControl/>
        <w:jc w:val="left"/>
        <w:rPr>
          <w:rFonts w:ascii="仿宋_GB2312" w:hAnsi="仿宋_GB2312" w:eastAsia="仿宋_GB2312" w:cs="仿宋_GB2312"/>
          <w:kern w:val="0"/>
          <w:sz w:val="30"/>
          <w:szCs w:val="30"/>
          <w:lang w:bidi="ar"/>
        </w:rPr>
      </w:pPr>
    </w:p>
    <w:p>
      <w:pPr>
        <w:widowControl/>
        <w:jc w:val="left"/>
        <w:rPr>
          <w:rFonts w:ascii="仿宋_GB2312" w:hAnsi="仿宋_GB2312" w:eastAsia="仿宋_GB2312" w:cs="仿宋_GB2312"/>
          <w:kern w:val="0"/>
          <w:sz w:val="30"/>
          <w:szCs w:val="30"/>
          <w:lang w:bidi="ar"/>
        </w:rPr>
      </w:pPr>
    </w:p>
    <w:p>
      <w:pPr>
        <w:widowControl/>
        <w:jc w:val="left"/>
      </w:pPr>
      <w:r>
        <w:rPr>
          <w:rFonts w:ascii="黑体" w:eastAsia="黑体"/>
          <w:sz w:val="30"/>
          <w:szCs w:val="30"/>
        </w:rPr>
        <w:br w:type="page"/>
      </w:r>
      <w:r>
        <w:rPr>
          <w:rFonts w:hint="eastAsia" w:ascii="黑体" w:eastAsia="黑体"/>
          <w:sz w:val="30"/>
          <w:szCs w:val="30"/>
        </w:rPr>
        <w:t>附件 7-3：</w:t>
      </w:r>
      <w:r>
        <w:rPr>
          <w:rFonts w:ascii="仿宋_GB2312" w:hAnsi="仿宋_GB2312" w:eastAsia="仿宋_GB2312" w:cs="仿宋_GB2312"/>
          <w:kern w:val="0"/>
          <w:sz w:val="30"/>
          <w:szCs w:val="30"/>
          <w:lang w:bidi="ar"/>
        </w:rPr>
        <w:t xml:space="preserve"> </w:t>
      </w:r>
    </w:p>
    <w:p>
      <w:pPr>
        <w:widowControl/>
        <w:jc w:val="center"/>
      </w:pPr>
      <w:r>
        <w:rPr>
          <w:rFonts w:hint="eastAsia" w:ascii="黑体" w:eastAsia="黑体"/>
          <w:sz w:val="30"/>
          <w:szCs w:val="30"/>
        </w:rPr>
        <w:t>拟投入本项目的工作人员配置一览表</w:t>
      </w:r>
    </w:p>
    <w:p>
      <w:pPr>
        <w:widowControl/>
        <w:spacing w:line="360" w:lineRule="auto"/>
        <w:jc w:val="left"/>
        <w:rPr>
          <w:rFonts w:ascii="宋体" w:hAnsi="宋体" w:cs="宋体"/>
          <w:kern w:val="0"/>
          <w:szCs w:val="21"/>
          <w:lang w:bidi="ar"/>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735"/>
        <w:gridCol w:w="750"/>
        <w:gridCol w:w="705"/>
        <w:gridCol w:w="705"/>
        <w:gridCol w:w="1185"/>
        <w:gridCol w:w="900"/>
        <w:gridCol w:w="213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102" w:type="dxa"/>
            <w:vAlign w:val="center"/>
          </w:tcPr>
          <w:p>
            <w:pPr>
              <w:widowControl/>
              <w:spacing w:line="360" w:lineRule="auto"/>
              <w:jc w:val="center"/>
              <w:rPr>
                <w:kern w:val="0"/>
                <w:szCs w:val="21"/>
                <w:lang w:bidi="ar"/>
              </w:rPr>
            </w:pPr>
            <w:r>
              <w:rPr>
                <w:rFonts w:hint="eastAsia"/>
                <w:kern w:val="0"/>
                <w:szCs w:val="21"/>
                <w:lang w:bidi="ar"/>
              </w:rPr>
              <w:t>人员类别</w:t>
            </w:r>
          </w:p>
        </w:tc>
        <w:tc>
          <w:tcPr>
            <w:tcW w:w="735" w:type="dxa"/>
            <w:vAlign w:val="center"/>
          </w:tcPr>
          <w:p>
            <w:pPr>
              <w:widowControl/>
              <w:spacing w:line="360" w:lineRule="auto"/>
              <w:jc w:val="center"/>
              <w:rPr>
                <w:kern w:val="0"/>
                <w:szCs w:val="21"/>
                <w:lang w:bidi="ar"/>
              </w:rPr>
            </w:pPr>
            <w:r>
              <w:rPr>
                <w:rFonts w:hint="eastAsia"/>
                <w:kern w:val="0"/>
                <w:szCs w:val="21"/>
                <w:lang w:bidi="ar"/>
              </w:rPr>
              <w:t>姓名</w:t>
            </w:r>
          </w:p>
        </w:tc>
        <w:tc>
          <w:tcPr>
            <w:tcW w:w="750" w:type="dxa"/>
            <w:vAlign w:val="center"/>
          </w:tcPr>
          <w:p>
            <w:pPr>
              <w:widowControl/>
              <w:spacing w:line="360" w:lineRule="auto"/>
              <w:jc w:val="center"/>
              <w:rPr>
                <w:kern w:val="0"/>
                <w:szCs w:val="21"/>
                <w:lang w:bidi="ar"/>
              </w:rPr>
            </w:pPr>
            <w:r>
              <w:rPr>
                <w:rFonts w:hint="eastAsia"/>
                <w:kern w:val="0"/>
                <w:szCs w:val="21"/>
                <w:lang w:bidi="ar"/>
              </w:rPr>
              <w:t>年龄</w:t>
            </w:r>
          </w:p>
        </w:tc>
        <w:tc>
          <w:tcPr>
            <w:tcW w:w="705" w:type="dxa"/>
            <w:vAlign w:val="center"/>
          </w:tcPr>
          <w:p>
            <w:pPr>
              <w:widowControl/>
              <w:spacing w:line="360" w:lineRule="auto"/>
              <w:jc w:val="center"/>
              <w:rPr>
                <w:kern w:val="0"/>
                <w:szCs w:val="21"/>
                <w:lang w:bidi="ar"/>
              </w:rPr>
            </w:pPr>
            <w:r>
              <w:rPr>
                <w:rFonts w:hint="eastAsia"/>
                <w:kern w:val="0"/>
                <w:szCs w:val="21"/>
                <w:lang w:bidi="ar"/>
              </w:rPr>
              <w:t>学历</w:t>
            </w:r>
          </w:p>
        </w:tc>
        <w:tc>
          <w:tcPr>
            <w:tcW w:w="705" w:type="dxa"/>
            <w:vAlign w:val="center"/>
          </w:tcPr>
          <w:p>
            <w:pPr>
              <w:widowControl/>
              <w:spacing w:line="360" w:lineRule="auto"/>
              <w:jc w:val="center"/>
              <w:rPr>
                <w:kern w:val="0"/>
                <w:szCs w:val="21"/>
                <w:lang w:bidi="ar"/>
              </w:rPr>
            </w:pPr>
            <w:r>
              <w:rPr>
                <w:rFonts w:hint="eastAsia"/>
                <w:kern w:val="0"/>
                <w:szCs w:val="21"/>
                <w:lang w:bidi="ar"/>
              </w:rPr>
              <w:t>职称</w:t>
            </w:r>
          </w:p>
        </w:tc>
        <w:tc>
          <w:tcPr>
            <w:tcW w:w="1185" w:type="dxa"/>
            <w:vAlign w:val="center"/>
          </w:tcPr>
          <w:p>
            <w:pPr>
              <w:widowControl/>
              <w:spacing w:line="360" w:lineRule="auto"/>
              <w:jc w:val="center"/>
              <w:rPr>
                <w:kern w:val="0"/>
                <w:szCs w:val="21"/>
                <w:lang w:bidi="ar"/>
              </w:rPr>
            </w:pPr>
            <w:r>
              <w:rPr>
                <w:rFonts w:hint="eastAsia"/>
                <w:kern w:val="0"/>
                <w:szCs w:val="21"/>
                <w:lang w:bidi="ar"/>
              </w:rPr>
              <w:t>从事本工作时间</w:t>
            </w:r>
          </w:p>
        </w:tc>
        <w:tc>
          <w:tcPr>
            <w:tcW w:w="900" w:type="dxa"/>
            <w:vAlign w:val="center"/>
          </w:tcPr>
          <w:p>
            <w:pPr>
              <w:widowControl/>
              <w:spacing w:line="360" w:lineRule="auto"/>
              <w:jc w:val="center"/>
              <w:rPr>
                <w:kern w:val="0"/>
                <w:szCs w:val="21"/>
                <w:lang w:bidi="ar"/>
              </w:rPr>
            </w:pPr>
            <w:r>
              <w:rPr>
                <w:rFonts w:hint="eastAsia"/>
                <w:kern w:val="0"/>
                <w:szCs w:val="21"/>
                <w:lang w:bidi="ar"/>
              </w:rPr>
              <w:t>类似项目经验情况</w:t>
            </w:r>
          </w:p>
        </w:tc>
        <w:tc>
          <w:tcPr>
            <w:tcW w:w="2135" w:type="dxa"/>
            <w:vAlign w:val="center"/>
          </w:tcPr>
          <w:p>
            <w:pPr>
              <w:widowControl/>
              <w:spacing w:line="360" w:lineRule="auto"/>
              <w:jc w:val="center"/>
              <w:rPr>
                <w:kern w:val="0"/>
                <w:szCs w:val="21"/>
                <w:lang w:bidi="ar"/>
              </w:rPr>
            </w:pPr>
            <w:r>
              <w:rPr>
                <w:rFonts w:hint="eastAsia"/>
                <w:kern w:val="0"/>
                <w:szCs w:val="21"/>
                <w:lang w:bidi="ar"/>
              </w:rPr>
              <w:t>取得的相关证书</w:t>
            </w:r>
          </w:p>
          <w:p>
            <w:pPr>
              <w:widowControl/>
              <w:spacing w:line="360" w:lineRule="auto"/>
              <w:jc w:val="center"/>
              <w:rPr>
                <w:kern w:val="0"/>
                <w:szCs w:val="21"/>
                <w:lang w:bidi="ar"/>
              </w:rPr>
            </w:pPr>
            <w:r>
              <w:rPr>
                <w:rFonts w:hint="eastAsia"/>
                <w:kern w:val="0"/>
                <w:szCs w:val="21"/>
                <w:lang w:bidi="ar"/>
              </w:rPr>
              <w:t>（职称证、资格</w:t>
            </w:r>
          </w:p>
          <w:p>
            <w:pPr>
              <w:widowControl/>
              <w:spacing w:line="360" w:lineRule="auto"/>
              <w:jc w:val="center"/>
              <w:rPr>
                <w:kern w:val="0"/>
                <w:szCs w:val="21"/>
                <w:lang w:bidi="ar"/>
              </w:rPr>
            </w:pPr>
            <w:r>
              <w:rPr>
                <w:rFonts w:hint="eastAsia"/>
                <w:kern w:val="0"/>
                <w:szCs w:val="21"/>
                <w:lang w:bidi="ar"/>
              </w:rPr>
              <w:t>证、学历证等）</w:t>
            </w:r>
          </w:p>
          <w:p>
            <w:pPr>
              <w:widowControl/>
              <w:spacing w:line="360" w:lineRule="auto"/>
              <w:jc w:val="center"/>
              <w:rPr>
                <w:kern w:val="0"/>
                <w:szCs w:val="21"/>
                <w:lang w:bidi="ar"/>
              </w:rPr>
            </w:pPr>
          </w:p>
        </w:tc>
        <w:tc>
          <w:tcPr>
            <w:tcW w:w="843" w:type="dxa"/>
            <w:vAlign w:val="center"/>
          </w:tcPr>
          <w:p>
            <w:pPr>
              <w:widowControl/>
              <w:spacing w:line="360" w:lineRule="auto"/>
              <w:jc w:val="center"/>
              <w:rPr>
                <w:kern w:val="0"/>
                <w:szCs w:val="21"/>
                <w:lang w:bidi="ar"/>
              </w:rPr>
            </w:pPr>
            <w:r>
              <w:rPr>
                <w:rFonts w:hint="eastAsia"/>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widowControl/>
              <w:spacing w:line="360" w:lineRule="auto"/>
              <w:jc w:val="center"/>
              <w:rPr>
                <w:kern w:val="0"/>
                <w:szCs w:val="21"/>
                <w:lang w:bidi="ar"/>
              </w:rPr>
            </w:pPr>
            <w:r>
              <w:rPr>
                <w:rFonts w:hint="eastAsia"/>
                <w:kern w:val="0"/>
                <w:szCs w:val="21"/>
                <w:lang w:bidi="ar"/>
              </w:rPr>
              <w:t>项目负责人</w:t>
            </w:r>
          </w:p>
        </w:tc>
        <w:tc>
          <w:tcPr>
            <w:tcW w:w="735" w:type="dxa"/>
          </w:tcPr>
          <w:p>
            <w:pPr>
              <w:widowControl/>
              <w:spacing w:line="360" w:lineRule="auto"/>
              <w:jc w:val="left"/>
              <w:rPr>
                <w:kern w:val="0"/>
                <w:szCs w:val="21"/>
                <w:lang w:bidi="ar"/>
              </w:rPr>
            </w:pPr>
          </w:p>
        </w:tc>
        <w:tc>
          <w:tcPr>
            <w:tcW w:w="750"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1185" w:type="dxa"/>
          </w:tcPr>
          <w:p>
            <w:pPr>
              <w:widowControl/>
              <w:spacing w:line="360" w:lineRule="auto"/>
              <w:jc w:val="left"/>
              <w:rPr>
                <w:kern w:val="0"/>
                <w:szCs w:val="21"/>
                <w:lang w:bidi="ar"/>
              </w:rPr>
            </w:pPr>
          </w:p>
        </w:tc>
        <w:tc>
          <w:tcPr>
            <w:tcW w:w="900" w:type="dxa"/>
          </w:tcPr>
          <w:p>
            <w:pPr>
              <w:widowControl/>
              <w:spacing w:line="360" w:lineRule="auto"/>
              <w:jc w:val="left"/>
              <w:rPr>
                <w:kern w:val="0"/>
                <w:szCs w:val="21"/>
                <w:lang w:bidi="ar"/>
              </w:rPr>
            </w:pPr>
          </w:p>
        </w:tc>
        <w:tc>
          <w:tcPr>
            <w:tcW w:w="2135" w:type="dxa"/>
          </w:tcPr>
          <w:p>
            <w:pPr>
              <w:widowControl/>
              <w:spacing w:line="360" w:lineRule="auto"/>
              <w:jc w:val="left"/>
              <w:rPr>
                <w:kern w:val="0"/>
                <w:szCs w:val="21"/>
                <w:lang w:bidi="ar"/>
              </w:rPr>
            </w:pPr>
          </w:p>
        </w:tc>
        <w:tc>
          <w:tcPr>
            <w:tcW w:w="843" w:type="dxa"/>
          </w:tcPr>
          <w:p>
            <w:pPr>
              <w:widowControl/>
              <w:spacing w:line="360" w:lineRule="auto"/>
              <w:jc w:val="left"/>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vAlign w:val="center"/>
          </w:tcPr>
          <w:p>
            <w:pPr>
              <w:widowControl/>
              <w:spacing w:line="360" w:lineRule="auto"/>
              <w:jc w:val="center"/>
              <w:rPr>
                <w:kern w:val="0"/>
                <w:szCs w:val="21"/>
                <w:lang w:bidi="ar"/>
              </w:rPr>
            </w:pPr>
            <w:r>
              <w:rPr>
                <w:rFonts w:hint="eastAsia"/>
                <w:kern w:val="0"/>
                <w:szCs w:val="21"/>
                <w:lang w:bidi="ar"/>
              </w:rPr>
              <w:t>主要技术人员</w:t>
            </w:r>
          </w:p>
        </w:tc>
        <w:tc>
          <w:tcPr>
            <w:tcW w:w="735" w:type="dxa"/>
          </w:tcPr>
          <w:p>
            <w:pPr>
              <w:widowControl/>
              <w:spacing w:line="360" w:lineRule="auto"/>
              <w:jc w:val="left"/>
              <w:rPr>
                <w:kern w:val="0"/>
                <w:szCs w:val="21"/>
                <w:lang w:bidi="ar"/>
              </w:rPr>
            </w:pPr>
          </w:p>
        </w:tc>
        <w:tc>
          <w:tcPr>
            <w:tcW w:w="750"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1185" w:type="dxa"/>
          </w:tcPr>
          <w:p>
            <w:pPr>
              <w:widowControl/>
              <w:spacing w:line="360" w:lineRule="auto"/>
              <w:jc w:val="left"/>
              <w:rPr>
                <w:kern w:val="0"/>
                <w:szCs w:val="21"/>
                <w:lang w:bidi="ar"/>
              </w:rPr>
            </w:pPr>
          </w:p>
        </w:tc>
        <w:tc>
          <w:tcPr>
            <w:tcW w:w="900" w:type="dxa"/>
          </w:tcPr>
          <w:p>
            <w:pPr>
              <w:widowControl/>
              <w:spacing w:line="360" w:lineRule="auto"/>
              <w:jc w:val="left"/>
              <w:rPr>
                <w:kern w:val="0"/>
                <w:szCs w:val="21"/>
                <w:lang w:bidi="ar"/>
              </w:rPr>
            </w:pPr>
          </w:p>
        </w:tc>
        <w:tc>
          <w:tcPr>
            <w:tcW w:w="2135" w:type="dxa"/>
          </w:tcPr>
          <w:p>
            <w:pPr>
              <w:widowControl/>
              <w:spacing w:line="360" w:lineRule="auto"/>
              <w:jc w:val="left"/>
              <w:rPr>
                <w:kern w:val="0"/>
                <w:szCs w:val="21"/>
                <w:lang w:bidi="ar"/>
              </w:rPr>
            </w:pPr>
          </w:p>
        </w:tc>
        <w:tc>
          <w:tcPr>
            <w:tcW w:w="843" w:type="dxa"/>
          </w:tcPr>
          <w:p>
            <w:pPr>
              <w:widowControl/>
              <w:spacing w:line="360" w:lineRule="auto"/>
              <w:jc w:val="left"/>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widowControl/>
              <w:spacing w:line="360" w:lineRule="auto"/>
              <w:jc w:val="center"/>
              <w:rPr>
                <w:kern w:val="0"/>
                <w:szCs w:val="21"/>
                <w:lang w:bidi="ar"/>
              </w:rPr>
            </w:pPr>
          </w:p>
        </w:tc>
        <w:tc>
          <w:tcPr>
            <w:tcW w:w="735" w:type="dxa"/>
          </w:tcPr>
          <w:p>
            <w:pPr>
              <w:widowControl/>
              <w:spacing w:line="360" w:lineRule="auto"/>
              <w:jc w:val="left"/>
              <w:rPr>
                <w:kern w:val="0"/>
                <w:szCs w:val="21"/>
                <w:lang w:bidi="ar"/>
              </w:rPr>
            </w:pPr>
          </w:p>
        </w:tc>
        <w:tc>
          <w:tcPr>
            <w:tcW w:w="750"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1185" w:type="dxa"/>
          </w:tcPr>
          <w:p>
            <w:pPr>
              <w:widowControl/>
              <w:spacing w:line="360" w:lineRule="auto"/>
              <w:jc w:val="left"/>
              <w:rPr>
                <w:kern w:val="0"/>
                <w:szCs w:val="21"/>
                <w:lang w:bidi="ar"/>
              </w:rPr>
            </w:pPr>
          </w:p>
        </w:tc>
        <w:tc>
          <w:tcPr>
            <w:tcW w:w="900" w:type="dxa"/>
          </w:tcPr>
          <w:p>
            <w:pPr>
              <w:widowControl/>
              <w:spacing w:line="360" w:lineRule="auto"/>
              <w:jc w:val="left"/>
              <w:rPr>
                <w:kern w:val="0"/>
                <w:szCs w:val="21"/>
                <w:lang w:bidi="ar"/>
              </w:rPr>
            </w:pPr>
          </w:p>
        </w:tc>
        <w:tc>
          <w:tcPr>
            <w:tcW w:w="2135" w:type="dxa"/>
          </w:tcPr>
          <w:p>
            <w:pPr>
              <w:widowControl/>
              <w:spacing w:line="360" w:lineRule="auto"/>
              <w:jc w:val="left"/>
              <w:rPr>
                <w:kern w:val="0"/>
                <w:szCs w:val="21"/>
                <w:lang w:bidi="ar"/>
              </w:rPr>
            </w:pPr>
          </w:p>
        </w:tc>
        <w:tc>
          <w:tcPr>
            <w:tcW w:w="843" w:type="dxa"/>
          </w:tcPr>
          <w:p>
            <w:pPr>
              <w:widowControl/>
              <w:spacing w:line="360" w:lineRule="auto"/>
              <w:jc w:val="left"/>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widowControl/>
              <w:spacing w:line="360" w:lineRule="auto"/>
              <w:jc w:val="center"/>
              <w:rPr>
                <w:kern w:val="0"/>
                <w:szCs w:val="21"/>
                <w:lang w:bidi="ar"/>
              </w:rPr>
            </w:pPr>
          </w:p>
        </w:tc>
        <w:tc>
          <w:tcPr>
            <w:tcW w:w="735" w:type="dxa"/>
          </w:tcPr>
          <w:p>
            <w:pPr>
              <w:widowControl/>
              <w:spacing w:line="360" w:lineRule="auto"/>
              <w:jc w:val="left"/>
              <w:rPr>
                <w:kern w:val="0"/>
                <w:szCs w:val="21"/>
                <w:lang w:bidi="ar"/>
              </w:rPr>
            </w:pPr>
          </w:p>
        </w:tc>
        <w:tc>
          <w:tcPr>
            <w:tcW w:w="750"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1185" w:type="dxa"/>
          </w:tcPr>
          <w:p>
            <w:pPr>
              <w:widowControl/>
              <w:spacing w:line="360" w:lineRule="auto"/>
              <w:jc w:val="left"/>
              <w:rPr>
                <w:kern w:val="0"/>
                <w:szCs w:val="21"/>
                <w:lang w:bidi="ar"/>
              </w:rPr>
            </w:pPr>
          </w:p>
        </w:tc>
        <w:tc>
          <w:tcPr>
            <w:tcW w:w="900" w:type="dxa"/>
          </w:tcPr>
          <w:p>
            <w:pPr>
              <w:widowControl/>
              <w:spacing w:line="360" w:lineRule="auto"/>
              <w:jc w:val="left"/>
              <w:rPr>
                <w:kern w:val="0"/>
                <w:szCs w:val="21"/>
                <w:lang w:bidi="ar"/>
              </w:rPr>
            </w:pPr>
          </w:p>
        </w:tc>
        <w:tc>
          <w:tcPr>
            <w:tcW w:w="2135" w:type="dxa"/>
          </w:tcPr>
          <w:p>
            <w:pPr>
              <w:widowControl/>
              <w:spacing w:line="360" w:lineRule="auto"/>
              <w:jc w:val="left"/>
              <w:rPr>
                <w:kern w:val="0"/>
                <w:szCs w:val="21"/>
                <w:lang w:bidi="ar"/>
              </w:rPr>
            </w:pPr>
          </w:p>
        </w:tc>
        <w:tc>
          <w:tcPr>
            <w:tcW w:w="843" w:type="dxa"/>
          </w:tcPr>
          <w:p>
            <w:pPr>
              <w:widowControl/>
              <w:spacing w:line="360" w:lineRule="auto"/>
              <w:jc w:val="left"/>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vAlign w:val="center"/>
          </w:tcPr>
          <w:p>
            <w:pPr>
              <w:widowControl/>
              <w:spacing w:line="360" w:lineRule="auto"/>
              <w:jc w:val="center"/>
              <w:rPr>
                <w:kern w:val="0"/>
                <w:szCs w:val="21"/>
                <w:lang w:bidi="ar"/>
              </w:rPr>
            </w:pPr>
            <w:r>
              <w:rPr>
                <w:rFonts w:hint="eastAsia"/>
                <w:kern w:val="0"/>
                <w:szCs w:val="21"/>
                <w:lang w:bidi="ar"/>
              </w:rPr>
              <w:t>其他人员</w:t>
            </w:r>
          </w:p>
        </w:tc>
        <w:tc>
          <w:tcPr>
            <w:tcW w:w="735" w:type="dxa"/>
          </w:tcPr>
          <w:p>
            <w:pPr>
              <w:widowControl/>
              <w:spacing w:line="360" w:lineRule="auto"/>
              <w:jc w:val="left"/>
              <w:rPr>
                <w:kern w:val="0"/>
                <w:szCs w:val="21"/>
                <w:lang w:bidi="ar"/>
              </w:rPr>
            </w:pPr>
          </w:p>
        </w:tc>
        <w:tc>
          <w:tcPr>
            <w:tcW w:w="750"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1185" w:type="dxa"/>
          </w:tcPr>
          <w:p>
            <w:pPr>
              <w:widowControl/>
              <w:spacing w:line="360" w:lineRule="auto"/>
              <w:jc w:val="left"/>
              <w:rPr>
                <w:kern w:val="0"/>
                <w:szCs w:val="21"/>
                <w:lang w:bidi="ar"/>
              </w:rPr>
            </w:pPr>
          </w:p>
        </w:tc>
        <w:tc>
          <w:tcPr>
            <w:tcW w:w="900" w:type="dxa"/>
          </w:tcPr>
          <w:p>
            <w:pPr>
              <w:widowControl/>
              <w:spacing w:line="360" w:lineRule="auto"/>
              <w:jc w:val="left"/>
              <w:rPr>
                <w:kern w:val="0"/>
                <w:szCs w:val="21"/>
                <w:lang w:bidi="ar"/>
              </w:rPr>
            </w:pPr>
          </w:p>
        </w:tc>
        <w:tc>
          <w:tcPr>
            <w:tcW w:w="2135" w:type="dxa"/>
          </w:tcPr>
          <w:p>
            <w:pPr>
              <w:widowControl/>
              <w:spacing w:line="360" w:lineRule="auto"/>
              <w:jc w:val="left"/>
              <w:rPr>
                <w:kern w:val="0"/>
                <w:szCs w:val="21"/>
                <w:lang w:bidi="ar"/>
              </w:rPr>
            </w:pPr>
          </w:p>
        </w:tc>
        <w:tc>
          <w:tcPr>
            <w:tcW w:w="843" w:type="dxa"/>
          </w:tcPr>
          <w:p>
            <w:pPr>
              <w:widowControl/>
              <w:spacing w:line="360" w:lineRule="auto"/>
              <w:jc w:val="left"/>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widowControl/>
              <w:spacing w:line="360" w:lineRule="auto"/>
              <w:jc w:val="center"/>
              <w:rPr>
                <w:kern w:val="0"/>
                <w:szCs w:val="21"/>
                <w:lang w:bidi="ar"/>
              </w:rPr>
            </w:pPr>
          </w:p>
        </w:tc>
        <w:tc>
          <w:tcPr>
            <w:tcW w:w="735" w:type="dxa"/>
          </w:tcPr>
          <w:p>
            <w:pPr>
              <w:widowControl/>
              <w:spacing w:line="360" w:lineRule="auto"/>
              <w:jc w:val="left"/>
              <w:rPr>
                <w:kern w:val="0"/>
                <w:szCs w:val="21"/>
                <w:lang w:bidi="ar"/>
              </w:rPr>
            </w:pPr>
          </w:p>
        </w:tc>
        <w:tc>
          <w:tcPr>
            <w:tcW w:w="750"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705" w:type="dxa"/>
          </w:tcPr>
          <w:p>
            <w:pPr>
              <w:widowControl/>
              <w:spacing w:line="360" w:lineRule="auto"/>
              <w:jc w:val="left"/>
              <w:rPr>
                <w:kern w:val="0"/>
                <w:szCs w:val="21"/>
                <w:lang w:bidi="ar"/>
              </w:rPr>
            </w:pPr>
          </w:p>
        </w:tc>
        <w:tc>
          <w:tcPr>
            <w:tcW w:w="1185" w:type="dxa"/>
          </w:tcPr>
          <w:p>
            <w:pPr>
              <w:widowControl/>
              <w:spacing w:line="360" w:lineRule="auto"/>
              <w:jc w:val="left"/>
              <w:rPr>
                <w:kern w:val="0"/>
                <w:szCs w:val="21"/>
                <w:lang w:bidi="ar"/>
              </w:rPr>
            </w:pPr>
          </w:p>
        </w:tc>
        <w:tc>
          <w:tcPr>
            <w:tcW w:w="900" w:type="dxa"/>
          </w:tcPr>
          <w:p>
            <w:pPr>
              <w:widowControl/>
              <w:spacing w:line="360" w:lineRule="auto"/>
              <w:jc w:val="left"/>
              <w:rPr>
                <w:kern w:val="0"/>
                <w:szCs w:val="21"/>
                <w:lang w:bidi="ar"/>
              </w:rPr>
            </w:pPr>
          </w:p>
        </w:tc>
        <w:tc>
          <w:tcPr>
            <w:tcW w:w="2135" w:type="dxa"/>
          </w:tcPr>
          <w:p>
            <w:pPr>
              <w:widowControl/>
              <w:spacing w:line="360" w:lineRule="auto"/>
              <w:jc w:val="left"/>
              <w:rPr>
                <w:kern w:val="0"/>
                <w:szCs w:val="21"/>
                <w:lang w:bidi="ar"/>
              </w:rPr>
            </w:pPr>
          </w:p>
        </w:tc>
        <w:tc>
          <w:tcPr>
            <w:tcW w:w="843" w:type="dxa"/>
          </w:tcPr>
          <w:p>
            <w:pPr>
              <w:widowControl/>
              <w:spacing w:line="360" w:lineRule="auto"/>
              <w:jc w:val="left"/>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widowControl/>
              <w:spacing w:line="360" w:lineRule="auto"/>
              <w:jc w:val="center"/>
              <w:rPr>
                <w:kern w:val="0"/>
                <w:szCs w:val="21"/>
                <w:lang w:bidi="ar"/>
              </w:rPr>
            </w:pPr>
            <w:r>
              <w:rPr>
                <w:rFonts w:hint="eastAsia"/>
                <w:kern w:val="0"/>
                <w:szCs w:val="21"/>
                <w:lang w:bidi="ar"/>
              </w:rPr>
              <w:t>拟投入本项目人员总数</w:t>
            </w:r>
          </w:p>
        </w:tc>
        <w:tc>
          <w:tcPr>
            <w:tcW w:w="7958" w:type="dxa"/>
            <w:gridSpan w:val="8"/>
          </w:tcPr>
          <w:p>
            <w:pPr>
              <w:widowControl/>
              <w:spacing w:line="360" w:lineRule="auto"/>
              <w:jc w:val="left"/>
              <w:rPr>
                <w:kern w:val="0"/>
                <w:szCs w:val="21"/>
                <w:lang w:bidi="ar"/>
              </w:rPr>
            </w:pPr>
            <w:r>
              <w:rPr>
                <w:rFonts w:hint="eastAsia"/>
                <w:kern w:val="0"/>
                <w:szCs w:val="21"/>
                <w:lang w:bidi="ar"/>
              </w:rPr>
              <w:t>___________人（拟投入项目人员总数＝项目负责人+主要技术人员数+其他人员数）</w:t>
            </w:r>
          </w:p>
        </w:tc>
      </w:tr>
    </w:tbl>
    <w:p>
      <w:pPr>
        <w:widowControl/>
        <w:spacing w:line="360" w:lineRule="auto"/>
        <w:jc w:val="left"/>
        <w:rPr>
          <w:rFonts w:ascii="宋体" w:hAnsi="宋体" w:cs="宋体"/>
          <w:kern w:val="0"/>
          <w:szCs w:val="21"/>
          <w:lang w:bidi="ar"/>
        </w:rPr>
      </w:pPr>
    </w:p>
    <w:p>
      <w:pPr>
        <w:widowControl/>
        <w:spacing w:line="360" w:lineRule="auto"/>
        <w:jc w:val="left"/>
        <w:rPr>
          <w:rFonts w:ascii="宋体" w:hAnsi="宋体" w:cs="宋体"/>
          <w:kern w:val="0"/>
          <w:szCs w:val="21"/>
          <w:lang w:bidi="ar"/>
        </w:rPr>
      </w:pPr>
    </w:p>
    <w:p>
      <w:pPr>
        <w:widowControl/>
        <w:spacing w:line="360" w:lineRule="auto"/>
        <w:jc w:val="left"/>
        <w:rPr>
          <w:rFonts w:ascii="宋体" w:hAnsi="宋体" w:cs="宋体"/>
          <w:szCs w:val="21"/>
        </w:rPr>
      </w:pPr>
      <w:r>
        <w:rPr>
          <w:rFonts w:hint="eastAsia" w:ascii="宋体" w:hAnsi="宋体" w:cs="宋体"/>
          <w:kern w:val="0"/>
          <w:szCs w:val="21"/>
          <w:lang w:bidi="ar"/>
        </w:rPr>
        <w:t xml:space="preserve">注：1.本表若不能反映全部实际情况，除在备注栏说明外，亦可另行制表说明； </w:t>
      </w:r>
    </w:p>
    <w:p>
      <w:pPr>
        <w:widowControl/>
        <w:spacing w:line="360" w:lineRule="auto"/>
        <w:jc w:val="left"/>
        <w:rPr>
          <w:rFonts w:ascii="宋体" w:hAnsi="宋体" w:cs="宋体"/>
          <w:szCs w:val="21"/>
        </w:rPr>
      </w:pPr>
      <w:r>
        <w:rPr>
          <w:rFonts w:hint="eastAsia" w:ascii="宋体" w:hAnsi="宋体" w:cs="宋体"/>
          <w:kern w:val="0"/>
          <w:szCs w:val="21"/>
          <w:lang w:bidi="ar"/>
        </w:rPr>
        <w:t xml:space="preserve">2、从事本工作时间为在本岗位的工作年限； </w:t>
      </w:r>
    </w:p>
    <w:p>
      <w:pPr>
        <w:widowControl/>
        <w:spacing w:line="360" w:lineRule="auto"/>
        <w:jc w:val="left"/>
        <w:rPr>
          <w:rFonts w:ascii="宋体" w:hAnsi="宋体" w:cs="宋体"/>
          <w:szCs w:val="21"/>
        </w:rPr>
      </w:pPr>
      <w:r>
        <w:rPr>
          <w:rFonts w:hint="eastAsia" w:ascii="宋体" w:hAnsi="宋体" w:cs="宋体"/>
          <w:kern w:val="0"/>
          <w:szCs w:val="21"/>
          <w:lang w:bidi="ar"/>
        </w:rPr>
        <w:t xml:space="preserve">3、附各类人员的相关证书(职称证书、执业资格证书等)复印件（如果有）。 </w:t>
      </w:r>
    </w:p>
    <w:p>
      <w:pPr>
        <w:widowControl/>
        <w:spacing w:line="360" w:lineRule="auto"/>
        <w:jc w:val="left"/>
        <w:rPr>
          <w:rFonts w:ascii="宋体" w:hAnsi="宋体" w:cs="宋体"/>
          <w:kern w:val="0"/>
          <w:szCs w:val="21"/>
          <w:lang w:bidi="ar"/>
        </w:rPr>
      </w:pPr>
    </w:p>
    <w:p>
      <w:pPr>
        <w:widowControl/>
        <w:spacing w:line="360" w:lineRule="auto"/>
        <w:jc w:val="left"/>
        <w:rPr>
          <w:rFonts w:ascii="宋体" w:hAnsi="宋体" w:cs="宋体"/>
          <w:szCs w:val="21"/>
        </w:rPr>
      </w:pPr>
      <w:r>
        <w:rPr>
          <w:rFonts w:hint="eastAsia" w:ascii="宋体" w:hAnsi="宋体" w:cs="宋体"/>
          <w:kern w:val="0"/>
          <w:szCs w:val="21"/>
          <w:lang w:bidi="ar"/>
        </w:rPr>
        <w:t xml:space="preserve">供应商名称： </w:t>
      </w:r>
    </w:p>
    <w:p>
      <w:pPr>
        <w:widowControl/>
        <w:spacing w:line="360" w:lineRule="auto"/>
        <w:jc w:val="left"/>
        <w:rPr>
          <w:rFonts w:ascii="宋体" w:hAnsi="宋体" w:cs="宋体"/>
          <w:szCs w:val="21"/>
        </w:rPr>
      </w:pPr>
      <w:r>
        <w:rPr>
          <w:rFonts w:hint="eastAsia" w:ascii="宋体" w:hAnsi="宋体" w:cs="宋体"/>
          <w:kern w:val="0"/>
          <w:szCs w:val="21"/>
          <w:lang w:bidi="ar"/>
        </w:rPr>
        <w:t xml:space="preserve">法定代表人或其委托代理人(签字)：  </w:t>
      </w:r>
    </w:p>
    <w:p>
      <w:pPr>
        <w:widowControl/>
        <w:spacing w:line="360" w:lineRule="auto"/>
        <w:jc w:val="left"/>
        <w:rPr>
          <w:rFonts w:ascii="宋体" w:hAnsi="宋体" w:cs="宋体"/>
          <w:szCs w:val="21"/>
        </w:rPr>
      </w:pPr>
      <w:r>
        <w:rPr>
          <w:rFonts w:hint="eastAsia" w:ascii="宋体" w:hAnsi="宋体" w:cs="宋体"/>
          <w:kern w:val="0"/>
          <w:szCs w:val="21"/>
          <w:lang w:bidi="ar"/>
        </w:rPr>
        <w:t>日期： 年  月  日</w:t>
      </w:r>
    </w:p>
    <w:p>
      <w:pPr>
        <w:adjustRightInd w:val="0"/>
        <w:snapToGrid w:val="0"/>
        <w:spacing w:line="360" w:lineRule="auto"/>
        <w:rPr>
          <w:rFonts w:ascii="仿宋_GB2312" w:hAnsi="宋体" w:eastAsia="仿宋_GB2312"/>
          <w:bCs/>
          <w:szCs w:val="21"/>
        </w:rPr>
      </w:pPr>
    </w:p>
    <w:p>
      <w:pPr>
        <w:adjustRightInd w:val="0"/>
        <w:snapToGrid w:val="0"/>
        <w:spacing w:line="360" w:lineRule="auto"/>
        <w:jc w:val="center"/>
        <w:rPr>
          <w:rFonts w:ascii="黑体" w:eastAsia="黑体"/>
          <w:b/>
          <w:sz w:val="30"/>
          <w:szCs w:val="30"/>
        </w:rPr>
      </w:pPr>
    </w:p>
    <w:p>
      <w:pPr>
        <w:spacing w:before="120"/>
        <w:jc w:val="left"/>
        <w:rPr>
          <w:rFonts w:ascii="Calibri" w:hAnsi="Calibri" w:cs="Calibri"/>
          <w:b/>
          <w:bCs/>
          <w:i/>
          <w:iCs/>
          <w:sz w:val="24"/>
        </w:rPr>
      </w:pPr>
    </w:p>
    <w:p>
      <w:pPr>
        <w:adjustRightInd w:val="0"/>
        <w:snapToGrid w:val="0"/>
        <w:spacing w:line="360" w:lineRule="auto"/>
        <w:rPr>
          <w:rFonts w:ascii="宋体" w:hAnsi="宋体" w:cs="宋体"/>
          <w:b/>
          <w:sz w:val="30"/>
          <w:szCs w:val="30"/>
        </w:rPr>
      </w:pP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四、技术/商务响应与偏离表</w:t>
      </w:r>
    </w:p>
    <w:p>
      <w:pPr>
        <w:adjustRightInd w:val="0"/>
        <w:snapToGrid w:val="0"/>
        <w:ind w:left="-88" w:leftChars="-42" w:firstLine="315" w:firstLineChars="150"/>
        <w:rPr>
          <w:rFonts w:ascii="宋体" w:hAnsi="宋体" w:cs="宋体"/>
          <w:szCs w:val="21"/>
          <w:u w:val="single"/>
        </w:rPr>
      </w:pPr>
    </w:p>
    <w:tbl>
      <w:tblPr>
        <w:tblStyle w:val="46"/>
        <w:tblW w:w="89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88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widowControl/>
        <w:jc w:val="left"/>
        <w:rPr>
          <w:rFonts w:ascii="宋体" w:hAnsi="宋体" w:cs="宋体"/>
          <w:b/>
          <w:sz w:val="30"/>
          <w:szCs w:val="30"/>
        </w:rPr>
      </w:pPr>
      <w:r>
        <w:rPr>
          <w:rFonts w:ascii="宋体" w:hAnsi="宋体" w:cs="宋体"/>
          <w:b/>
          <w:sz w:val="30"/>
          <w:szCs w:val="30"/>
        </w:rPr>
        <w:br w:type="page"/>
      </w:r>
    </w:p>
    <w:p>
      <w:pPr>
        <w:jc w:val="center"/>
        <w:rPr>
          <w:rFonts w:ascii="宋体" w:hAnsi="宋体" w:cs="宋体"/>
          <w:b/>
          <w:sz w:val="32"/>
          <w:szCs w:val="32"/>
        </w:rPr>
      </w:pPr>
      <w:r>
        <w:rPr>
          <w:rFonts w:hint="eastAsia" w:ascii="宋体" w:hAnsi="宋体" w:cs="宋体"/>
          <w:b/>
          <w:sz w:val="30"/>
          <w:szCs w:val="30"/>
        </w:rPr>
        <w:t>五、</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附件8</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w:t>
      </w:r>
    </w:p>
    <w:tbl>
      <w:tblPr>
        <w:tblStyle w:val="4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306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投标报价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r>
              <w:rPr>
                <w:rFonts w:hint="eastAsia" w:ascii="宋体" w:hAnsi="宋体"/>
                <w:szCs w:val="21"/>
              </w:rPr>
              <w:t>大写：</w:t>
            </w:r>
            <w:r>
              <w:rPr>
                <w:rFonts w:hint="eastAsia" w:ascii="宋体" w:hAnsi="宋体"/>
                <w:szCs w:val="21"/>
                <w:u w:val="single"/>
              </w:rPr>
              <w:t xml:space="preserve">                   元</w:t>
            </w:r>
          </w:p>
          <w:p>
            <w:pPr>
              <w:spacing w:line="420" w:lineRule="exact"/>
              <w:rPr>
                <w:rFonts w:ascii="宋体" w:hAnsi="宋体"/>
                <w:szCs w:val="21"/>
              </w:rPr>
            </w:pPr>
            <w:r>
              <w:rPr>
                <w:rFonts w:hint="eastAsia" w:ascii="宋体" w:hAnsi="宋体"/>
                <w:szCs w:val="21"/>
              </w:rPr>
              <w:t>小写：</w:t>
            </w:r>
            <w:r>
              <w:rPr>
                <w:rFonts w:hint="eastAsia" w:ascii="宋体" w:hAnsi="宋体"/>
                <w:szCs w:val="21"/>
                <w:u w:val="single"/>
              </w:rPr>
              <w:t xml:space="preserve">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优惠率</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jc w:val="left"/>
              <w:rPr>
                <w:rFonts w:ascii="宋体" w:hAnsi="宋体"/>
                <w:szCs w:val="21"/>
                <w:u w:val="single"/>
              </w:rPr>
            </w:pPr>
            <w:r>
              <w:rPr>
                <w:rFonts w:hint="eastAsia" w:ascii="宋体" w:hAnsi="宋体"/>
                <w:szCs w:val="21"/>
              </w:rPr>
              <w:t>优惠率=（1-投标报价/</w:t>
            </w:r>
            <w:r>
              <w:rPr>
                <w:rFonts w:hint="eastAsia" w:ascii="宋体" w:hAnsi="宋体" w:cs="宋体"/>
                <w:szCs w:val="21"/>
              </w:rPr>
              <w:t>654000</w:t>
            </w:r>
            <w:r>
              <w:rPr>
                <w:rFonts w:hint="eastAsia" w:ascii="宋体" w:hAnsi="宋体"/>
                <w:szCs w:val="21"/>
              </w:rPr>
              <w:t>）×100% =</w:t>
            </w:r>
            <w:r>
              <w:rPr>
                <w:rFonts w:hint="eastAsia" w:ascii="宋体" w:hAnsi="宋体"/>
                <w:szCs w:val="21"/>
                <w:u w:val="single"/>
              </w:rPr>
              <w:t xml:space="preserve">    </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服务周期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widowControl/>
              <w:shd w:val="clear" w:color="auto" w:fill="FFFFFF"/>
              <w:spacing w:line="360" w:lineRule="auto"/>
              <w:jc w:val="left"/>
              <w:rPr>
                <w:rFonts w:ascii="宋体" w:hAnsi="宋体"/>
                <w:szCs w:val="21"/>
              </w:rPr>
            </w:pPr>
            <w:r>
              <w:rPr>
                <w:rFonts w:hint="eastAsia" w:ascii="宋体" w:hAnsi="宋体"/>
                <w:szCs w:val="21"/>
              </w:rPr>
              <w:t>总费用按长财评综[2022]14号文</w:t>
            </w:r>
            <w:r>
              <w:rPr>
                <w:rFonts w:hint="eastAsia" w:ascii="宋体" w:hAnsi="宋体" w:cs="宋体"/>
                <w:szCs w:val="21"/>
              </w:rPr>
              <w:t>，最终结算结合中标优惠率计算且最高不超过654000元。</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headerReference r:id="rId7" w:type="default"/>
          <w:footerReference r:id="rId8"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rPr>
          <w:rFonts w:ascii="宋体" w:hAnsi="宋体" w:cs="宋体"/>
          <w:sz w:val="30"/>
          <w:szCs w:val="30"/>
        </w:rPr>
      </w:pPr>
      <w:r>
        <w:rPr>
          <w:rFonts w:hint="eastAsia" w:ascii="宋体" w:hAnsi="宋体" w:cs="宋体"/>
          <w:sz w:val="30"/>
          <w:szCs w:val="30"/>
        </w:rPr>
        <w:t>附件8-1</w:t>
      </w:r>
    </w:p>
    <w:p>
      <w:pPr>
        <w:adjustRightInd w:val="0"/>
        <w:snapToGrid w:val="0"/>
        <w:jc w:val="center"/>
        <w:rPr>
          <w:rFonts w:ascii="宋体" w:hAnsi="宋体" w:cs="宋体"/>
          <w:sz w:val="30"/>
          <w:szCs w:val="30"/>
        </w:rPr>
      </w:pPr>
      <w:r>
        <w:rPr>
          <w:rFonts w:hint="eastAsia" w:ascii="宋体" w:hAnsi="宋体" w:cs="宋体"/>
          <w:sz w:val="30"/>
          <w:szCs w:val="30"/>
        </w:rPr>
        <w:t>分项价格表</w:t>
      </w:r>
    </w:p>
    <w:p>
      <w:pPr>
        <w:spacing w:line="360" w:lineRule="exact"/>
        <w:ind w:firstLine="210" w:firstLineChars="100"/>
        <w:rPr>
          <w:rFonts w:ascii="宋体" w:hAnsi="宋体" w:cs="宋体"/>
          <w:b/>
        </w:rPr>
      </w:pPr>
      <w:r>
        <w:rPr>
          <w:rFonts w:hint="eastAsia" w:ascii="宋体" w:hAnsi="宋体" w:cs="宋体"/>
          <w:b/>
        </w:rPr>
        <w:t>项目名称：</w:t>
      </w:r>
    </w:p>
    <w:tbl>
      <w:tblPr>
        <w:tblStyle w:val="46"/>
        <w:tblpPr w:leftFromText="180" w:rightFromText="180" w:vertAnchor="text" w:horzAnchor="margin" w:tblpXSpec="center" w:tblpY="1098"/>
        <w:tblOverlap w:val="never"/>
        <w:tblW w:w="995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85"/>
        <w:gridCol w:w="1167"/>
        <w:gridCol w:w="1418"/>
        <w:gridCol w:w="1134"/>
        <w:gridCol w:w="1134"/>
        <w:gridCol w:w="1417"/>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18" w:hRule="atLeast"/>
        </w:trPr>
        <w:tc>
          <w:tcPr>
            <w:tcW w:w="70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序号</w:t>
            </w:r>
          </w:p>
        </w:tc>
        <w:tc>
          <w:tcPr>
            <w:tcW w:w="1985"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服务名称</w:t>
            </w:r>
          </w:p>
        </w:tc>
        <w:tc>
          <w:tcPr>
            <w:tcW w:w="1167"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计量单位</w:t>
            </w:r>
          </w:p>
        </w:tc>
        <w:tc>
          <w:tcPr>
            <w:tcW w:w="141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具体要求说明</w:t>
            </w:r>
          </w:p>
        </w:tc>
        <w:tc>
          <w:tcPr>
            <w:tcW w:w="113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单价</w:t>
            </w:r>
          </w:p>
        </w:tc>
        <w:tc>
          <w:tcPr>
            <w:tcW w:w="113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数量</w:t>
            </w:r>
          </w:p>
        </w:tc>
        <w:tc>
          <w:tcPr>
            <w:tcW w:w="1417"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小计</w:t>
            </w:r>
          </w:p>
        </w:tc>
        <w:tc>
          <w:tcPr>
            <w:tcW w:w="99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0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1985" w:type="dxa"/>
            <w:vAlign w:val="center"/>
          </w:tcPr>
          <w:p>
            <w:pPr>
              <w:adjustRightInd w:val="0"/>
              <w:snapToGrid w:val="0"/>
              <w:spacing w:line="360" w:lineRule="auto"/>
              <w:jc w:val="center"/>
              <w:rPr>
                <w:rFonts w:ascii="宋体" w:hAnsi="宋体" w:cs="宋体"/>
                <w:szCs w:val="21"/>
              </w:rPr>
            </w:pPr>
          </w:p>
        </w:tc>
        <w:tc>
          <w:tcPr>
            <w:tcW w:w="1167" w:type="dxa"/>
          </w:tcPr>
          <w:p>
            <w:pPr>
              <w:adjustRightInd w:val="0"/>
              <w:snapToGrid w:val="0"/>
              <w:spacing w:line="360" w:lineRule="auto"/>
              <w:jc w:val="center"/>
              <w:rPr>
                <w:rFonts w:ascii="宋体" w:hAnsi="宋体" w:cs="宋体"/>
                <w:szCs w:val="21"/>
              </w:rPr>
            </w:pPr>
          </w:p>
        </w:tc>
        <w:tc>
          <w:tcPr>
            <w:tcW w:w="1418" w:type="dxa"/>
          </w:tcPr>
          <w:p>
            <w:pPr>
              <w:adjustRightInd w:val="0"/>
              <w:snapToGrid w:val="0"/>
              <w:spacing w:line="360" w:lineRule="auto"/>
              <w:jc w:val="center"/>
              <w:rPr>
                <w:rFonts w:ascii="宋体" w:hAnsi="宋体" w:cs="宋体"/>
                <w:szCs w:val="21"/>
              </w:rPr>
            </w:pPr>
          </w:p>
        </w:tc>
        <w:tc>
          <w:tcPr>
            <w:tcW w:w="1134" w:type="dxa"/>
            <w:vAlign w:val="center"/>
          </w:tcPr>
          <w:p>
            <w:pPr>
              <w:adjustRightInd w:val="0"/>
              <w:snapToGrid w:val="0"/>
              <w:spacing w:line="360" w:lineRule="auto"/>
              <w:jc w:val="center"/>
              <w:rPr>
                <w:rFonts w:ascii="宋体" w:hAnsi="宋体" w:cs="宋体"/>
                <w:szCs w:val="21"/>
              </w:rPr>
            </w:pPr>
          </w:p>
        </w:tc>
        <w:tc>
          <w:tcPr>
            <w:tcW w:w="1134" w:type="dxa"/>
          </w:tcPr>
          <w:p>
            <w:pPr>
              <w:adjustRightInd w:val="0"/>
              <w:snapToGrid w:val="0"/>
              <w:spacing w:line="360" w:lineRule="auto"/>
              <w:jc w:val="center"/>
              <w:rPr>
                <w:rFonts w:ascii="宋体" w:hAnsi="宋体" w:cs="宋体"/>
                <w:szCs w:val="21"/>
              </w:rPr>
            </w:pPr>
          </w:p>
        </w:tc>
        <w:tc>
          <w:tcPr>
            <w:tcW w:w="1417" w:type="dxa"/>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08" w:type="dxa"/>
            <w:vAlign w:val="center"/>
          </w:tcPr>
          <w:p>
            <w:pPr>
              <w:adjustRightInd w:val="0"/>
              <w:snapToGrid w:val="0"/>
              <w:spacing w:line="360" w:lineRule="auto"/>
              <w:jc w:val="center"/>
              <w:rPr>
                <w:rFonts w:ascii="宋体" w:hAnsi="宋体" w:cs="宋体"/>
                <w:szCs w:val="21"/>
              </w:rPr>
            </w:pPr>
          </w:p>
        </w:tc>
        <w:tc>
          <w:tcPr>
            <w:tcW w:w="1985" w:type="dxa"/>
            <w:vAlign w:val="center"/>
          </w:tcPr>
          <w:p>
            <w:pPr>
              <w:adjustRightInd w:val="0"/>
              <w:snapToGrid w:val="0"/>
              <w:spacing w:line="360" w:lineRule="auto"/>
              <w:jc w:val="center"/>
              <w:rPr>
                <w:rFonts w:ascii="宋体" w:hAnsi="宋体" w:cs="宋体"/>
                <w:szCs w:val="21"/>
              </w:rPr>
            </w:pPr>
          </w:p>
        </w:tc>
        <w:tc>
          <w:tcPr>
            <w:tcW w:w="1167" w:type="dxa"/>
          </w:tcPr>
          <w:p>
            <w:pPr>
              <w:adjustRightInd w:val="0"/>
              <w:snapToGrid w:val="0"/>
              <w:spacing w:line="360" w:lineRule="auto"/>
              <w:jc w:val="center"/>
              <w:rPr>
                <w:rFonts w:ascii="宋体" w:hAnsi="宋体" w:cs="宋体"/>
                <w:szCs w:val="21"/>
              </w:rPr>
            </w:pPr>
          </w:p>
        </w:tc>
        <w:tc>
          <w:tcPr>
            <w:tcW w:w="1418" w:type="dxa"/>
          </w:tcPr>
          <w:p>
            <w:pPr>
              <w:adjustRightInd w:val="0"/>
              <w:snapToGrid w:val="0"/>
              <w:spacing w:line="360" w:lineRule="auto"/>
              <w:jc w:val="center"/>
              <w:rPr>
                <w:rFonts w:ascii="宋体" w:hAnsi="宋体" w:cs="宋体"/>
                <w:szCs w:val="21"/>
              </w:rPr>
            </w:pPr>
          </w:p>
        </w:tc>
        <w:tc>
          <w:tcPr>
            <w:tcW w:w="1134" w:type="dxa"/>
            <w:vAlign w:val="center"/>
          </w:tcPr>
          <w:p>
            <w:pPr>
              <w:adjustRightInd w:val="0"/>
              <w:snapToGrid w:val="0"/>
              <w:spacing w:line="360" w:lineRule="auto"/>
              <w:jc w:val="center"/>
              <w:rPr>
                <w:rFonts w:ascii="宋体" w:hAnsi="宋体" w:cs="宋体"/>
                <w:szCs w:val="21"/>
              </w:rPr>
            </w:pPr>
          </w:p>
        </w:tc>
        <w:tc>
          <w:tcPr>
            <w:tcW w:w="1134" w:type="dxa"/>
          </w:tcPr>
          <w:p>
            <w:pPr>
              <w:adjustRightInd w:val="0"/>
              <w:snapToGrid w:val="0"/>
              <w:spacing w:line="360" w:lineRule="auto"/>
              <w:jc w:val="center"/>
              <w:rPr>
                <w:rFonts w:ascii="宋体" w:hAnsi="宋体" w:cs="宋体"/>
                <w:szCs w:val="21"/>
              </w:rPr>
            </w:pPr>
          </w:p>
        </w:tc>
        <w:tc>
          <w:tcPr>
            <w:tcW w:w="1417" w:type="dxa"/>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08" w:type="dxa"/>
            <w:vAlign w:val="center"/>
          </w:tcPr>
          <w:p>
            <w:pPr>
              <w:adjustRightInd w:val="0"/>
              <w:snapToGrid w:val="0"/>
              <w:spacing w:line="360" w:lineRule="auto"/>
              <w:jc w:val="center"/>
              <w:rPr>
                <w:rFonts w:ascii="宋体" w:hAnsi="宋体" w:cs="宋体"/>
                <w:szCs w:val="21"/>
              </w:rPr>
            </w:pPr>
          </w:p>
        </w:tc>
        <w:tc>
          <w:tcPr>
            <w:tcW w:w="1985"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合计</w:t>
            </w:r>
          </w:p>
        </w:tc>
        <w:tc>
          <w:tcPr>
            <w:tcW w:w="1167" w:type="dxa"/>
          </w:tcPr>
          <w:p>
            <w:pPr>
              <w:adjustRightInd w:val="0"/>
              <w:snapToGrid w:val="0"/>
              <w:spacing w:line="360" w:lineRule="auto"/>
              <w:jc w:val="center"/>
              <w:rPr>
                <w:rFonts w:ascii="宋体" w:hAnsi="宋体" w:cs="宋体"/>
                <w:szCs w:val="21"/>
              </w:rPr>
            </w:pPr>
          </w:p>
        </w:tc>
        <w:tc>
          <w:tcPr>
            <w:tcW w:w="1418" w:type="dxa"/>
          </w:tcPr>
          <w:p>
            <w:pPr>
              <w:adjustRightInd w:val="0"/>
              <w:snapToGrid w:val="0"/>
              <w:spacing w:line="360" w:lineRule="auto"/>
              <w:jc w:val="center"/>
              <w:rPr>
                <w:rFonts w:ascii="宋体" w:hAnsi="宋体" w:cs="宋体"/>
                <w:szCs w:val="21"/>
              </w:rPr>
            </w:pPr>
          </w:p>
        </w:tc>
        <w:tc>
          <w:tcPr>
            <w:tcW w:w="1134" w:type="dxa"/>
            <w:vAlign w:val="center"/>
          </w:tcPr>
          <w:p>
            <w:pPr>
              <w:adjustRightInd w:val="0"/>
              <w:snapToGrid w:val="0"/>
              <w:spacing w:line="360" w:lineRule="auto"/>
              <w:jc w:val="center"/>
              <w:rPr>
                <w:rFonts w:ascii="宋体" w:hAnsi="宋体" w:cs="宋体"/>
                <w:szCs w:val="21"/>
              </w:rPr>
            </w:pPr>
          </w:p>
        </w:tc>
        <w:tc>
          <w:tcPr>
            <w:tcW w:w="1134" w:type="dxa"/>
          </w:tcPr>
          <w:p>
            <w:pPr>
              <w:adjustRightInd w:val="0"/>
              <w:snapToGrid w:val="0"/>
              <w:spacing w:line="360" w:lineRule="auto"/>
              <w:jc w:val="center"/>
              <w:rPr>
                <w:rFonts w:ascii="宋体" w:hAnsi="宋体" w:cs="宋体"/>
                <w:szCs w:val="21"/>
              </w:rPr>
            </w:pPr>
          </w:p>
        </w:tc>
        <w:tc>
          <w:tcPr>
            <w:tcW w:w="1417" w:type="dxa"/>
          </w:tcPr>
          <w:p>
            <w:pPr>
              <w:adjustRightInd w:val="0"/>
              <w:snapToGrid w:val="0"/>
              <w:spacing w:line="360" w:lineRule="auto"/>
              <w:jc w:val="center"/>
              <w:rPr>
                <w:rFonts w:ascii="宋体" w:hAnsi="宋体" w:cs="宋体"/>
                <w:szCs w:val="21"/>
              </w:rPr>
            </w:pPr>
          </w:p>
        </w:tc>
        <w:tc>
          <w:tcPr>
            <w:tcW w:w="992" w:type="dxa"/>
            <w:vAlign w:val="center"/>
          </w:tcPr>
          <w:p>
            <w:pPr>
              <w:adjustRightInd w:val="0"/>
              <w:snapToGrid w:val="0"/>
              <w:spacing w:line="360" w:lineRule="auto"/>
              <w:jc w:val="center"/>
              <w:rPr>
                <w:rFonts w:ascii="宋体" w:hAnsi="宋体" w:cs="宋体"/>
                <w:szCs w:val="21"/>
              </w:rPr>
            </w:pPr>
          </w:p>
        </w:tc>
      </w:tr>
    </w:tbl>
    <w:p>
      <w:pPr>
        <w:spacing w:line="360" w:lineRule="exact"/>
        <w:ind w:firstLine="945" w:firstLineChars="450"/>
        <w:rPr>
          <w:rFonts w:ascii="宋体" w:hAnsi="宋体" w:cs="宋体"/>
          <w:b/>
        </w:rPr>
      </w:pPr>
      <w:r>
        <w:rPr>
          <w:rFonts w:hint="eastAsia" w:ascii="宋体" w:hAnsi="宋体" w:cs="宋体"/>
          <w:b/>
        </w:rPr>
        <w:t xml:space="preserve">                                                                                                       金额单位：元</w:t>
      </w:r>
    </w:p>
    <w:p>
      <w:pPr>
        <w:adjustRightInd w:val="0"/>
        <w:snapToGrid w:val="0"/>
        <w:spacing w:line="360" w:lineRule="auto"/>
        <w:rPr>
          <w:rFonts w:ascii="宋体" w:hAnsi="宋体" w:cs="宋体"/>
          <w:szCs w:val="21"/>
          <w:u w:val="single"/>
        </w:rPr>
      </w:pPr>
      <w:r>
        <w:rPr>
          <w:rFonts w:hint="eastAsia" w:ascii="宋体" w:hAnsi="宋体" w:cs="宋体"/>
          <w:szCs w:val="21"/>
        </w:rPr>
        <w:t>报价金额合计：小写：</w:t>
      </w:r>
      <w:r>
        <w:rPr>
          <w:rFonts w:hint="eastAsia" w:ascii="宋体" w:hAnsi="宋体" w:cs="宋体"/>
          <w:szCs w:val="21"/>
          <w:u w:val="single"/>
        </w:rPr>
        <w:t xml:space="preserve">                      </w:t>
      </w:r>
      <w:r>
        <w:rPr>
          <w:rFonts w:hint="eastAsia" w:ascii="宋体" w:hAnsi="宋体" w:cs="宋体"/>
          <w:szCs w:val="21"/>
        </w:rPr>
        <w:t>大写：</w:t>
      </w:r>
      <w:r>
        <w:rPr>
          <w:rFonts w:hint="eastAsia" w:ascii="宋体" w:hAnsi="宋体" w:cs="宋体"/>
          <w:szCs w:val="21"/>
          <w:u w:val="single"/>
        </w:rPr>
        <w:t xml:space="preserve">                      </w:t>
      </w:r>
    </w:p>
    <w:p>
      <w:pPr>
        <w:adjustRightInd w:val="0"/>
        <w:snapToGrid w:val="0"/>
        <w:spacing w:line="360" w:lineRule="auto"/>
        <w:ind w:left="-88" w:leftChars="-42"/>
        <w:rPr>
          <w:rFonts w:ascii="宋体" w:hAnsi="宋体" w:cs="宋体"/>
          <w:szCs w:val="21"/>
        </w:rPr>
      </w:pPr>
      <w:r>
        <w:rPr>
          <w:rFonts w:hint="eastAsia" w:ascii="宋体" w:hAnsi="宋体" w:cs="宋体"/>
          <w:szCs w:val="21"/>
        </w:rPr>
        <w:t>说明：</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1、本表包含磋商文件第四章《采购需求》或其他部分对该项目所有要求的详细报价。“合计”及“报价金额合计”应与附件8《报价一览表》“报价”一致；栏目“单价”为综合单价，应包含所有隐含的管理费、税金和利润等其他费用。</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2、“服务名称”是指整包分项服务的内容。</w:t>
      </w:r>
    </w:p>
    <w:p>
      <w:pPr>
        <w:pStyle w:val="21"/>
        <w:sectPr>
          <w:pgSz w:w="11906" w:h="16838"/>
          <w:pgMar w:top="1084" w:right="1588" w:bottom="1474" w:left="1474" w:header="851" w:footer="992" w:gutter="0"/>
          <w:cols w:space="720" w:num="1"/>
          <w:docGrid w:type="linesAndChars" w:linePitch="312" w:charSpace="0"/>
        </w:sectPr>
      </w:pPr>
    </w:p>
    <w:p>
      <w:pPr>
        <w:adjustRightInd w:val="0"/>
        <w:snapToGrid w:val="0"/>
        <w:spacing w:line="360" w:lineRule="auto"/>
        <w:jc w:val="center"/>
        <w:rPr>
          <w:rFonts w:ascii="宋体" w:hAnsi="宋体" w:cs="宋体"/>
          <w:sz w:val="28"/>
          <w:szCs w:val="28"/>
        </w:rPr>
      </w:pPr>
      <w:r>
        <w:rPr>
          <w:rFonts w:hint="eastAsia" w:ascii="宋体" w:hAnsi="宋体" w:cs="宋体"/>
          <w:b/>
          <w:sz w:val="32"/>
          <w:szCs w:val="32"/>
        </w:rPr>
        <w:t>六</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p>
    <w:p>
      <w:pPr>
        <w:adjustRightInd w:val="0"/>
        <w:snapToGrid w:val="0"/>
        <w:spacing w:before="120" w:beforeLines="50" w:line="360" w:lineRule="auto"/>
        <w:jc w:val="center"/>
        <w:rPr>
          <w:rFonts w:ascii="宋体" w:hAnsi="宋体" w:cs="宋体"/>
          <w:b/>
          <w:sz w:val="32"/>
          <w:szCs w:val="32"/>
        </w:rPr>
      </w:pPr>
      <w:r>
        <w:rPr>
          <w:rFonts w:hint="eastAsia" w:ascii="宋体" w:hAnsi="宋体" w:cs="宋体"/>
          <w:b/>
          <w:sz w:val="32"/>
          <w:szCs w:val="32"/>
        </w:rPr>
        <w:t>七、最后报价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1、最后报价按第二章磋商须知第30条规定提供，格式按附件8、附件8-1提供。</w:t>
      </w:r>
    </w:p>
    <w:p>
      <w:pPr>
        <w:adjustRightInd w:val="0"/>
        <w:snapToGrid w:val="0"/>
        <w:spacing w:line="360" w:lineRule="auto"/>
        <w:ind w:left="-88" w:leftChars="-42" w:firstLine="525" w:firstLineChars="250"/>
        <w:rPr>
          <w:rFonts w:ascii="宋体" w:hAnsi="宋体"/>
          <w:szCs w:val="21"/>
        </w:rPr>
      </w:pPr>
      <w:r>
        <w:rPr>
          <w:rFonts w:hint="eastAsia" w:ascii="宋体" w:hAnsi="宋体"/>
          <w:szCs w:val="21"/>
        </w:rPr>
        <w:t>2、最后报价需填列报价一览表和分项价格表。</w:t>
      </w:r>
    </w:p>
    <w:p>
      <w:pPr>
        <w:adjustRightInd w:val="0"/>
        <w:snapToGrid w:val="0"/>
        <w:spacing w:line="360" w:lineRule="auto"/>
        <w:ind w:left="-88" w:leftChars="-42" w:firstLine="527" w:firstLineChars="250"/>
        <w:rPr>
          <w:b/>
          <w:bCs/>
        </w:rPr>
      </w:pPr>
    </w:p>
    <w:p>
      <w:pPr>
        <w:adjustRightInd w:val="0"/>
        <w:snapToGrid w:val="0"/>
        <w:spacing w:line="360" w:lineRule="auto"/>
        <w:ind w:left="-88" w:leftChars="-42" w:firstLine="527" w:firstLineChars="250"/>
        <w:rPr>
          <w:rFonts w:ascii="宋体" w:hAnsi="宋体" w:cs="宋体"/>
          <w:b/>
          <w:bCs/>
        </w:rPr>
      </w:pPr>
      <w:bookmarkStart w:id="16" w:name="OLE_LINK29"/>
      <w:r>
        <w:rPr>
          <w:rFonts w:hint="eastAsia"/>
          <w:b/>
          <w:bCs/>
        </w:rPr>
        <w:t>注：磋商单位需准备</w:t>
      </w:r>
      <w:bookmarkStart w:id="17" w:name="OLE_LINK20"/>
      <w:r>
        <w:rPr>
          <w:rFonts w:hint="eastAsia"/>
          <w:b/>
          <w:bCs/>
        </w:rPr>
        <w:t>最后报价表</w:t>
      </w:r>
      <w:bookmarkEnd w:id="17"/>
      <w:r>
        <w:rPr>
          <w:rFonts w:hint="eastAsia"/>
          <w:b/>
          <w:bCs/>
        </w:rPr>
        <w:t>（自行保管，不与响应文件一起递交），格式按附件8及附件8-1，</w:t>
      </w:r>
      <w:bookmarkEnd w:id="16"/>
    </w:p>
    <w:p>
      <w:pPr>
        <w:adjustRightInd w:val="0"/>
        <w:snapToGrid w:val="0"/>
        <w:spacing w:line="360" w:lineRule="auto"/>
        <w:rPr>
          <w:rFonts w:ascii="宋体" w:hAnsi="宋体" w:cs="宋体"/>
          <w:b/>
          <w:sz w:val="32"/>
          <w:szCs w:val="32"/>
        </w:rPr>
      </w:pPr>
    </w:p>
    <w:sectPr>
      <w:headerReference r:id="rId9" w:type="default"/>
      <w:footerReference r:id="rId10"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CF9651-2232-4F44-B001-008990EDB2E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2E8810D-0C6A-45B6-8D48-656B044043DF}"/>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3836FBDD-2352-4F69-A148-F3E74BB73C2D}"/>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MS Sans Serif">
    <w:altName w:val="Segoe Print"/>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4" w:fontKey="{03169D76-7CED-4DFC-B255-F22A25B62FAE}"/>
  </w:font>
  <w:font w:name="Arial Unicode MS">
    <w:panose1 w:val="020B0604020202020204"/>
    <w:charset w:val="86"/>
    <w:family w:val="roman"/>
    <w:pitch w:val="default"/>
    <w:sig w:usb0="FFFFFFFF" w:usb1="E9FFFFFF" w:usb2="0000003F" w:usb3="00000000" w:csb0="603F01FF" w:csb1="FFFF0000"/>
    <w:embedRegular r:id="rId5" w:fontKey="{4E53821B-88DF-4B40-8C22-27E781F3653E}"/>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embedRegular r:id="rId6" w:fontKey="{B3CE13C3-8DAD-4C3B-B436-D9A1E5025C52}"/>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embedRegular r:id="rId7" w:fontKey="{474C3E20-06F8-45D9-A2E6-59D7F104AEF8}"/>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1"/>
      </w:rPr>
    </w:pPr>
    <w:r>
      <w:fldChar w:fldCharType="begin"/>
    </w:r>
    <w:r>
      <w:rPr>
        <w:rStyle w:val="51"/>
      </w:rPr>
      <w:instrText xml:space="preserve">PAGE  </w:instrText>
    </w:r>
    <w:r>
      <w:fldChar w:fldCharType="separate"/>
    </w:r>
    <w:r>
      <w:rPr>
        <w:rStyle w:val="51"/>
      </w:rPr>
      <w:t>10</w:t>
    </w:r>
    <w:r>
      <w:fldChar w:fldCharType="end"/>
    </w:r>
  </w:p>
  <w:p>
    <w:pPr>
      <w:pStyle w:val="31"/>
      <w:ind w:right="360"/>
    </w:pPr>
    <w:r>
      <w:rPr>
        <w:rFonts w:hint="eastAsia" w:hAnsi="宋体" w:cs="宋体"/>
      </w:rPr>
      <w:t>湖南中招项目管理有限公司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11</w:t>
                    </w:r>
                    <w:r>
                      <w:fldChar w:fldCharType="end"/>
                    </w:r>
                  </w:p>
                </w:txbxContent>
              </v:textbox>
            </v:shape>
          </w:pict>
        </mc:Fallback>
      </mc:AlternateContent>
    </w:r>
    <w:r>
      <w:rPr>
        <w:rFonts w:hint="eastAsia" w:ascii="隶书" w:eastAsia="隶书"/>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1"/>
      </w:rPr>
    </w:pPr>
    <w:r>
      <w:fldChar w:fldCharType="begin"/>
    </w:r>
    <w:r>
      <w:rPr>
        <w:rStyle w:val="51"/>
      </w:rPr>
      <w:instrText xml:space="preserve">PAGE  </w:instrText>
    </w:r>
    <w:r>
      <w:fldChar w:fldCharType="separate"/>
    </w:r>
    <w:r>
      <w:rPr>
        <w:rStyle w:val="51"/>
      </w:rPr>
      <w:t>48</w:t>
    </w:r>
    <w:r>
      <w:fldChar w:fldCharType="end"/>
    </w:r>
  </w:p>
  <w:p>
    <w:pPr>
      <w:pStyle w:val="31"/>
      <w:ind w:right="360"/>
      <w:rPr>
        <w:rFonts w:ascii="宋体" w:hAnsi="宋体"/>
      </w:rPr>
    </w:pPr>
    <w:r>
      <w:rPr>
        <w:rFonts w:hint="eastAsia" w:ascii="宋体" w:hAnsi="宋体" w:cs="宋体"/>
      </w:rPr>
      <w:t>湖南中招项目管理有限公司</w:t>
    </w:r>
    <w:r>
      <w:rPr>
        <w:rFonts w:hint="eastAsia" w:ascii="宋体" w:hAnsi="宋体"/>
        <w:b/>
        <w:kern w:val="0"/>
        <w:sz w:val="21"/>
        <w:szCs w:val="21"/>
      </w:rPr>
      <w:t xml:space="preserve">             </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1"/>
      </w:rPr>
    </w:pPr>
    <w:r>
      <w:fldChar w:fldCharType="begin"/>
    </w:r>
    <w:r>
      <w:rPr>
        <w:rStyle w:val="51"/>
      </w:rPr>
      <w:instrText xml:space="preserve">PAGE  </w:instrText>
    </w:r>
    <w:r>
      <w:fldChar w:fldCharType="separate"/>
    </w:r>
    <w:r>
      <w:rPr>
        <w:rStyle w:val="51"/>
      </w:rPr>
      <w:t>50</w:t>
    </w:r>
    <w:r>
      <w:fldChar w:fldCharType="end"/>
    </w:r>
  </w:p>
  <w:p>
    <w:pPr>
      <w:pStyle w:val="31"/>
      <w:ind w:right="360"/>
      <w:rPr>
        <w:rFonts w:ascii="宋体" w:hAnsi="宋体" w:cs="宋体"/>
        <w:bCs/>
        <w:sz w:val="21"/>
        <w:szCs w:val="21"/>
      </w:rPr>
    </w:pPr>
    <w:r>
      <w:rPr>
        <w:rFonts w:hint="eastAsia" w:ascii="宋体" w:hAnsi="宋体" w:cs="宋体"/>
      </w:rPr>
      <w:t>湖南中招项目管理有限公司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0"/>
      </w:pBdr>
      <w:ind w:right="-132" w:rightChars="-63"/>
      <w:jc w:val="left"/>
    </w:pPr>
    <w:r>
      <w:rPr>
        <w:rFonts w:hint="eastAsia" w:ascii="宋体" w:hAnsi="宋体"/>
        <w:szCs w:val="21"/>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jc w:val="both"/>
      <w:rPr>
        <w:rFonts w:ascii="仿宋_GB2312" w:eastAsia="仿宋_GB2312"/>
        <w:b/>
      </w:rPr>
    </w:pPr>
    <w:r>
      <w:rPr>
        <w:rFonts w:hint="eastAsia"/>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0"/>
      </w:pBdr>
      <w:ind w:left="1800" w:right="-395" w:rightChars="-188" w:hanging="1800" w:hangingChars="1000"/>
      <w:jc w:val="both"/>
    </w:pPr>
    <w:r>
      <w:rPr>
        <w:rFonts w:hint="eastAsia" w:ascii="宋体" w:hAnsi="宋体"/>
        <w:szCs w:val="21"/>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126" w:rightChars="-60"/>
      <w:jc w:val="both"/>
    </w:pPr>
    <w:r>
      <w:rPr>
        <w:rFonts w:hint="eastAsia" w:ascii="宋体" w:hAnsi="宋体"/>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9FDDF3"/>
    <w:multiLevelType w:val="singleLevel"/>
    <w:tmpl w:val="D79FDDF3"/>
    <w:lvl w:ilvl="0" w:tentative="0">
      <w:start w:val="5"/>
      <w:numFmt w:val="chineseCounting"/>
      <w:suff w:val="space"/>
      <w:lvlText w:val="第%1条"/>
      <w:lvlJc w:val="left"/>
      <w:rPr>
        <w:rFonts w:hint="eastAsia"/>
      </w:rPr>
    </w:lvl>
  </w:abstractNum>
  <w:abstractNum w:abstractNumId="1">
    <w:nsid w:val="DCCD690E"/>
    <w:multiLevelType w:val="singleLevel"/>
    <w:tmpl w:val="DCCD690E"/>
    <w:lvl w:ilvl="0" w:tentative="0">
      <w:start w:val="1"/>
      <w:numFmt w:val="decimal"/>
      <w:suff w:val="nothing"/>
      <w:lvlText w:val="%1、"/>
      <w:lvlJc w:val="left"/>
      <w:rPr>
        <w:rFonts w:hint="default"/>
        <w:color w:val="auto"/>
      </w:rPr>
    </w:lvl>
  </w:abstractNum>
  <w:abstractNum w:abstractNumId="2">
    <w:nsid w:val="7E5F5059"/>
    <w:multiLevelType w:val="singleLevel"/>
    <w:tmpl w:val="7E5F505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MTM3NzhkMzNkNjlkMjkyYzYyNmY0ZDkwMzVkMmQifQ=="/>
    <w:docVar w:name="KSO_WPS_MARK_KEY" w:val="93e29820-942c-4b3d-8b01-231cbfd72802"/>
  </w:docVars>
  <w:rsids>
    <w:rsidRoot w:val="003D1B5E"/>
    <w:rsid w:val="000041E1"/>
    <w:rsid w:val="0000666C"/>
    <w:rsid w:val="00012A82"/>
    <w:rsid w:val="00014A72"/>
    <w:rsid w:val="00016C37"/>
    <w:rsid w:val="000174E4"/>
    <w:rsid w:val="00022608"/>
    <w:rsid w:val="0002378A"/>
    <w:rsid w:val="00026CDA"/>
    <w:rsid w:val="000350C1"/>
    <w:rsid w:val="000357BB"/>
    <w:rsid w:val="0004611A"/>
    <w:rsid w:val="000514EB"/>
    <w:rsid w:val="0005152D"/>
    <w:rsid w:val="000515F1"/>
    <w:rsid w:val="00055BB7"/>
    <w:rsid w:val="00061F64"/>
    <w:rsid w:val="00065AE6"/>
    <w:rsid w:val="00074A20"/>
    <w:rsid w:val="00080129"/>
    <w:rsid w:val="000910BB"/>
    <w:rsid w:val="00096D8B"/>
    <w:rsid w:val="000975AC"/>
    <w:rsid w:val="000A4F67"/>
    <w:rsid w:val="000B29D5"/>
    <w:rsid w:val="000B78EB"/>
    <w:rsid w:val="000C0256"/>
    <w:rsid w:val="000C186B"/>
    <w:rsid w:val="000C27C5"/>
    <w:rsid w:val="000D1A00"/>
    <w:rsid w:val="000D5DE1"/>
    <w:rsid w:val="000E6BA3"/>
    <w:rsid w:val="000F1ABE"/>
    <w:rsid w:val="000F4A59"/>
    <w:rsid w:val="000F6F62"/>
    <w:rsid w:val="000F7378"/>
    <w:rsid w:val="001009E4"/>
    <w:rsid w:val="0010285A"/>
    <w:rsid w:val="00112019"/>
    <w:rsid w:val="00123DF2"/>
    <w:rsid w:val="00125984"/>
    <w:rsid w:val="001263BB"/>
    <w:rsid w:val="0013444D"/>
    <w:rsid w:val="001805DA"/>
    <w:rsid w:val="001911B1"/>
    <w:rsid w:val="001915F8"/>
    <w:rsid w:val="0019420E"/>
    <w:rsid w:val="001A014C"/>
    <w:rsid w:val="001B334F"/>
    <w:rsid w:val="001B3CDC"/>
    <w:rsid w:val="001D4744"/>
    <w:rsid w:val="001E549D"/>
    <w:rsid w:val="001F1C1D"/>
    <w:rsid w:val="001F2A35"/>
    <w:rsid w:val="0020005C"/>
    <w:rsid w:val="00204511"/>
    <w:rsid w:val="002045CE"/>
    <w:rsid w:val="00210269"/>
    <w:rsid w:val="00221EEC"/>
    <w:rsid w:val="002237D8"/>
    <w:rsid w:val="00233A47"/>
    <w:rsid w:val="00235FF4"/>
    <w:rsid w:val="00260812"/>
    <w:rsid w:val="00262A98"/>
    <w:rsid w:val="002739C7"/>
    <w:rsid w:val="00274BDD"/>
    <w:rsid w:val="00287DF3"/>
    <w:rsid w:val="002C17A7"/>
    <w:rsid w:val="002C2DF7"/>
    <w:rsid w:val="002D7967"/>
    <w:rsid w:val="00311FD7"/>
    <w:rsid w:val="003139A5"/>
    <w:rsid w:val="00321176"/>
    <w:rsid w:val="00323B22"/>
    <w:rsid w:val="00325931"/>
    <w:rsid w:val="00326173"/>
    <w:rsid w:val="00330836"/>
    <w:rsid w:val="00335417"/>
    <w:rsid w:val="00336693"/>
    <w:rsid w:val="00344685"/>
    <w:rsid w:val="003626F7"/>
    <w:rsid w:val="00370473"/>
    <w:rsid w:val="00371B83"/>
    <w:rsid w:val="0038013E"/>
    <w:rsid w:val="0038333E"/>
    <w:rsid w:val="00387F90"/>
    <w:rsid w:val="003901CA"/>
    <w:rsid w:val="00397579"/>
    <w:rsid w:val="003A6FC5"/>
    <w:rsid w:val="003B3515"/>
    <w:rsid w:val="003B4CA7"/>
    <w:rsid w:val="003B58BB"/>
    <w:rsid w:val="003B6412"/>
    <w:rsid w:val="003C1434"/>
    <w:rsid w:val="003D1B5E"/>
    <w:rsid w:val="003D1E73"/>
    <w:rsid w:val="003D20CF"/>
    <w:rsid w:val="003D31B4"/>
    <w:rsid w:val="003D429A"/>
    <w:rsid w:val="003E1927"/>
    <w:rsid w:val="003E3A92"/>
    <w:rsid w:val="003E67A6"/>
    <w:rsid w:val="003F2289"/>
    <w:rsid w:val="003F3527"/>
    <w:rsid w:val="003F3DE4"/>
    <w:rsid w:val="004024F5"/>
    <w:rsid w:val="004038DE"/>
    <w:rsid w:val="0041176F"/>
    <w:rsid w:val="004148EE"/>
    <w:rsid w:val="00414D1F"/>
    <w:rsid w:val="004214FD"/>
    <w:rsid w:val="00421FBB"/>
    <w:rsid w:val="004275D2"/>
    <w:rsid w:val="00434EA1"/>
    <w:rsid w:val="00441F5D"/>
    <w:rsid w:val="00442D48"/>
    <w:rsid w:val="00443E3A"/>
    <w:rsid w:val="0045423C"/>
    <w:rsid w:val="00457BAC"/>
    <w:rsid w:val="004657A0"/>
    <w:rsid w:val="00471E43"/>
    <w:rsid w:val="00490AE6"/>
    <w:rsid w:val="004B019A"/>
    <w:rsid w:val="004E2877"/>
    <w:rsid w:val="004E350F"/>
    <w:rsid w:val="004E78FF"/>
    <w:rsid w:val="00523143"/>
    <w:rsid w:val="00545D04"/>
    <w:rsid w:val="00550753"/>
    <w:rsid w:val="005515B4"/>
    <w:rsid w:val="00554D73"/>
    <w:rsid w:val="005704DE"/>
    <w:rsid w:val="0057479C"/>
    <w:rsid w:val="00586537"/>
    <w:rsid w:val="00587214"/>
    <w:rsid w:val="00590107"/>
    <w:rsid w:val="00592D0A"/>
    <w:rsid w:val="005A5794"/>
    <w:rsid w:val="005B6F04"/>
    <w:rsid w:val="005D2D66"/>
    <w:rsid w:val="005D7B78"/>
    <w:rsid w:val="005E1ABA"/>
    <w:rsid w:val="005E3793"/>
    <w:rsid w:val="006020B9"/>
    <w:rsid w:val="00606BC1"/>
    <w:rsid w:val="006349D9"/>
    <w:rsid w:val="00645A7B"/>
    <w:rsid w:val="0064674E"/>
    <w:rsid w:val="00647AFD"/>
    <w:rsid w:val="006601FE"/>
    <w:rsid w:val="00663428"/>
    <w:rsid w:val="0066519D"/>
    <w:rsid w:val="00680E42"/>
    <w:rsid w:val="00684BC4"/>
    <w:rsid w:val="00684E78"/>
    <w:rsid w:val="006A1356"/>
    <w:rsid w:val="006A4524"/>
    <w:rsid w:val="006A4EAD"/>
    <w:rsid w:val="006C3104"/>
    <w:rsid w:val="006D637E"/>
    <w:rsid w:val="006E26A9"/>
    <w:rsid w:val="006E51E0"/>
    <w:rsid w:val="006F639B"/>
    <w:rsid w:val="006F6528"/>
    <w:rsid w:val="007020E3"/>
    <w:rsid w:val="00707869"/>
    <w:rsid w:val="00721463"/>
    <w:rsid w:val="007326D6"/>
    <w:rsid w:val="00763DCF"/>
    <w:rsid w:val="0076684F"/>
    <w:rsid w:val="007755AA"/>
    <w:rsid w:val="00782727"/>
    <w:rsid w:val="00791325"/>
    <w:rsid w:val="00791F2A"/>
    <w:rsid w:val="007921C7"/>
    <w:rsid w:val="00794CA1"/>
    <w:rsid w:val="007A0DEB"/>
    <w:rsid w:val="007A104E"/>
    <w:rsid w:val="007A232D"/>
    <w:rsid w:val="007B1675"/>
    <w:rsid w:val="007C0D76"/>
    <w:rsid w:val="007C21F3"/>
    <w:rsid w:val="007C364E"/>
    <w:rsid w:val="007C71A8"/>
    <w:rsid w:val="007D10A8"/>
    <w:rsid w:val="007D397E"/>
    <w:rsid w:val="007D4B2B"/>
    <w:rsid w:val="007F0794"/>
    <w:rsid w:val="007F17E9"/>
    <w:rsid w:val="007F6B40"/>
    <w:rsid w:val="00800385"/>
    <w:rsid w:val="00804AA3"/>
    <w:rsid w:val="00807630"/>
    <w:rsid w:val="0082027D"/>
    <w:rsid w:val="00821C47"/>
    <w:rsid w:val="008248E0"/>
    <w:rsid w:val="008265D8"/>
    <w:rsid w:val="00836E41"/>
    <w:rsid w:val="008404B8"/>
    <w:rsid w:val="00862DF8"/>
    <w:rsid w:val="00863556"/>
    <w:rsid w:val="00865031"/>
    <w:rsid w:val="008662DC"/>
    <w:rsid w:val="008704ED"/>
    <w:rsid w:val="00887F85"/>
    <w:rsid w:val="008949D8"/>
    <w:rsid w:val="008B0767"/>
    <w:rsid w:val="008B3D46"/>
    <w:rsid w:val="008B4F63"/>
    <w:rsid w:val="008C3F68"/>
    <w:rsid w:val="008F11C5"/>
    <w:rsid w:val="008F5BB3"/>
    <w:rsid w:val="008F6CFB"/>
    <w:rsid w:val="008F70DC"/>
    <w:rsid w:val="00915D50"/>
    <w:rsid w:val="0092155C"/>
    <w:rsid w:val="00934EBD"/>
    <w:rsid w:val="009351BD"/>
    <w:rsid w:val="009368D8"/>
    <w:rsid w:val="00940C34"/>
    <w:rsid w:val="0095081A"/>
    <w:rsid w:val="00951679"/>
    <w:rsid w:val="00964057"/>
    <w:rsid w:val="009723C7"/>
    <w:rsid w:val="0098042C"/>
    <w:rsid w:val="009A315A"/>
    <w:rsid w:val="009A7ABF"/>
    <w:rsid w:val="009B76E4"/>
    <w:rsid w:val="009C51CA"/>
    <w:rsid w:val="009C5E9A"/>
    <w:rsid w:val="009E1504"/>
    <w:rsid w:val="009E2BD3"/>
    <w:rsid w:val="00A44B72"/>
    <w:rsid w:val="00A4625D"/>
    <w:rsid w:val="00A514B2"/>
    <w:rsid w:val="00A630E3"/>
    <w:rsid w:val="00A63968"/>
    <w:rsid w:val="00A67984"/>
    <w:rsid w:val="00A707E7"/>
    <w:rsid w:val="00A73479"/>
    <w:rsid w:val="00A87758"/>
    <w:rsid w:val="00A92A5F"/>
    <w:rsid w:val="00A96D25"/>
    <w:rsid w:val="00AA1CF2"/>
    <w:rsid w:val="00AA25DC"/>
    <w:rsid w:val="00AA7746"/>
    <w:rsid w:val="00AB253D"/>
    <w:rsid w:val="00AD4CD5"/>
    <w:rsid w:val="00AD720D"/>
    <w:rsid w:val="00AE2569"/>
    <w:rsid w:val="00AE5DF4"/>
    <w:rsid w:val="00AF140D"/>
    <w:rsid w:val="00AF153F"/>
    <w:rsid w:val="00AF417C"/>
    <w:rsid w:val="00B17D26"/>
    <w:rsid w:val="00B17FED"/>
    <w:rsid w:val="00B22233"/>
    <w:rsid w:val="00B308DF"/>
    <w:rsid w:val="00B30D9B"/>
    <w:rsid w:val="00B40161"/>
    <w:rsid w:val="00B42D2D"/>
    <w:rsid w:val="00B51B80"/>
    <w:rsid w:val="00B55A16"/>
    <w:rsid w:val="00B66176"/>
    <w:rsid w:val="00B67E01"/>
    <w:rsid w:val="00B84959"/>
    <w:rsid w:val="00BA148C"/>
    <w:rsid w:val="00BC12B1"/>
    <w:rsid w:val="00BD0176"/>
    <w:rsid w:val="00BD0E03"/>
    <w:rsid w:val="00BD1169"/>
    <w:rsid w:val="00BE2C2C"/>
    <w:rsid w:val="00C01B64"/>
    <w:rsid w:val="00C236F5"/>
    <w:rsid w:val="00C27309"/>
    <w:rsid w:val="00C31016"/>
    <w:rsid w:val="00C31808"/>
    <w:rsid w:val="00C4296C"/>
    <w:rsid w:val="00C42F17"/>
    <w:rsid w:val="00C52FAB"/>
    <w:rsid w:val="00C53A5C"/>
    <w:rsid w:val="00C60B29"/>
    <w:rsid w:val="00C65011"/>
    <w:rsid w:val="00C65AAD"/>
    <w:rsid w:val="00C70359"/>
    <w:rsid w:val="00C73107"/>
    <w:rsid w:val="00C74E55"/>
    <w:rsid w:val="00C752F8"/>
    <w:rsid w:val="00C821BB"/>
    <w:rsid w:val="00C86A27"/>
    <w:rsid w:val="00CA0889"/>
    <w:rsid w:val="00CB4C28"/>
    <w:rsid w:val="00CC0468"/>
    <w:rsid w:val="00CD3FB9"/>
    <w:rsid w:val="00CD6ED6"/>
    <w:rsid w:val="00CE6D73"/>
    <w:rsid w:val="00CF3D68"/>
    <w:rsid w:val="00D04DBF"/>
    <w:rsid w:val="00D052C2"/>
    <w:rsid w:val="00D06030"/>
    <w:rsid w:val="00D21D52"/>
    <w:rsid w:val="00D325C3"/>
    <w:rsid w:val="00D4064F"/>
    <w:rsid w:val="00D51611"/>
    <w:rsid w:val="00D5211D"/>
    <w:rsid w:val="00D55FF4"/>
    <w:rsid w:val="00D667B3"/>
    <w:rsid w:val="00D73BCE"/>
    <w:rsid w:val="00D73CF1"/>
    <w:rsid w:val="00D74C9E"/>
    <w:rsid w:val="00D87A61"/>
    <w:rsid w:val="00D91B6A"/>
    <w:rsid w:val="00D91E82"/>
    <w:rsid w:val="00D93362"/>
    <w:rsid w:val="00D96064"/>
    <w:rsid w:val="00DA4145"/>
    <w:rsid w:val="00DB2048"/>
    <w:rsid w:val="00DB42CD"/>
    <w:rsid w:val="00DC0C14"/>
    <w:rsid w:val="00DD2E33"/>
    <w:rsid w:val="00DD3009"/>
    <w:rsid w:val="00DD4670"/>
    <w:rsid w:val="00DE5D81"/>
    <w:rsid w:val="00DF36D0"/>
    <w:rsid w:val="00DF400A"/>
    <w:rsid w:val="00DF6101"/>
    <w:rsid w:val="00E04A19"/>
    <w:rsid w:val="00E13BAF"/>
    <w:rsid w:val="00E31BF2"/>
    <w:rsid w:val="00E4439C"/>
    <w:rsid w:val="00E44546"/>
    <w:rsid w:val="00E476A6"/>
    <w:rsid w:val="00E60673"/>
    <w:rsid w:val="00E620C2"/>
    <w:rsid w:val="00E7766D"/>
    <w:rsid w:val="00E801AF"/>
    <w:rsid w:val="00E80478"/>
    <w:rsid w:val="00E8720B"/>
    <w:rsid w:val="00E928CE"/>
    <w:rsid w:val="00EA1321"/>
    <w:rsid w:val="00EC17DA"/>
    <w:rsid w:val="00EC310D"/>
    <w:rsid w:val="00EC3BAB"/>
    <w:rsid w:val="00ED5BAC"/>
    <w:rsid w:val="00EE4215"/>
    <w:rsid w:val="00EE48E1"/>
    <w:rsid w:val="00F24C94"/>
    <w:rsid w:val="00F263E8"/>
    <w:rsid w:val="00F35655"/>
    <w:rsid w:val="00F66592"/>
    <w:rsid w:val="00F730B0"/>
    <w:rsid w:val="00F744C4"/>
    <w:rsid w:val="00F75A72"/>
    <w:rsid w:val="00F81F93"/>
    <w:rsid w:val="00F8466D"/>
    <w:rsid w:val="00F91E67"/>
    <w:rsid w:val="00FA040E"/>
    <w:rsid w:val="00FA6A71"/>
    <w:rsid w:val="00FB4232"/>
    <w:rsid w:val="00FD5750"/>
    <w:rsid w:val="00FD5BB4"/>
    <w:rsid w:val="00FD7C6E"/>
    <w:rsid w:val="00FE0B46"/>
    <w:rsid w:val="00FE0F13"/>
    <w:rsid w:val="00FF757C"/>
    <w:rsid w:val="020C4532"/>
    <w:rsid w:val="0223618E"/>
    <w:rsid w:val="02FB68B5"/>
    <w:rsid w:val="03011F7B"/>
    <w:rsid w:val="04123A07"/>
    <w:rsid w:val="053012A5"/>
    <w:rsid w:val="063E2A4E"/>
    <w:rsid w:val="06677F89"/>
    <w:rsid w:val="06F74371"/>
    <w:rsid w:val="070F06C1"/>
    <w:rsid w:val="070F4CB4"/>
    <w:rsid w:val="07400C9D"/>
    <w:rsid w:val="07633B1F"/>
    <w:rsid w:val="07E6254E"/>
    <w:rsid w:val="08215844"/>
    <w:rsid w:val="0837618C"/>
    <w:rsid w:val="08D0058E"/>
    <w:rsid w:val="08D1259A"/>
    <w:rsid w:val="08D36AB3"/>
    <w:rsid w:val="092208D6"/>
    <w:rsid w:val="09630085"/>
    <w:rsid w:val="09A82D92"/>
    <w:rsid w:val="0A3D4E0D"/>
    <w:rsid w:val="0AA60AFD"/>
    <w:rsid w:val="0B277301"/>
    <w:rsid w:val="0B6F0C4C"/>
    <w:rsid w:val="0B925135"/>
    <w:rsid w:val="0C0A07BD"/>
    <w:rsid w:val="0C2E1952"/>
    <w:rsid w:val="0C367CBC"/>
    <w:rsid w:val="0C821DF4"/>
    <w:rsid w:val="0D081A83"/>
    <w:rsid w:val="0EA224A6"/>
    <w:rsid w:val="1004486E"/>
    <w:rsid w:val="1006534B"/>
    <w:rsid w:val="106704C4"/>
    <w:rsid w:val="10702130"/>
    <w:rsid w:val="10B70AE5"/>
    <w:rsid w:val="11511F61"/>
    <w:rsid w:val="12CF660E"/>
    <w:rsid w:val="13E32A6B"/>
    <w:rsid w:val="14AB24E5"/>
    <w:rsid w:val="14FD50CC"/>
    <w:rsid w:val="1546292F"/>
    <w:rsid w:val="15703208"/>
    <w:rsid w:val="1581446A"/>
    <w:rsid w:val="16B712B8"/>
    <w:rsid w:val="1758691B"/>
    <w:rsid w:val="18A67A46"/>
    <w:rsid w:val="18EB6101"/>
    <w:rsid w:val="1AC47300"/>
    <w:rsid w:val="1BF44AD1"/>
    <w:rsid w:val="1CAB4B49"/>
    <w:rsid w:val="1D0C3AEE"/>
    <w:rsid w:val="1D1E46E9"/>
    <w:rsid w:val="1E5A2740"/>
    <w:rsid w:val="1E6B6282"/>
    <w:rsid w:val="1EE45762"/>
    <w:rsid w:val="1EED593A"/>
    <w:rsid w:val="1FD70E73"/>
    <w:rsid w:val="202F7912"/>
    <w:rsid w:val="20DE0A0C"/>
    <w:rsid w:val="20EA1BCF"/>
    <w:rsid w:val="2153154F"/>
    <w:rsid w:val="21BC3427"/>
    <w:rsid w:val="21BF3BA5"/>
    <w:rsid w:val="224F005F"/>
    <w:rsid w:val="229C0B63"/>
    <w:rsid w:val="23445482"/>
    <w:rsid w:val="237E3B97"/>
    <w:rsid w:val="253A1658"/>
    <w:rsid w:val="25C55B15"/>
    <w:rsid w:val="25F724E4"/>
    <w:rsid w:val="269F7FB2"/>
    <w:rsid w:val="26AB31F9"/>
    <w:rsid w:val="278124A0"/>
    <w:rsid w:val="27CA57BE"/>
    <w:rsid w:val="286363AA"/>
    <w:rsid w:val="294F555C"/>
    <w:rsid w:val="2CE50DF5"/>
    <w:rsid w:val="2CE83322"/>
    <w:rsid w:val="2D2A4ACD"/>
    <w:rsid w:val="2DF67169"/>
    <w:rsid w:val="2E386797"/>
    <w:rsid w:val="2E49028D"/>
    <w:rsid w:val="2E6751EF"/>
    <w:rsid w:val="2E903C71"/>
    <w:rsid w:val="2F3C7955"/>
    <w:rsid w:val="2F4D3FAD"/>
    <w:rsid w:val="30963095"/>
    <w:rsid w:val="30965749"/>
    <w:rsid w:val="30B363DF"/>
    <w:rsid w:val="3163472E"/>
    <w:rsid w:val="323C7EED"/>
    <w:rsid w:val="323E39E4"/>
    <w:rsid w:val="32941249"/>
    <w:rsid w:val="32C32377"/>
    <w:rsid w:val="33092244"/>
    <w:rsid w:val="33794C4B"/>
    <w:rsid w:val="33C050F4"/>
    <w:rsid w:val="3434410F"/>
    <w:rsid w:val="348F6779"/>
    <w:rsid w:val="35411BBA"/>
    <w:rsid w:val="35660E95"/>
    <w:rsid w:val="35877E86"/>
    <w:rsid w:val="35916432"/>
    <w:rsid w:val="35984784"/>
    <w:rsid w:val="35C2060E"/>
    <w:rsid w:val="35D34FC8"/>
    <w:rsid w:val="361545A4"/>
    <w:rsid w:val="36D36DF1"/>
    <w:rsid w:val="37016910"/>
    <w:rsid w:val="37A4253C"/>
    <w:rsid w:val="381F37DC"/>
    <w:rsid w:val="38251308"/>
    <w:rsid w:val="38671A23"/>
    <w:rsid w:val="3908146C"/>
    <w:rsid w:val="3A836438"/>
    <w:rsid w:val="3AB07AD0"/>
    <w:rsid w:val="3AE03D3A"/>
    <w:rsid w:val="3B2245ED"/>
    <w:rsid w:val="3C607BCD"/>
    <w:rsid w:val="3D675B32"/>
    <w:rsid w:val="3DE360A4"/>
    <w:rsid w:val="3DE900E7"/>
    <w:rsid w:val="3E3A1504"/>
    <w:rsid w:val="3EA30BC7"/>
    <w:rsid w:val="40D95004"/>
    <w:rsid w:val="412E317D"/>
    <w:rsid w:val="414C6B29"/>
    <w:rsid w:val="41B17D81"/>
    <w:rsid w:val="42C33BA9"/>
    <w:rsid w:val="42C817D4"/>
    <w:rsid w:val="4305620A"/>
    <w:rsid w:val="44065357"/>
    <w:rsid w:val="441A0035"/>
    <w:rsid w:val="44BB3DA1"/>
    <w:rsid w:val="44C07DD5"/>
    <w:rsid w:val="44F62BD1"/>
    <w:rsid w:val="45154971"/>
    <w:rsid w:val="46CD58D4"/>
    <w:rsid w:val="47307948"/>
    <w:rsid w:val="475A5501"/>
    <w:rsid w:val="47847DB4"/>
    <w:rsid w:val="479E0D55"/>
    <w:rsid w:val="47A974CF"/>
    <w:rsid w:val="48CA77A5"/>
    <w:rsid w:val="49C8583C"/>
    <w:rsid w:val="4A923B3D"/>
    <w:rsid w:val="4AC92E8E"/>
    <w:rsid w:val="4B1B3CAD"/>
    <w:rsid w:val="4CBD1948"/>
    <w:rsid w:val="4E2F7205"/>
    <w:rsid w:val="4EAF091C"/>
    <w:rsid w:val="4EB01B6C"/>
    <w:rsid w:val="4F270F69"/>
    <w:rsid w:val="4F6676C5"/>
    <w:rsid w:val="4FE638BC"/>
    <w:rsid w:val="50857E1E"/>
    <w:rsid w:val="509F2C3B"/>
    <w:rsid w:val="50E6437C"/>
    <w:rsid w:val="51611D22"/>
    <w:rsid w:val="523B1AD0"/>
    <w:rsid w:val="524704CD"/>
    <w:rsid w:val="527C5D26"/>
    <w:rsid w:val="52C26BA2"/>
    <w:rsid w:val="52CD749F"/>
    <w:rsid w:val="53391AA9"/>
    <w:rsid w:val="53A40351"/>
    <w:rsid w:val="54F66D5C"/>
    <w:rsid w:val="55774188"/>
    <w:rsid w:val="56044479"/>
    <w:rsid w:val="564F57CA"/>
    <w:rsid w:val="56F30D3E"/>
    <w:rsid w:val="57090E46"/>
    <w:rsid w:val="571802CE"/>
    <w:rsid w:val="574005C9"/>
    <w:rsid w:val="575C111A"/>
    <w:rsid w:val="58201942"/>
    <w:rsid w:val="591305FD"/>
    <w:rsid w:val="59411541"/>
    <w:rsid w:val="59EF727D"/>
    <w:rsid w:val="59F134F3"/>
    <w:rsid w:val="5A8042EB"/>
    <w:rsid w:val="5BBB382C"/>
    <w:rsid w:val="5D380EAD"/>
    <w:rsid w:val="5D4532CA"/>
    <w:rsid w:val="5D830804"/>
    <w:rsid w:val="5E9038B6"/>
    <w:rsid w:val="5F372160"/>
    <w:rsid w:val="60243382"/>
    <w:rsid w:val="612328B5"/>
    <w:rsid w:val="614E7A3D"/>
    <w:rsid w:val="61882395"/>
    <w:rsid w:val="61D01188"/>
    <w:rsid w:val="62592222"/>
    <w:rsid w:val="627D1A0F"/>
    <w:rsid w:val="635527B8"/>
    <w:rsid w:val="641B7471"/>
    <w:rsid w:val="654D07EB"/>
    <w:rsid w:val="65D5012F"/>
    <w:rsid w:val="66A279CC"/>
    <w:rsid w:val="67E52301"/>
    <w:rsid w:val="68C01CC1"/>
    <w:rsid w:val="68C3491F"/>
    <w:rsid w:val="68E67FBD"/>
    <w:rsid w:val="690C5693"/>
    <w:rsid w:val="69490E27"/>
    <w:rsid w:val="6996428D"/>
    <w:rsid w:val="699D0603"/>
    <w:rsid w:val="6A2F527A"/>
    <w:rsid w:val="6A3D1D64"/>
    <w:rsid w:val="6AA02261"/>
    <w:rsid w:val="6ADA751F"/>
    <w:rsid w:val="6B4856E7"/>
    <w:rsid w:val="6CC938CF"/>
    <w:rsid w:val="6D4318D3"/>
    <w:rsid w:val="6E7C6AE0"/>
    <w:rsid w:val="6F8F4715"/>
    <w:rsid w:val="702F1093"/>
    <w:rsid w:val="708665F8"/>
    <w:rsid w:val="70A26FBA"/>
    <w:rsid w:val="70C749AF"/>
    <w:rsid w:val="71A22F0A"/>
    <w:rsid w:val="72B142EC"/>
    <w:rsid w:val="73A5019F"/>
    <w:rsid w:val="73CB4AF8"/>
    <w:rsid w:val="75124D13"/>
    <w:rsid w:val="75AA6A67"/>
    <w:rsid w:val="760E66EB"/>
    <w:rsid w:val="76206A69"/>
    <w:rsid w:val="76341608"/>
    <w:rsid w:val="77987A82"/>
    <w:rsid w:val="77B80485"/>
    <w:rsid w:val="78862B6F"/>
    <w:rsid w:val="78C00E75"/>
    <w:rsid w:val="798B5AE9"/>
    <w:rsid w:val="7A7E50C0"/>
    <w:rsid w:val="7AF52F82"/>
    <w:rsid w:val="7AF81F4F"/>
    <w:rsid w:val="7B300BB7"/>
    <w:rsid w:val="7BEF538F"/>
    <w:rsid w:val="7C914C43"/>
    <w:rsid w:val="7DEC5DD7"/>
    <w:rsid w:val="7E32109D"/>
    <w:rsid w:val="7EF56987"/>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8"/>
    <w:qFormat/>
    <w:uiPriority w:val="0"/>
    <w:pPr>
      <w:keepNext/>
      <w:jc w:val="center"/>
      <w:outlineLvl w:val="0"/>
    </w:pPr>
    <w:rPr>
      <w:b/>
      <w:bCs/>
      <w:sz w:val="24"/>
      <w:szCs w:val="20"/>
    </w:rPr>
  </w:style>
  <w:style w:type="paragraph" w:styleId="7">
    <w:name w:val="heading 2"/>
    <w:basedOn w:val="1"/>
    <w:next w:val="1"/>
    <w:link w:val="69"/>
    <w:qFormat/>
    <w:uiPriority w:val="0"/>
    <w:pPr>
      <w:keepNext/>
      <w:keepLines/>
      <w:spacing w:line="360" w:lineRule="auto"/>
      <w:outlineLvl w:val="1"/>
    </w:pPr>
    <w:rPr>
      <w:rFonts w:ascii="Arial" w:hAnsi="Arial"/>
      <w:b/>
      <w:bCs/>
      <w:sz w:val="24"/>
      <w:szCs w:val="32"/>
    </w:rPr>
  </w:style>
  <w:style w:type="paragraph" w:styleId="8">
    <w:name w:val="heading 3"/>
    <w:basedOn w:val="1"/>
    <w:next w:val="1"/>
    <w:link w:val="70"/>
    <w:qFormat/>
    <w:uiPriority w:val="0"/>
    <w:pPr>
      <w:keepNext/>
      <w:keepLines/>
      <w:spacing w:before="260" w:after="260" w:line="416" w:lineRule="auto"/>
      <w:outlineLvl w:val="2"/>
    </w:pPr>
    <w:rPr>
      <w:b/>
      <w:bCs/>
      <w:sz w:val="32"/>
      <w:szCs w:val="32"/>
    </w:rPr>
  </w:style>
  <w:style w:type="paragraph" w:styleId="9">
    <w:name w:val="heading 4"/>
    <w:basedOn w:val="1"/>
    <w:next w:val="1"/>
    <w:link w:val="71"/>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72"/>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1">
    <w:name w:val="heading 6"/>
    <w:basedOn w:val="1"/>
    <w:next w:val="1"/>
    <w:link w:val="73"/>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2">
    <w:name w:val="heading 7"/>
    <w:basedOn w:val="1"/>
    <w:next w:val="1"/>
    <w:link w:val="74"/>
    <w:qFormat/>
    <w:uiPriority w:val="0"/>
    <w:pPr>
      <w:keepNext/>
      <w:keepLines/>
      <w:adjustRightInd w:val="0"/>
      <w:spacing w:before="240" w:after="64" w:line="320" w:lineRule="atLeast"/>
      <w:jc w:val="left"/>
      <w:textAlignment w:val="baseline"/>
      <w:outlineLvl w:val="6"/>
    </w:pPr>
    <w:rPr>
      <w:b/>
      <w:bCs/>
      <w:kern w:val="0"/>
      <w:sz w:val="24"/>
    </w:rPr>
  </w:style>
  <w:style w:type="paragraph" w:styleId="13">
    <w:name w:val="heading 8"/>
    <w:basedOn w:val="1"/>
    <w:next w:val="1"/>
    <w:link w:val="75"/>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4">
    <w:name w:val="heading 9"/>
    <w:basedOn w:val="1"/>
    <w:next w:val="1"/>
    <w:link w:val="76"/>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9">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5"/>
    <w:link w:val="298"/>
    <w:unhideWhenUsed/>
    <w:qFormat/>
    <w:uiPriority w:val="0"/>
    <w:pPr>
      <w:ind w:firstLine="420" w:firstLineChars="200"/>
    </w:pPr>
  </w:style>
  <w:style w:type="paragraph" w:styleId="3">
    <w:name w:val="Body Text Indent"/>
    <w:basedOn w:val="1"/>
    <w:next w:val="4"/>
    <w:link w:val="79"/>
    <w:qFormat/>
    <w:uiPriority w:val="0"/>
    <w:pPr>
      <w:spacing w:after="120"/>
      <w:ind w:left="420" w:leftChars="200"/>
    </w:pPr>
  </w:style>
  <w:style w:type="paragraph" w:styleId="4">
    <w:name w:val="envelope return"/>
    <w:unhideWhenUsed/>
    <w:qFormat/>
    <w:uiPriority w:val="99"/>
    <w:pPr>
      <w:widowControl w:val="0"/>
      <w:snapToGrid w:val="0"/>
      <w:jc w:val="both"/>
    </w:pPr>
    <w:rPr>
      <w:rFonts w:ascii="Arial" w:hAnsi="Arial" w:eastAsia="宋体" w:cs="Times New Roman"/>
      <w:kern w:val="2"/>
      <w:sz w:val="28"/>
      <w:szCs w:val="24"/>
      <w:lang w:val="en-US" w:eastAsia="zh-CN" w:bidi="ar-SA"/>
    </w:rPr>
  </w:style>
  <w:style w:type="paragraph" w:styleId="5">
    <w:name w:val="Normal Indent"/>
    <w:basedOn w:val="1"/>
    <w:qFormat/>
    <w:uiPriority w:val="0"/>
    <w:pPr>
      <w:widowControl/>
      <w:ind w:firstLine="420"/>
      <w:jc w:val="left"/>
    </w:pPr>
    <w:rPr>
      <w:kern w:val="0"/>
      <w:sz w:val="20"/>
      <w:szCs w:val="20"/>
    </w:rPr>
  </w:style>
  <w:style w:type="paragraph" w:styleId="15">
    <w:name w:val="toc 7"/>
    <w:basedOn w:val="1"/>
    <w:next w:val="1"/>
    <w:qFormat/>
    <w:uiPriority w:val="0"/>
    <w:pPr>
      <w:ind w:left="2520" w:leftChars="1200"/>
    </w:pPr>
    <w:rPr>
      <w:szCs w:val="22"/>
    </w:rPr>
  </w:style>
  <w:style w:type="paragraph" w:styleId="16">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7">
    <w:name w:val="Document Map"/>
    <w:basedOn w:val="1"/>
    <w:semiHidden/>
    <w:qFormat/>
    <w:uiPriority w:val="0"/>
    <w:pPr>
      <w:shd w:val="clear" w:color="auto" w:fill="000080"/>
    </w:pPr>
  </w:style>
  <w:style w:type="paragraph" w:styleId="18">
    <w:name w:val="annotation text"/>
    <w:basedOn w:val="1"/>
    <w:next w:val="1"/>
    <w:link w:val="77"/>
    <w:semiHidden/>
    <w:qFormat/>
    <w:uiPriority w:val="0"/>
    <w:pPr>
      <w:jc w:val="left"/>
    </w:pPr>
  </w:style>
  <w:style w:type="paragraph" w:styleId="19">
    <w:name w:val="Salutation"/>
    <w:basedOn w:val="1"/>
    <w:next w:val="1"/>
    <w:qFormat/>
    <w:uiPriority w:val="0"/>
    <w:rPr>
      <w:rFonts w:ascii="仿宋_GB2312" w:eastAsia="仿宋_GB2312"/>
      <w:sz w:val="24"/>
    </w:rPr>
  </w:style>
  <w:style w:type="paragraph" w:styleId="20">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1">
    <w:name w:val="Body Text"/>
    <w:basedOn w:val="1"/>
    <w:link w:val="78"/>
    <w:qFormat/>
    <w:uiPriority w:val="0"/>
    <w:pPr>
      <w:spacing w:after="120"/>
    </w:pPr>
  </w:style>
  <w:style w:type="paragraph" w:styleId="22">
    <w:name w:val="List 2"/>
    <w:basedOn w:val="1"/>
    <w:qFormat/>
    <w:uiPriority w:val="0"/>
    <w:pPr>
      <w:ind w:left="840" w:hanging="420"/>
    </w:pPr>
  </w:style>
  <w:style w:type="paragraph" w:styleId="23">
    <w:name w:val="Block Text"/>
    <w:basedOn w:val="1"/>
    <w:qFormat/>
    <w:uiPriority w:val="0"/>
    <w:pPr>
      <w:ind w:left="1171" w:right="91" w:hanging="1080"/>
    </w:pPr>
    <w:rPr>
      <w:rFonts w:eastAsia="楷体_GB2312"/>
      <w:szCs w:val="20"/>
    </w:rPr>
  </w:style>
  <w:style w:type="paragraph" w:styleId="24">
    <w:name w:val="toc 5"/>
    <w:basedOn w:val="1"/>
    <w:next w:val="1"/>
    <w:qFormat/>
    <w:uiPriority w:val="0"/>
    <w:pPr>
      <w:ind w:left="1680" w:leftChars="800"/>
    </w:pPr>
    <w:rPr>
      <w:szCs w:val="22"/>
    </w:rPr>
  </w:style>
  <w:style w:type="paragraph" w:styleId="25">
    <w:name w:val="toc 3"/>
    <w:basedOn w:val="1"/>
    <w:next w:val="1"/>
    <w:qFormat/>
    <w:uiPriority w:val="0"/>
    <w:pPr>
      <w:ind w:left="840" w:leftChars="400"/>
    </w:pPr>
  </w:style>
  <w:style w:type="paragraph" w:styleId="26">
    <w:name w:val="Plain Text"/>
    <w:basedOn w:val="1"/>
    <w:link w:val="80"/>
    <w:qFormat/>
    <w:uiPriority w:val="0"/>
    <w:rPr>
      <w:rFonts w:ascii="宋体" w:hAnsi="Courier New" w:cs="Courier New"/>
      <w:szCs w:val="21"/>
    </w:rPr>
  </w:style>
  <w:style w:type="paragraph" w:styleId="27">
    <w:name w:val="toc 8"/>
    <w:basedOn w:val="1"/>
    <w:next w:val="1"/>
    <w:qFormat/>
    <w:uiPriority w:val="0"/>
    <w:pPr>
      <w:ind w:left="2940" w:leftChars="1400"/>
    </w:pPr>
    <w:rPr>
      <w:szCs w:val="22"/>
    </w:rPr>
  </w:style>
  <w:style w:type="paragraph" w:styleId="28">
    <w:name w:val="Date"/>
    <w:basedOn w:val="1"/>
    <w:next w:val="2"/>
    <w:link w:val="8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link w:val="82"/>
    <w:qFormat/>
    <w:uiPriority w:val="0"/>
    <w:rPr>
      <w:sz w:val="18"/>
      <w:szCs w:val="18"/>
    </w:rPr>
  </w:style>
  <w:style w:type="paragraph" w:styleId="31">
    <w:name w:val="footer"/>
    <w:basedOn w:val="1"/>
    <w:next w:val="1"/>
    <w:link w:val="67"/>
    <w:qFormat/>
    <w:uiPriority w:val="0"/>
    <w:pPr>
      <w:tabs>
        <w:tab w:val="center" w:pos="4153"/>
        <w:tab w:val="right" w:pos="8306"/>
      </w:tabs>
      <w:snapToGrid w:val="0"/>
      <w:jc w:val="left"/>
    </w:pPr>
    <w:rPr>
      <w:sz w:val="18"/>
      <w:szCs w:val="18"/>
    </w:rPr>
  </w:style>
  <w:style w:type="paragraph" w:styleId="32">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4">
    <w:name w:val="toc 4"/>
    <w:basedOn w:val="1"/>
    <w:next w:val="1"/>
    <w:qFormat/>
    <w:uiPriority w:val="0"/>
    <w:pPr>
      <w:ind w:left="1260" w:leftChars="600"/>
    </w:pPr>
  </w:style>
  <w:style w:type="paragraph" w:styleId="35">
    <w:name w:val="Subtitle"/>
    <w:basedOn w:val="1"/>
    <w:next w:val="1"/>
    <w:link w:val="84"/>
    <w:qFormat/>
    <w:uiPriority w:val="0"/>
    <w:pPr>
      <w:spacing w:before="240" w:after="60" w:line="312" w:lineRule="auto"/>
      <w:jc w:val="center"/>
      <w:outlineLvl w:val="1"/>
    </w:pPr>
    <w:rPr>
      <w:rFonts w:ascii="Cambria" w:hAnsi="Cambria"/>
      <w:b/>
      <w:bCs/>
      <w:kern w:val="28"/>
      <w:sz w:val="32"/>
      <w:szCs w:val="32"/>
    </w:rPr>
  </w:style>
  <w:style w:type="paragraph" w:styleId="36">
    <w:name w:val="toc 6"/>
    <w:basedOn w:val="1"/>
    <w:next w:val="1"/>
    <w:qFormat/>
    <w:uiPriority w:val="0"/>
    <w:pPr>
      <w:ind w:left="2100" w:leftChars="1000"/>
    </w:pPr>
    <w:rPr>
      <w:szCs w:val="22"/>
    </w:rPr>
  </w:style>
  <w:style w:type="paragraph" w:styleId="37">
    <w:name w:val="Body Text Indent 3"/>
    <w:basedOn w:val="1"/>
    <w:link w:val="85"/>
    <w:qFormat/>
    <w:uiPriority w:val="0"/>
    <w:pPr>
      <w:spacing w:after="120"/>
      <w:ind w:left="420" w:leftChars="200"/>
    </w:pPr>
    <w:rPr>
      <w:sz w:val="16"/>
      <w:szCs w:val="16"/>
    </w:rPr>
  </w:style>
  <w:style w:type="paragraph" w:styleId="38">
    <w:name w:val="toc 2"/>
    <w:basedOn w:val="1"/>
    <w:next w:val="1"/>
    <w:qFormat/>
    <w:uiPriority w:val="0"/>
    <w:pPr>
      <w:ind w:left="420" w:leftChars="200"/>
    </w:pPr>
  </w:style>
  <w:style w:type="paragraph" w:styleId="39">
    <w:name w:val="toc 9"/>
    <w:basedOn w:val="1"/>
    <w:next w:val="1"/>
    <w:qFormat/>
    <w:uiPriority w:val="0"/>
    <w:pPr>
      <w:ind w:left="3360" w:leftChars="1600"/>
    </w:pPr>
    <w:rPr>
      <w:szCs w:val="22"/>
    </w:rPr>
  </w:style>
  <w:style w:type="paragraph" w:styleId="40">
    <w:name w:val="Body Text 2"/>
    <w:basedOn w:val="1"/>
    <w:qFormat/>
    <w:uiPriority w:val="0"/>
    <w:pPr>
      <w:spacing w:after="120" w:line="480" w:lineRule="auto"/>
    </w:p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0"/>
    </w:rPr>
  </w:style>
  <w:style w:type="paragraph" w:styleId="44">
    <w:name w:val="Title"/>
    <w:basedOn w:val="1"/>
    <w:next w:val="1"/>
    <w:link w:val="86"/>
    <w:qFormat/>
    <w:uiPriority w:val="0"/>
    <w:pPr>
      <w:spacing w:before="240" w:after="60"/>
      <w:jc w:val="center"/>
      <w:outlineLvl w:val="0"/>
    </w:pPr>
    <w:rPr>
      <w:rFonts w:ascii="Cambria" w:hAnsi="Cambria"/>
      <w:b/>
      <w:sz w:val="32"/>
    </w:rPr>
  </w:style>
  <w:style w:type="paragraph" w:styleId="45">
    <w:name w:val="annotation subject"/>
    <w:basedOn w:val="18"/>
    <w:next w:val="1"/>
    <w:link w:val="8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Theme"/>
    <w:basedOn w:val="46"/>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none"/>
    </w:rPr>
  </w:style>
  <w:style w:type="character" w:styleId="53">
    <w:name w:val="Emphasis"/>
    <w:qFormat/>
    <w:uiPriority w:val="0"/>
    <w:rPr>
      <w:rFonts w:ascii="Times New Roman" w:hAnsi="Times New Roman" w:eastAsia="宋体"/>
    </w:rPr>
  </w:style>
  <w:style w:type="character" w:styleId="54">
    <w:name w:val="HTML Definition"/>
    <w:qFormat/>
    <w:uiPriority w:val="0"/>
    <w:rPr>
      <w:rFonts w:ascii="Times New Roman" w:hAnsi="Times New Roman" w:eastAsia="宋体"/>
    </w:rPr>
  </w:style>
  <w:style w:type="character" w:styleId="55">
    <w:name w:val="HTML Variable"/>
    <w:qFormat/>
    <w:uiPriority w:val="0"/>
    <w:rPr>
      <w:rFonts w:ascii="Times New Roman" w:hAnsi="Times New Roman" w:eastAsia="宋体"/>
    </w:rPr>
  </w:style>
  <w:style w:type="character" w:styleId="56">
    <w:name w:val="Hyperlink"/>
    <w:qFormat/>
    <w:uiPriority w:val="0"/>
    <w:rPr>
      <w:color w:val="136EC2"/>
      <w:u w:val="single"/>
    </w:rPr>
  </w:style>
  <w:style w:type="character" w:styleId="57">
    <w:name w:val="HTML Code"/>
    <w:qFormat/>
    <w:uiPriority w:val="0"/>
    <w:rPr>
      <w:rFonts w:ascii="Courier New" w:hAnsi="Courier New" w:eastAsia="Courier New" w:cs="Courier New"/>
      <w:sz w:val="20"/>
    </w:rPr>
  </w:style>
  <w:style w:type="character" w:styleId="58">
    <w:name w:val="annotation reference"/>
    <w:qFormat/>
    <w:uiPriority w:val="0"/>
    <w:rPr>
      <w:sz w:val="21"/>
      <w:szCs w:val="21"/>
    </w:rPr>
  </w:style>
  <w:style w:type="character" w:styleId="59">
    <w:name w:val="HTML Cite"/>
    <w:qFormat/>
    <w:uiPriority w:val="0"/>
    <w:rPr>
      <w:rFonts w:ascii="Times New Roman" w:hAnsi="Times New Roman" w:eastAsia="宋体"/>
    </w:rPr>
  </w:style>
  <w:style w:type="character" w:styleId="60">
    <w:name w:val="HTML Keyboard"/>
    <w:qFormat/>
    <w:uiPriority w:val="0"/>
    <w:rPr>
      <w:rFonts w:ascii="Courier New" w:hAnsi="Courier New" w:eastAsia="Courier New" w:cs="Courier New"/>
      <w:sz w:val="20"/>
    </w:rPr>
  </w:style>
  <w:style w:type="character" w:styleId="61">
    <w:name w:val="HTML Sample"/>
    <w:qFormat/>
    <w:uiPriority w:val="0"/>
    <w:rPr>
      <w:rFonts w:ascii="Courier New" w:hAnsi="Courier New" w:eastAsia="Courier New" w:cs="Courier New"/>
    </w:rPr>
  </w:style>
  <w:style w:type="paragraph" w:customStyle="1" w:styleId="62">
    <w:name w:val="列出段落1"/>
    <w:basedOn w:val="63"/>
    <w:qFormat/>
    <w:uiPriority w:val="0"/>
    <w:pPr>
      <w:ind w:firstLine="420" w:firstLineChars="200"/>
    </w:pPr>
  </w:style>
  <w:style w:type="paragraph" w:customStyle="1" w:styleId="63">
    <w:name w:val="正文_0"/>
    <w:next w:val="6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11111"/>
    <w:basedOn w:val="1"/>
    <w:next w:val="1"/>
    <w:qFormat/>
    <w:uiPriority w:val="0"/>
    <w:pPr>
      <w:ind w:firstLine="200"/>
    </w:pPr>
    <w:rPr>
      <w:rFonts w:ascii="宋体" w:hAnsi="宋体" w:cs="宋体"/>
    </w:rPr>
  </w:style>
  <w:style w:type="paragraph" w:customStyle="1" w:styleId="65">
    <w:name w:val="目录 81"/>
    <w:basedOn w:val="1"/>
    <w:next w:val="1"/>
    <w:qFormat/>
    <w:uiPriority w:val="99"/>
    <w:pPr>
      <w:ind w:left="2940"/>
    </w:pPr>
    <w:rPr>
      <w:rFonts w:ascii="Calibri"/>
    </w:rPr>
  </w:style>
  <w:style w:type="paragraph" w:customStyle="1" w:styleId="6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7">
    <w:name w:val="页脚 Char1"/>
    <w:link w:val="31"/>
    <w:qFormat/>
    <w:uiPriority w:val="0"/>
    <w:rPr>
      <w:rFonts w:eastAsia="宋体"/>
      <w:kern w:val="2"/>
      <w:sz w:val="18"/>
      <w:szCs w:val="18"/>
      <w:lang w:val="en-US" w:eastAsia="zh-CN" w:bidi="ar-SA"/>
    </w:rPr>
  </w:style>
  <w:style w:type="character" w:customStyle="1" w:styleId="68">
    <w:name w:val="标题 1 Char1"/>
    <w:link w:val="6"/>
    <w:qFormat/>
    <w:uiPriority w:val="0"/>
    <w:rPr>
      <w:rFonts w:eastAsia="宋体"/>
      <w:b/>
      <w:bCs/>
      <w:kern w:val="2"/>
      <w:sz w:val="24"/>
      <w:lang w:val="en-US" w:eastAsia="zh-CN" w:bidi="ar-SA"/>
    </w:rPr>
  </w:style>
  <w:style w:type="character" w:customStyle="1" w:styleId="69">
    <w:name w:val="标题 2 Char1"/>
    <w:link w:val="7"/>
    <w:qFormat/>
    <w:uiPriority w:val="0"/>
    <w:rPr>
      <w:rFonts w:ascii="Arial" w:hAnsi="Arial" w:eastAsia="宋体"/>
      <w:b/>
      <w:bCs/>
      <w:kern w:val="2"/>
      <w:sz w:val="24"/>
      <w:szCs w:val="32"/>
      <w:lang w:val="en-US" w:eastAsia="zh-CN" w:bidi="ar-SA"/>
    </w:rPr>
  </w:style>
  <w:style w:type="character" w:customStyle="1" w:styleId="70">
    <w:name w:val="标题 3 Char1"/>
    <w:link w:val="8"/>
    <w:qFormat/>
    <w:uiPriority w:val="0"/>
    <w:rPr>
      <w:rFonts w:eastAsia="宋体"/>
      <w:b/>
      <w:bCs/>
      <w:kern w:val="2"/>
      <w:sz w:val="32"/>
      <w:szCs w:val="32"/>
      <w:lang w:val="en-US" w:eastAsia="zh-CN" w:bidi="ar-SA"/>
    </w:rPr>
  </w:style>
  <w:style w:type="character" w:customStyle="1" w:styleId="71">
    <w:name w:val="标题 4 Char1"/>
    <w:link w:val="9"/>
    <w:qFormat/>
    <w:uiPriority w:val="0"/>
    <w:rPr>
      <w:rFonts w:ascii="Arial" w:hAnsi="Arial" w:eastAsia="黑体"/>
      <w:b/>
      <w:bCs/>
      <w:kern w:val="2"/>
      <w:sz w:val="28"/>
      <w:szCs w:val="28"/>
      <w:lang w:val="en-US" w:eastAsia="zh-CN" w:bidi="ar-SA"/>
    </w:rPr>
  </w:style>
  <w:style w:type="character" w:customStyle="1" w:styleId="72">
    <w:name w:val="标题 5 Char1"/>
    <w:link w:val="10"/>
    <w:qFormat/>
    <w:uiPriority w:val="0"/>
    <w:rPr>
      <w:rFonts w:eastAsia="宋体"/>
      <w:b/>
      <w:bCs/>
      <w:sz w:val="28"/>
      <w:szCs w:val="28"/>
      <w:lang w:val="en-US" w:eastAsia="zh-CN" w:bidi="ar-SA"/>
    </w:rPr>
  </w:style>
  <w:style w:type="character" w:customStyle="1" w:styleId="73">
    <w:name w:val="标题 6 Char1"/>
    <w:link w:val="11"/>
    <w:qFormat/>
    <w:uiPriority w:val="0"/>
    <w:rPr>
      <w:rFonts w:ascii="Arial" w:hAnsi="Arial" w:eastAsia="黑体"/>
      <w:b/>
      <w:bCs/>
      <w:sz w:val="24"/>
      <w:szCs w:val="24"/>
      <w:lang w:val="en-US" w:eastAsia="zh-CN" w:bidi="ar-SA"/>
    </w:rPr>
  </w:style>
  <w:style w:type="character" w:customStyle="1" w:styleId="74">
    <w:name w:val="标题 7 Char1"/>
    <w:link w:val="12"/>
    <w:qFormat/>
    <w:uiPriority w:val="0"/>
    <w:rPr>
      <w:rFonts w:eastAsia="宋体"/>
      <w:b/>
      <w:bCs/>
      <w:sz w:val="24"/>
      <w:szCs w:val="24"/>
      <w:lang w:val="en-US" w:eastAsia="zh-CN" w:bidi="ar-SA"/>
    </w:rPr>
  </w:style>
  <w:style w:type="character" w:customStyle="1" w:styleId="75">
    <w:name w:val="标题 8 Char1"/>
    <w:link w:val="13"/>
    <w:qFormat/>
    <w:uiPriority w:val="0"/>
    <w:rPr>
      <w:rFonts w:ascii="Arial" w:hAnsi="Arial" w:eastAsia="黑体"/>
      <w:sz w:val="24"/>
      <w:szCs w:val="24"/>
      <w:lang w:val="en-US" w:eastAsia="zh-CN" w:bidi="ar-SA"/>
    </w:rPr>
  </w:style>
  <w:style w:type="character" w:customStyle="1" w:styleId="76">
    <w:name w:val="标题 9 Char1"/>
    <w:link w:val="14"/>
    <w:qFormat/>
    <w:uiPriority w:val="0"/>
    <w:rPr>
      <w:rFonts w:ascii="Arial" w:hAnsi="Arial" w:eastAsia="黑体"/>
      <w:sz w:val="21"/>
      <w:szCs w:val="21"/>
      <w:lang w:val="en-US" w:eastAsia="zh-CN" w:bidi="ar-SA"/>
    </w:rPr>
  </w:style>
  <w:style w:type="character" w:customStyle="1" w:styleId="77">
    <w:name w:val="批注文字 Char1"/>
    <w:link w:val="18"/>
    <w:qFormat/>
    <w:uiPriority w:val="0"/>
    <w:rPr>
      <w:rFonts w:eastAsia="宋体"/>
      <w:kern w:val="2"/>
      <w:sz w:val="21"/>
      <w:szCs w:val="24"/>
      <w:lang w:val="en-US" w:eastAsia="zh-CN" w:bidi="ar-SA"/>
    </w:rPr>
  </w:style>
  <w:style w:type="character" w:customStyle="1" w:styleId="78">
    <w:name w:val="正文文本 Char"/>
    <w:link w:val="21"/>
    <w:qFormat/>
    <w:uiPriority w:val="99"/>
    <w:rPr>
      <w:kern w:val="2"/>
      <w:sz w:val="21"/>
      <w:szCs w:val="24"/>
    </w:rPr>
  </w:style>
  <w:style w:type="character" w:customStyle="1" w:styleId="79">
    <w:name w:val="正文文本缩进 Char"/>
    <w:link w:val="3"/>
    <w:qFormat/>
    <w:uiPriority w:val="0"/>
    <w:rPr>
      <w:rFonts w:eastAsia="宋体"/>
      <w:kern w:val="2"/>
      <w:sz w:val="21"/>
      <w:szCs w:val="24"/>
      <w:lang w:val="en-US" w:eastAsia="zh-CN" w:bidi="ar-SA"/>
    </w:rPr>
  </w:style>
  <w:style w:type="character" w:customStyle="1" w:styleId="80">
    <w:name w:val="纯文本 Char"/>
    <w:link w:val="26"/>
    <w:semiHidden/>
    <w:qFormat/>
    <w:locked/>
    <w:uiPriority w:val="0"/>
    <w:rPr>
      <w:rFonts w:ascii="宋体" w:hAnsi="Courier New" w:eastAsia="宋体" w:cs="Courier New"/>
      <w:kern w:val="2"/>
      <w:sz w:val="21"/>
      <w:szCs w:val="21"/>
      <w:lang w:val="en-US" w:eastAsia="zh-CN" w:bidi="ar-SA"/>
    </w:rPr>
  </w:style>
  <w:style w:type="character" w:customStyle="1" w:styleId="81">
    <w:name w:val="日期 Char1"/>
    <w:link w:val="28"/>
    <w:qFormat/>
    <w:uiPriority w:val="0"/>
    <w:rPr>
      <w:rFonts w:eastAsia="宋体"/>
      <w:kern w:val="2"/>
      <w:sz w:val="24"/>
      <w:lang w:val="en-US" w:eastAsia="zh-CN" w:bidi="ar-SA"/>
    </w:rPr>
  </w:style>
  <w:style w:type="character" w:customStyle="1" w:styleId="82">
    <w:name w:val="批注框文本 Char1"/>
    <w:link w:val="30"/>
    <w:semiHidden/>
    <w:qFormat/>
    <w:locked/>
    <w:uiPriority w:val="0"/>
    <w:rPr>
      <w:rFonts w:ascii="Calibri" w:hAnsi="Calibri" w:eastAsia="宋体"/>
      <w:kern w:val="2"/>
      <w:sz w:val="18"/>
      <w:szCs w:val="18"/>
      <w:lang w:val="en-US" w:eastAsia="zh-CN" w:bidi="ar-SA"/>
    </w:rPr>
  </w:style>
  <w:style w:type="character" w:customStyle="1" w:styleId="83">
    <w:name w:val="页眉 Char1"/>
    <w:link w:val="32"/>
    <w:qFormat/>
    <w:uiPriority w:val="0"/>
    <w:rPr>
      <w:rFonts w:eastAsia="宋体"/>
      <w:kern w:val="2"/>
      <w:sz w:val="18"/>
      <w:szCs w:val="18"/>
      <w:lang w:val="en-US" w:eastAsia="zh-CN" w:bidi="ar-SA"/>
    </w:rPr>
  </w:style>
  <w:style w:type="character" w:customStyle="1" w:styleId="84">
    <w:name w:val="副标题 Char"/>
    <w:link w:val="35"/>
    <w:qFormat/>
    <w:uiPriority w:val="0"/>
    <w:rPr>
      <w:rFonts w:ascii="Cambria" w:hAnsi="Cambria" w:cs="Times New Roman"/>
      <w:b/>
      <w:bCs/>
      <w:kern w:val="28"/>
      <w:sz w:val="32"/>
      <w:szCs w:val="32"/>
    </w:rPr>
  </w:style>
  <w:style w:type="character" w:customStyle="1" w:styleId="85">
    <w:name w:val="正文文本缩进 3 Char1"/>
    <w:link w:val="37"/>
    <w:qFormat/>
    <w:uiPriority w:val="0"/>
    <w:rPr>
      <w:rFonts w:eastAsia="宋体"/>
      <w:kern w:val="2"/>
      <w:sz w:val="16"/>
      <w:szCs w:val="16"/>
      <w:lang w:val="en-US" w:eastAsia="zh-CN" w:bidi="ar-SA"/>
    </w:rPr>
  </w:style>
  <w:style w:type="character" w:customStyle="1" w:styleId="86">
    <w:name w:val="标题 Char2"/>
    <w:link w:val="44"/>
    <w:qFormat/>
    <w:uiPriority w:val="0"/>
    <w:rPr>
      <w:rFonts w:ascii="Cambria" w:hAnsi="Cambria"/>
      <w:b/>
      <w:kern w:val="2"/>
      <w:sz w:val="32"/>
      <w:szCs w:val="24"/>
    </w:rPr>
  </w:style>
  <w:style w:type="character" w:customStyle="1" w:styleId="87">
    <w:name w:val="批注主题 Char1"/>
    <w:link w:val="45"/>
    <w:qFormat/>
    <w:uiPriority w:val="0"/>
    <w:rPr>
      <w:rFonts w:eastAsia="宋体"/>
      <w:b/>
      <w:bCs/>
      <w:kern w:val="2"/>
      <w:sz w:val="21"/>
      <w:szCs w:val="24"/>
      <w:lang w:val="en-US" w:eastAsia="zh-CN" w:bidi="ar-SA"/>
    </w:rPr>
  </w:style>
  <w:style w:type="character" w:customStyle="1" w:styleId="88">
    <w:name w:val="bds_more9"/>
    <w:qFormat/>
    <w:uiPriority w:val="0"/>
    <w:rPr>
      <w:rFonts w:ascii="Times New Roman" w:hAnsi="Times New Roman" w:eastAsia="宋体"/>
    </w:rPr>
  </w:style>
  <w:style w:type="character" w:customStyle="1" w:styleId="89">
    <w:name w:val="页眉 Char"/>
    <w:qFormat/>
    <w:uiPriority w:val="0"/>
    <w:rPr>
      <w:kern w:val="2"/>
      <w:sz w:val="18"/>
      <w:szCs w:val="18"/>
    </w:rPr>
  </w:style>
  <w:style w:type="character" w:customStyle="1" w:styleId="90">
    <w:name w:val="Font Style123"/>
    <w:unhideWhenUsed/>
    <w:qFormat/>
    <w:uiPriority w:val="0"/>
    <w:rPr>
      <w:rFonts w:hint="eastAsia" w:ascii="宋体" w:hAnsi="宋体" w:eastAsia="宋体"/>
      <w:b/>
      <w:sz w:val="32"/>
    </w:rPr>
  </w:style>
  <w:style w:type="character" w:customStyle="1" w:styleId="91">
    <w:name w:val="Char Char17"/>
    <w:qFormat/>
    <w:uiPriority w:val="0"/>
    <w:rPr>
      <w:rFonts w:ascii="宋体" w:hAnsi="Times New Roman" w:eastAsia="宋体"/>
      <w:b/>
      <w:sz w:val="28"/>
      <w:lang w:val="en-US" w:eastAsia="zh-CN" w:bidi="ar-SA"/>
    </w:rPr>
  </w:style>
  <w:style w:type="character" w:customStyle="1" w:styleId="92">
    <w:name w:val="Font Style105"/>
    <w:unhideWhenUsed/>
    <w:qFormat/>
    <w:uiPriority w:val="0"/>
    <w:rPr>
      <w:rFonts w:hint="eastAsia" w:ascii="Times New Roman" w:hAnsi="Times New Roman" w:eastAsia="Times New Roman"/>
      <w:w w:val="60"/>
      <w:sz w:val="26"/>
    </w:rPr>
  </w:style>
  <w:style w:type="character" w:customStyle="1" w:styleId="93">
    <w:name w:val="Font Style90"/>
    <w:unhideWhenUsed/>
    <w:qFormat/>
    <w:uiPriority w:val="0"/>
    <w:rPr>
      <w:rFonts w:hint="eastAsia" w:ascii="宋体" w:hAnsi="宋体" w:eastAsia="宋体"/>
      <w:b/>
      <w:spacing w:val="-20"/>
      <w:sz w:val="40"/>
    </w:rPr>
  </w:style>
  <w:style w:type="character" w:customStyle="1" w:styleId="94">
    <w:name w:val="Font Style127"/>
    <w:unhideWhenUsed/>
    <w:qFormat/>
    <w:uiPriority w:val="0"/>
    <w:rPr>
      <w:rFonts w:hint="eastAsia" w:ascii="Times New Roman" w:hAnsi="Times New Roman" w:eastAsia="Times New Roman"/>
      <w:sz w:val="20"/>
    </w:rPr>
  </w:style>
  <w:style w:type="character" w:customStyle="1" w:styleId="95">
    <w:name w:val="bds_more8"/>
    <w:qFormat/>
    <w:uiPriority w:val="0"/>
    <w:rPr>
      <w:rFonts w:ascii="Times New Roman" w:hAnsi="Times New Roman" w:eastAsia="宋体"/>
    </w:rPr>
  </w:style>
  <w:style w:type="character" w:customStyle="1" w:styleId="96">
    <w:name w:val="Font Style119"/>
    <w:unhideWhenUsed/>
    <w:qFormat/>
    <w:uiPriority w:val="0"/>
    <w:rPr>
      <w:rFonts w:hint="eastAsia" w:ascii="宋体" w:hAnsi="宋体" w:eastAsia="宋体"/>
      <w:sz w:val="24"/>
    </w:rPr>
  </w:style>
  <w:style w:type="character" w:customStyle="1" w:styleId="97">
    <w:name w:val="标题 4 Char"/>
    <w:qFormat/>
    <w:uiPriority w:val="0"/>
    <w:rPr>
      <w:rFonts w:ascii="Arial" w:hAnsi="Arial" w:eastAsia="宋体" w:cs="Times New Roman"/>
      <w:b/>
      <w:bCs/>
      <w:szCs w:val="28"/>
    </w:rPr>
  </w:style>
  <w:style w:type="character" w:customStyle="1" w:styleId="98">
    <w:name w:val="副标题 Char1"/>
    <w:qFormat/>
    <w:uiPriority w:val="0"/>
    <w:rPr>
      <w:rFonts w:ascii="Cambria" w:hAnsi="Cambria"/>
      <w:b/>
      <w:bCs/>
      <w:kern w:val="28"/>
      <w:sz w:val="32"/>
      <w:szCs w:val="32"/>
    </w:rPr>
  </w:style>
  <w:style w:type="character" w:customStyle="1" w:styleId="99">
    <w:name w:val="bds_more10"/>
    <w:qFormat/>
    <w:uiPriority w:val="0"/>
    <w:rPr>
      <w:rFonts w:ascii="Times New Roman" w:hAnsi="Times New Roman" w:eastAsia="宋体"/>
    </w:rPr>
  </w:style>
  <w:style w:type="character" w:customStyle="1" w:styleId="100">
    <w:name w:val="bds_nopic"/>
    <w:qFormat/>
    <w:uiPriority w:val="0"/>
    <w:rPr>
      <w:rFonts w:ascii="Times New Roman" w:hAnsi="Times New Roman" w:eastAsia="宋体"/>
    </w:rPr>
  </w:style>
  <w:style w:type="character" w:customStyle="1" w:styleId="101">
    <w:name w:val="Font Style121"/>
    <w:unhideWhenUsed/>
    <w:qFormat/>
    <w:uiPriority w:val="0"/>
    <w:rPr>
      <w:rFonts w:hint="eastAsia" w:ascii="宋体" w:hAnsi="宋体" w:eastAsia="宋体"/>
      <w:spacing w:val="-10"/>
      <w:sz w:val="30"/>
    </w:rPr>
  </w:style>
  <w:style w:type="character" w:customStyle="1" w:styleId="102">
    <w:name w:val="Font Style124"/>
    <w:unhideWhenUsed/>
    <w:qFormat/>
    <w:uiPriority w:val="0"/>
    <w:rPr>
      <w:rFonts w:hint="eastAsia" w:ascii="宋体" w:hAnsi="宋体" w:eastAsia="宋体"/>
      <w:spacing w:val="30"/>
      <w:sz w:val="24"/>
    </w:rPr>
  </w:style>
  <w:style w:type="character" w:customStyle="1" w:styleId="103">
    <w:name w:val="content_2"/>
    <w:qFormat/>
    <w:uiPriority w:val="0"/>
    <w:rPr>
      <w:sz w:val="19"/>
      <w:szCs w:val="19"/>
    </w:rPr>
  </w:style>
  <w:style w:type="character" w:customStyle="1" w:styleId="104">
    <w:name w:val="Font Style115"/>
    <w:unhideWhenUsed/>
    <w:qFormat/>
    <w:uiPriority w:val="0"/>
    <w:rPr>
      <w:rFonts w:hint="eastAsia" w:ascii="Times New Roman" w:hAnsi="Times New Roman" w:eastAsia="Times New Roman"/>
      <w:sz w:val="16"/>
    </w:rPr>
  </w:style>
  <w:style w:type="character" w:customStyle="1" w:styleId="105">
    <w:name w:val="Char Char16"/>
    <w:qFormat/>
    <w:uiPriority w:val="0"/>
    <w:rPr>
      <w:rFonts w:ascii="宋体" w:hAnsi="Times New Roman" w:eastAsia="宋体"/>
      <w:b/>
      <w:sz w:val="24"/>
      <w:lang w:val="en-US" w:eastAsia="zh-CN" w:bidi="ar-SA"/>
    </w:rPr>
  </w:style>
  <w:style w:type="character" w:customStyle="1" w:styleId="106">
    <w:name w:val="Font Style94"/>
    <w:unhideWhenUsed/>
    <w:qFormat/>
    <w:uiPriority w:val="0"/>
    <w:rPr>
      <w:rFonts w:hint="eastAsia" w:ascii="Times New Roman" w:hAnsi="Times New Roman" w:eastAsia="Times New Roman"/>
      <w:sz w:val="28"/>
    </w:rPr>
  </w:style>
  <w:style w:type="character" w:customStyle="1" w:styleId="107">
    <w:name w:val="Font Style133"/>
    <w:unhideWhenUsed/>
    <w:qFormat/>
    <w:uiPriority w:val="0"/>
    <w:rPr>
      <w:rFonts w:hint="eastAsia" w:ascii="宋体" w:hAnsi="宋体" w:eastAsia="宋体"/>
      <w:spacing w:val="30"/>
      <w:sz w:val="24"/>
    </w:rPr>
  </w:style>
  <w:style w:type="character" w:customStyle="1" w:styleId="108">
    <w:name w:val="bds_nopic1"/>
    <w:qFormat/>
    <w:uiPriority w:val="0"/>
    <w:rPr>
      <w:rFonts w:ascii="Times New Roman" w:hAnsi="Times New Roman" w:eastAsia="宋体"/>
    </w:rPr>
  </w:style>
  <w:style w:type="character" w:customStyle="1" w:styleId="109">
    <w:name w:val="Char Char151"/>
    <w:qFormat/>
    <w:uiPriority w:val="0"/>
    <w:rPr>
      <w:b/>
      <w:bCs/>
      <w:sz w:val="24"/>
      <w:szCs w:val="24"/>
    </w:rPr>
  </w:style>
  <w:style w:type="character" w:customStyle="1" w:styleId="110">
    <w:name w:val="Font Style86"/>
    <w:unhideWhenUsed/>
    <w:qFormat/>
    <w:uiPriority w:val="0"/>
    <w:rPr>
      <w:rFonts w:hint="eastAsia" w:ascii="黑体" w:hAnsi="黑体" w:eastAsia="黑体"/>
      <w:spacing w:val="10"/>
      <w:sz w:val="30"/>
    </w:rPr>
  </w:style>
  <w:style w:type="character" w:customStyle="1" w:styleId="111">
    <w:name w:val="Char Char141"/>
    <w:qFormat/>
    <w:uiPriority w:val="0"/>
    <w:rPr>
      <w:rFonts w:ascii="Arial" w:hAnsi="Arial" w:eastAsia="黑体"/>
      <w:b/>
      <w:bCs/>
      <w:sz w:val="28"/>
      <w:szCs w:val="28"/>
      <w:lang w:val="en-US" w:eastAsia="zh-CN" w:bidi="ar-SA"/>
    </w:rPr>
  </w:style>
  <w:style w:type="character" w:customStyle="1" w:styleId="112">
    <w:name w:val="polysemyexp"/>
    <w:qFormat/>
    <w:uiPriority w:val="0"/>
    <w:rPr>
      <w:rFonts w:ascii="Times New Roman" w:hAnsi="Times New Roman" w:eastAsia="宋体"/>
      <w:color w:val="AAAAAA"/>
      <w:sz w:val="18"/>
      <w:szCs w:val="18"/>
    </w:rPr>
  </w:style>
  <w:style w:type="character" w:customStyle="1" w:styleId="113">
    <w:name w:val="fontstrikethrough"/>
    <w:qFormat/>
    <w:uiPriority w:val="0"/>
    <w:rPr>
      <w:strike/>
    </w:rPr>
  </w:style>
  <w:style w:type="character" w:customStyle="1" w:styleId="114">
    <w:name w:val="sidecatalog-dot"/>
    <w:qFormat/>
    <w:uiPriority w:val="0"/>
    <w:rPr>
      <w:rFonts w:ascii="Times New Roman" w:hAnsi="Times New Roman" w:eastAsia="宋体"/>
    </w:rPr>
  </w:style>
  <w:style w:type="character" w:customStyle="1" w:styleId="115">
    <w:name w:val="p0 Char Char"/>
    <w:qFormat/>
    <w:uiPriority w:val="0"/>
    <w:rPr>
      <w:rFonts w:eastAsia="宋体"/>
      <w:kern w:val="2"/>
      <w:sz w:val="21"/>
      <w:szCs w:val="21"/>
      <w:lang w:val="en-US" w:eastAsia="zh-CN" w:bidi="ar-SA"/>
    </w:rPr>
  </w:style>
  <w:style w:type="character" w:customStyle="1" w:styleId="116">
    <w:name w:val="批注框文本 Char"/>
    <w:qFormat/>
    <w:uiPriority w:val="0"/>
    <w:rPr>
      <w:kern w:val="2"/>
      <w:sz w:val="18"/>
      <w:szCs w:val="18"/>
    </w:rPr>
  </w:style>
  <w:style w:type="character" w:customStyle="1" w:styleId="117">
    <w:name w:val="标题 9 Char"/>
    <w:qFormat/>
    <w:uiPriority w:val="0"/>
    <w:rPr>
      <w:rFonts w:ascii="Arial" w:hAnsi="Arial" w:eastAsia="黑体"/>
      <w:sz w:val="21"/>
      <w:szCs w:val="21"/>
    </w:rPr>
  </w:style>
  <w:style w:type="character" w:customStyle="1" w:styleId="118">
    <w:name w:val="Char Char61"/>
    <w:qFormat/>
    <w:uiPriority w:val="0"/>
    <w:rPr>
      <w:rFonts w:ascii="Arial" w:hAnsi="Arial" w:eastAsia="黑体"/>
      <w:sz w:val="24"/>
      <w:szCs w:val="24"/>
      <w:lang w:val="en-US" w:eastAsia="zh-CN" w:bidi="ar-SA"/>
    </w:rPr>
  </w:style>
  <w:style w:type="character" w:customStyle="1" w:styleId="119">
    <w:name w:val="标题 3 Char"/>
    <w:qFormat/>
    <w:uiPriority w:val="0"/>
    <w:rPr>
      <w:b/>
      <w:bCs/>
      <w:sz w:val="24"/>
      <w:szCs w:val="24"/>
    </w:rPr>
  </w:style>
  <w:style w:type="character" w:customStyle="1" w:styleId="120">
    <w:name w:val="Font Style104"/>
    <w:unhideWhenUsed/>
    <w:qFormat/>
    <w:uiPriority w:val="0"/>
    <w:rPr>
      <w:rFonts w:hint="eastAsia" w:ascii="宋体" w:hAnsi="宋体" w:eastAsia="宋体"/>
      <w:spacing w:val="30"/>
      <w:sz w:val="18"/>
    </w:rPr>
  </w:style>
  <w:style w:type="character" w:customStyle="1" w:styleId="121">
    <w:name w:val="Char Char14"/>
    <w:qFormat/>
    <w:uiPriority w:val="0"/>
    <w:rPr>
      <w:rFonts w:ascii="Arial" w:hAnsi="Arial" w:eastAsia="黑体"/>
      <w:b/>
      <w:bCs/>
      <w:sz w:val="28"/>
      <w:szCs w:val="28"/>
      <w:lang w:val="en-US" w:eastAsia="zh-CN" w:bidi="ar-SA"/>
    </w:rPr>
  </w:style>
  <w:style w:type="character" w:customStyle="1" w:styleId="122">
    <w:name w:val="Font Style128"/>
    <w:unhideWhenUsed/>
    <w:qFormat/>
    <w:uiPriority w:val="0"/>
    <w:rPr>
      <w:rFonts w:hint="eastAsia" w:ascii="Times New Roman" w:hAnsi="Times New Roman" w:eastAsia="Times New Roman"/>
      <w:sz w:val="16"/>
    </w:rPr>
  </w:style>
  <w:style w:type="character" w:customStyle="1" w:styleId="123">
    <w:name w:val="样式1 字符"/>
    <w:link w:val="124"/>
    <w:qFormat/>
    <w:uiPriority w:val="0"/>
    <w:rPr>
      <w:rFonts w:ascii="宋体" w:hAnsi="宋体"/>
      <w:sz w:val="21"/>
      <w:szCs w:val="21"/>
    </w:rPr>
  </w:style>
  <w:style w:type="paragraph" w:customStyle="1" w:styleId="124">
    <w:name w:val="样式1"/>
    <w:basedOn w:val="1"/>
    <w:link w:val="123"/>
    <w:qFormat/>
    <w:uiPriority w:val="0"/>
    <w:pPr>
      <w:tabs>
        <w:tab w:val="left" w:pos="360"/>
      </w:tabs>
      <w:adjustRightInd w:val="0"/>
      <w:ind w:left="360" w:hanging="360"/>
      <w:textAlignment w:val="baseline"/>
    </w:pPr>
    <w:rPr>
      <w:rFonts w:ascii="宋体" w:hAnsi="宋体"/>
      <w:kern w:val="0"/>
      <w:szCs w:val="21"/>
    </w:rPr>
  </w:style>
  <w:style w:type="character" w:customStyle="1" w:styleId="125">
    <w:name w:val="fontborder"/>
    <w:qFormat/>
    <w:uiPriority w:val="0"/>
    <w:rPr>
      <w:bdr w:val="single" w:color="000000" w:sz="6" w:space="0"/>
    </w:rPr>
  </w:style>
  <w:style w:type="character" w:customStyle="1" w:styleId="126">
    <w:name w:val="纯文本 字符"/>
    <w:qFormat/>
    <w:uiPriority w:val="0"/>
    <w:rPr>
      <w:rFonts w:ascii="宋体" w:hAnsi="Courier New" w:eastAsia="宋体" w:cs="Courier New"/>
      <w:kern w:val="2"/>
      <w:sz w:val="21"/>
      <w:szCs w:val="21"/>
      <w:lang w:val="en-US" w:eastAsia="zh-CN" w:bidi="ar-SA"/>
    </w:rPr>
  </w:style>
  <w:style w:type="character" w:customStyle="1" w:styleId="127">
    <w:name w:val="标题 4 Char Char"/>
    <w:qFormat/>
    <w:uiPriority w:val="0"/>
    <w:rPr>
      <w:rFonts w:ascii="Arial" w:hAnsi="Arial" w:eastAsia="宋体"/>
      <w:b/>
      <w:bCs/>
      <w:kern w:val="2"/>
      <w:sz w:val="21"/>
      <w:szCs w:val="28"/>
      <w:lang w:val="en-US" w:eastAsia="zh-CN" w:bidi="ar-SA"/>
    </w:rPr>
  </w:style>
  <w:style w:type="character" w:customStyle="1" w:styleId="128">
    <w:name w:val="标题 5 Char"/>
    <w:qFormat/>
    <w:uiPriority w:val="0"/>
    <w:rPr>
      <w:b/>
      <w:bCs/>
      <w:kern w:val="2"/>
      <w:sz w:val="28"/>
      <w:szCs w:val="28"/>
    </w:rPr>
  </w:style>
  <w:style w:type="character" w:customStyle="1" w:styleId="129">
    <w:name w:val="标题 1 Char"/>
    <w:qFormat/>
    <w:uiPriority w:val="0"/>
    <w:rPr>
      <w:rFonts w:ascii="Cambria" w:hAnsi="Cambria"/>
      <w:b/>
      <w:bCs/>
      <w:kern w:val="32"/>
      <w:sz w:val="32"/>
      <w:szCs w:val="32"/>
    </w:rPr>
  </w:style>
  <w:style w:type="character" w:customStyle="1" w:styleId="130">
    <w:name w:val="morelink-item"/>
    <w:qFormat/>
    <w:uiPriority w:val="0"/>
    <w:rPr>
      <w:rFonts w:ascii="Times New Roman" w:hAnsi="Times New Roman" w:eastAsia="宋体"/>
    </w:rPr>
  </w:style>
  <w:style w:type="character" w:customStyle="1" w:styleId="131">
    <w:name w:val="Char Char6"/>
    <w:qFormat/>
    <w:uiPriority w:val="0"/>
    <w:rPr>
      <w:rFonts w:ascii="Arial" w:hAnsi="Arial" w:eastAsia="黑体"/>
      <w:sz w:val="24"/>
      <w:szCs w:val="24"/>
      <w:lang w:val="en-US" w:eastAsia="zh-CN" w:bidi="ar-SA"/>
    </w:rPr>
  </w:style>
  <w:style w:type="character" w:customStyle="1" w:styleId="132">
    <w:name w:val="Font Style122"/>
    <w:unhideWhenUsed/>
    <w:qFormat/>
    <w:uiPriority w:val="0"/>
    <w:rPr>
      <w:rFonts w:hint="eastAsia" w:ascii="宋体" w:hAnsi="宋体" w:eastAsia="宋体"/>
      <w:spacing w:val="20"/>
      <w:sz w:val="24"/>
    </w:rPr>
  </w:style>
  <w:style w:type="character" w:customStyle="1" w:styleId="133">
    <w:name w:val="标题 2 Char"/>
    <w:qFormat/>
    <w:uiPriority w:val="0"/>
    <w:rPr>
      <w:rFonts w:ascii="Cambria" w:hAnsi="Cambria" w:eastAsia="宋体" w:cs="Times New Roman"/>
      <w:b/>
      <w:bCs/>
      <w:kern w:val="2"/>
      <w:sz w:val="32"/>
      <w:szCs w:val="32"/>
    </w:rPr>
  </w:style>
  <w:style w:type="character" w:customStyle="1" w:styleId="134">
    <w:name w:val="polysemyred"/>
    <w:qFormat/>
    <w:uiPriority w:val="0"/>
    <w:rPr>
      <w:rFonts w:ascii="Times New Roman" w:hAnsi="Times New Roman" w:eastAsia="宋体"/>
      <w:color w:val="FF6666"/>
      <w:sz w:val="18"/>
      <w:szCs w:val="18"/>
    </w:rPr>
  </w:style>
  <w:style w:type="character" w:customStyle="1" w:styleId="135">
    <w:name w:val="sidecatalog-dot1"/>
    <w:qFormat/>
    <w:uiPriority w:val="0"/>
    <w:rPr>
      <w:rFonts w:ascii="Times New Roman" w:hAnsi="Times New Roman" w:eastAsia="宋体"/>
    </w:rPr>
  </w:style>
  <w:style w:type="character" w:customStyle="1" w:styleId="136">
    <w:name w:val="表头 Char"/>
    <w:link w:val="137"/>
    <w:qFormat/>
    <w:uiPriority w:val="0"/>
    <w:rPr>
      <w:rFonts w:ascii="Arial" w:hAnsi="Arial" w:eastAsia="黑体" w:cs="宋体"/>
      <w:kern w:val="2"/>
    </w:rPr>
  </w:style>
  <w:style w:type="paragraph" w:customStyle="1" w:styleId="137">
    <w:name w:val="表头"/>
    <w:basedOn w:val="16"/>
    <w:link w:val="136"/>
    <w:qFormat/>
    <w:uiPriority w:val="0"/>
    <w:pPr>
      <w:spacing w:before="152" w:after="160" w:line="360" w:lineRule="auto"/>
      <w:ind w:left="-180"/>
      <w:jc w:val="center"/>
    </w:pPr>
    <w:rPr>
      <w:rFonts w:ascii="Arial" w:hAnsi="Arial"/>
    </w:rPr>
  </w:style>
  <w:style w:type="character" w:customStyle="1" w:styleId="138">
    <w:name w:val="Font Style125"/>
    <w:unhideWhenUsed/>
    <w:qFormat/>
    <w:uiPriority w:val="0"/>
    <w:rPr>
      <w:rFonts w:hint="eastAsia" w:ascii="宋体" w:hAnsi="宋体" w:eastAsia="宋体"/>
      <w:b/>
      <w:sz w:val="26"/>
    </w:rPr>
  </w:style>
  <w:style w:type="character" w:customStyle="1" w:styleId="139">
    <w:name w:val="批注文字 Char"/>
    <w:qFormat/>
    <w:uiPriority w:val="0"/>
    <w:rPr>
      <w:kern w:val="2"/>
      <w:sz w:val="21"/>
      <w:szCs w:val="24"/>
    </w:rPr>
  </w:style>
  <w:style w:type="character" w:customStyle="1" w:styleId="140">
    <w:name w:val="Char Char161"/>
    <w:qFormat/>
    <w:uiPriority w:val="0"/>
    <w:rPr>
      <w:rFonts w:ascii="宋体" w:hAnsi="Times New Roman" w:eastAsia="宋体"/>
      <w:b/>
      <w:sz w:val="24"/>
      <w:lang w:val="en-US" w:eastAsia="zh-CN" w:bidi="ar-SA"/>
    </w:rPr>
  </w:style>
  <w:style w:type="character" w:customStyle="1" w:styleId="141">
    <w:name w:val="标题 7 Char"/>
    <w:qFormat/>
    <w:uiPriority w:val="0"/>
    <w:rPr>
      <w:b/>
      <w:bCs/>
      <w:sz w:val="24"/>
      <w:szCs w:val="24"/>
    </w:rPr>
  </w:style>
  <w:style w:type="character" w:customStyle="1" w:styleId="142">
    <w:name w:val="标题 Char"/>
    <w:qFormat/>
    <w:uiPriority w:val="0"/>
    <w:rPr>
      <w:rFonts w:ascii="Cambria" w:hAnsi="Cambria"/>
      <w:b/>
      <w:kern w:val="2"/>
      <w:sz w:val="32"/>
      <w:szCs w:val="24"/>
    </w:rPr>
  </w:style>
  <w:style w:type="character" w:customStyle="1" w:styleId="143">
    <w:name w:val="批注主题 Char"/>
    <w:qFormat/>
    <w:uiPriority w:val="0"/>
    <w:rPr>
      <w:b/>
      <w:bCs/>
      <w:kern w:val="2"/>
      <w:sz w:val="21"/>
      <w:szCs w:val="24"/>
    </w:rPr>
  </w:style>
  <w:style w:type="character" w:customStyle="1" w:styleId="144">
    <w:name w:val="Char Char171"/>
    <w:qFormat/>
    <w:uiPriority w:val="0"/>
    <w:rPr>
      <w:rFonts w:ascii="宋体" w:hAnsi="Times New Roman" w:eastAsia="宋体"/>
      <w:b/>
      <w:sz w:val="28"/>
      <w:lang w:val="en-US" w:eastAsia="zh-CN" w:bidi="ar-SA"/>
    </w:rPr>
  </w:style>
  <w:style w:type="character" w:customStyle="1" w:styleId="145">
    <w:name w:val="Font Style134"/>
    <w:unhideWhenUsed/>
    <w:qFormat/>
    <w:uiPriority w:val="0"/>
    <w:rPr>
      <w:rFonts w:hint="eastAsia" w:ascii="宋体" w:hAnsi="宋体" w:eastAsia="宋体"/>
      <w:spacing w:val="20"/>
      <w:sz w:val="22"/>
    </w:rPr>
  </w:style>
  <w:style w:type="character" w:customStyle="1" w:styleId="146">
    <w:name w:val="标题 6 Char"/>
    <w:qFormat/>
    <w:uiPriority w:val="0"/>
    <w:rPr>
      <w:rFonts w:ascii="Arial" w:hAnsi="Arial" w:eastAsia="黑体"/>
      <w:b/>
      <w:bCs/>
      <w:sz w:val="24"/>
      <w:szCs w:val="24"/>
    </w:rPr>
  </w:style>
  <w:style w:type="character" w:customStyle="1" w:styleId="147">
    <w:name w:val="bds_nopic2"/>
    <w:qFormat/>
    <w:uiPriority w:val="0"/>
    <w:rPr>
      <w:rFonts w:ascii="Times New Roman" w:hAnsi="Times New Roman" w:eastAsia="宋体"/>
    </w:rPr>
  </w:style>
  <w:style w:type="character" w:customStyle="1" w:styleId="148">
    <w:name w:val="sort"/>
    <w:qFormat/>
    <w:uiPriority w:val="0"/>
    <w:rPr>
      <w:rFonts w:ascii="Times New Roman" w:hAnsi="Times New Roman" w:eastAsia="宋体"/>
      <w:color w:val="FFFFFF"/>
      <w:bdr w:val="single" w:color="auto" w:sz="24" w:space="0"/>
    </w:rPr>
  </w:style>
  <w:style w:type="character" w:customStyle="1" w:styleId="149">
    <w:name w:val="纯文本 Char2"/>
    <w:qFormat/>
    <w:uiPriority w:val="0"/>
    <w:rPr>
      <w:rFonts w:ascii="宋体" w:hAnsi="Courier New" w:eastAsia="宋体"/>
      <w:kern w:val="2"/>
      <w:sz w:val="21"/>
      <w:szCs w:val="21"/>
      <w:lang w:val="en-US" w:eastAsia="zh-CN" w:bidi="ar-SA"/>
    </w:rPr>
  </w:style>
  <w:style w:type="character" w:customStyle="1" w:styleId="150">
    <w:name w:val="sort1"/>
    <w:qFormat/>
    <w:uiPriority w:val="0"/>
    <w:rPr>
      <w:rFonts w:ascii="Times New Roman" w:hAnsi="Times New Roman" w:eastAsia="宋体"/>
    </w:rPr>
  </w:style>
  <w:style w:type="character" w:customStyle="1" w:styleId="151">
    <w:name w:val="Font Style126"/>
    <w:unhideWhenUsed/>
    <w:qFormat/>
    <w:uiPriority w:val="0"/>
    <w:rPr>
      <w:rFonts w:hint="eastAsia" w:ascii="宋体" w:hAnsi="宋体" w:eastAsia="宋体"/>
      <w:b/>
      <w:spacing w:val="-30"/>
      <w:sz w:val="28"/>
    </w:rPr>
  </w:style>
  <w:style w:type="character" w:customStyle="1" w:styleId="152">
    <w:name w:val="正文文本缩进 3 Char"/>
    <w:qFormat/>
    <w:uiPriority w:val="0"/>
    <w:rPr>
      <w:rFonts w:ascii="宋体" w:hAnsi="MS Sans Serif"/>
      <w:color w:val="000000"/>
      <w:sz w:val="24"/>
    </w:rPr>
  </w:style>
  <w:style w:type="character" w:customStyle="1" w:styleId="153">
    <w:name w:val="日期 Char"/>
    <w:qFormat/>
    <w:uiPriority w:val="0"/>
    <w:rPr>
      <w:kern w:val="2"/>
      <w:sz w:val="21"/>
      <w:szCs w:val="24"/>
    </w:rPr>
  </w:style>
  <w:style w:type="character" w:customStyle="1" w:styleId="154">
    <w:name w:val="Font Style116"/>
    <w:unhideWhenUsed/>
    <w:qFormat/>
    <w:uiPriority w:val="0"/>
    <w:rPr>
      <w:rFonts w:hint="eastAsia" w:ascii="宋体" w:hAnsi="宋体" w:eastAsia="宋体"/>
      <w:spacing w:val="-20"/>
      <w:sz w:val="24"/>
    </w:rPr>
  </w:style>
  <w:style w:type="character" w:customStyle="1" w:styleId="155">
    <w:name w:val="desc"/>
    <w:qFormat/>
    <w:uiPriority w:val="0"/>
    <w:rPr>
      <w:rFonts w:ascii="Times New Roman" w:hAnsi="Times New Roman" w:eastAsia="宋体"/>
      <w:color w:val="000000"/>
      <w:sz w:val="18"/>
      <w:szCs w:val="18"/>
    </w:rPr>
  </w:style>
  <w:style w:type="character" w:customStyle="1" w:styleId="156">
    <w:name w:val="lemmatitleh12"/>
    <w:qFormat/>
    <w:uiPriority w:val="0"/>
    <w:rPr>
      <w:rFonts w:ascii="Times New Roman" w:hAnsi="Times New Roman" w:eastAsia="宋体"/>
    </w:rPr>
  </w:style>
  <w:style w:type="character" w:customStyle="1" w:styleId="157">
    <w:name w:val="placard-notice"/>
    <w:qFormat/>
    <w:uiPriority w:val="0"/>
    <w:rPr>
      <w:sz w:val="18"/>
      <w:szCs w:val="18"/>
    </w:rPr>
  </w:style>
  <w:style w:type="character" w:customStyle="1" w:styleId="158">
    <w:name w:val="标题 8 Char"/>
    <w:qFormat/>
    <w:uiPriority w:val="0"/>
    <w:rPr>
      <w:rFonts w:ascii="Arial" w:hAnsi="Arial" w:eastAsia="黑体"/>
      <w:sz w:val="24"/>
      <w:szCs w:val="24"/>
    </w:rPr>
  </w:style>
  <w:style w:type="character" w:customStyle="1" w:styleId="159">
    <w:name w:val="样式2 字符"/>
    <w:link w:val="160"/>
    <w:qFormat/>
    <w:uiPriority w:val="0"/>
    <w:rPr>
      <w:rFonts w:ascii="仿宋_GB2312" w:hAnsi="Times New Roman" w:eastAsia="仿宋_GB2312"/>
      <w:kern w:val="2"/>
      <w:sz w:val="32"/>
      <w:szCs w:val="32"/>
    </w:rPr>
  </w:style>
  <w:style w:type="paragraph" w:customStyle="1" w:styleId="160">
    <w:name w:val="样式2"/>
    <w:basedOn w:val="1"/>
    <w:link w:val="159"/>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61">
    <w:name w:val="bds_more6"/>
    <w:qFormat/>
    <w:uiPriority w:val="0"/>
    <w:rPr>
      <w:rFonts w:hint="eastAsia" w:ascii="宋体" w:hAnsi="宋体" w:eastAsia="宋体" w:cs="宋体"/>
    </w:rPr>
  </w:style>
  <w:style w:type="character" w:customStyle="1" w:styleId="162">
    <w:name w:val="Font Style131"/>
    <w:unhideWhenUsed/>
    <w:qFormat/>
    <w:uiPriority w:val="0"/>
    <w:rPr>
      <w:rFonts w:hint="eastAsia" w:ascii="Times New Roman" w:hAnsi="Times New Roman" w:eastAsia="Times New Roman"/>
      <w:sz w:val="18"/>
    </w:rPr>
  </w:style>
  <w:style w:type="character" w:customStyle="1" w:styleId="163">
    <w:name w:val="Char Char15"/>
    <w:qFormat/>
    <w:uiPriority w:val="0"/>
    <w:rPr>
      <w:b/>
      <w:bCs/>
      <w:sz w:val="24"/>
      <w:szCs w:val="24"/>
    </w:rPr>
  </w:style>
  <w:style w:type="character" w:customStyle="1" w:styleId="164">
    <w:name w:val="bds_more7"/>
    <w:qFormat/>
    <w:uiPriority w:val="0"/>
    <w:rPr>
      <w:rFonts w:ascii="Times New Roman" w:hAnsi="Times New Roman" w:eastAsia="宋体"/>
    </w:rPr>
  </w:style>
  <w:style w:type="character" w:customStyle="1" w:styleId="165">
    <w:name w:val="批注文字 Char Char"/>
    <w:qFormat/>
    <w:uiPriority w:val="0"/>
    <w:rPr>
      <w:kern w:val="2"/>
      <w:sz w:val="21"/>
      <w:szCs w:val="24"/>
      <w:lang w:bidi="ar-SA"/>
    </w:rPr>
  </w:style>
  <w:style w:type="character" w:customStyle="1" w:styleId="166">
    <w:name w:val="sidecatalog-index1"/>
    <w:qFormat/>
    <w:uiPriority w:val="0"/>
    <w:rPr>
      <w:rFonts w:ascii="Arial" w:hAnsi="Arial" w:eastAsia="宋体" w:cs="Arial"/>
      <w:b/>
      <w:color w:val="999999"/>
      <w:sz w:val="21"/>
      <w:szCs w:val="21"/>
    </w:rPr>
  </w:style>
  <w:style w:type="character" w:customStyle="1" w:styleId="167">
    <w:name w:val="10"/>
    <w:qFormat/>
    <w:uiPriority w:val="0"/>
    <w:rPr>
      <w:rFonts w:hint="default" w:ascii="Times New Roman" w:hAnsi="Times New Roman" w:cs="Times New Roman"/>
    </w:rPr>
  </w:style>
  <w:style w:type="character" w:customStyle="1" w:styleId="168">
    <w:name w:val="sidecatalog-index2"/>
    <w:qFormat/>
    <w:uiPriority w:val="0"/>
    <w:rPr>
      <w:rFonts w:ascii="Arail" w:hAnsi="Arail" w:eastAsia="Arail" w:cs="Arail"/>
      <w:color w:val="999999"/>
      <w:sz w:val="21"/>
      <w:szCs w:val="21"/>
    </w:rPr>
  </w:style>
  <w:style w:type="character" w:customStyle="1" w:styleId="169">
    <w:name w:val="plus"/>
    <w:qFormat/>
    <w:uiPriority w:val="0"/>
    <w:rPr>
      <w:rFonts w:ascii="Times New Roman" w:hAnsi="Times New Roman" w:eastAsia="宋体"/>
      <w:b/>
      <w:vanish/>
      <w:color w:val="1F8DEF"/>
      <w:sz w:val="24"/>
      <w:szCs w:val="24"/>
    </w:rPr>
  </w:style>
  <w:style w:type="character" w:customStyle="1" w:styleId="170">
    <w:name w:val="标题 Char1"/>
    <w:qFormat/>
    <w:uiPriority w:val="0"/>
    <w:rPr>
      <w:rFonts w:ascii="Cambria" w:hAnsi="Cambria" w:eastAsia="宋体" w:cs="Times New Roman"/>
      <w:b/>
      <w:bCs/>
      <w:sz w:val="32"/>
      <w:szCs w:val="32"/>
    </w:rPr>
  </w:style>
  <w:style w:type="character" w:customStyle="1" w:styleId="171">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72">
    <w:name w:val="页脚 Char"/>
    <w:qFormat/>
    <w:uiPriority w:val="0"/>
    <w:rPr>
      <w:kern w:val="2"/>
      <w:sz w:val="18"/>
      <w:szCs w:val="18"/>
    </w:rPr>
  </w:style>
  <w:style w:type="character" w:customStyle="1" w:styleId="173">
    <w:name w:val="样式2 Char Char"/>
    <w:qFormat/>
    <w:uiPriority w:val="0"/>
    <w:rPr>
      <w:rFonts w:eastAsia="宋体"/>
      <w:kern w:val="2"/>
      <w:sz w:val="18"/>
      <w:szCs w:val="18"/>
      <w:lang w:val="en-US" w:eastAsia="zh-CN" w:bidi="ar-SA"/>
    </w:rPr>
  </w:style>
  <w:style w:type="character" w:customStyle="1" w:styleId="174">
    <w:name w:val="p0 Char"/>
    <w:link w:val="175"/>
    <w:qFormat/>
    <w:uiPriority w:val="0"/>
    <w:rPr>
      <w:rFonts w:eastAsia="宋体"/>
      <w:sz w:val="21"/>
      <w:szCs w:val="21"/>
      <w:lang w:val="en-US" w:eastAsia="zh-CN" w:bidi="ar-SA"/>
    </w:rPr>
  </w:style>
  <w:style w:type="paragraph" w:customStyle="1" w:styleId="175">
    <w:name w:val="p0"/>
    <w:basedOn w:val="1"/>
    <w:link w:val="174"/>
    <w:qFormat/>
    <w:uiPriority w:val="0"/>
    <w:pPr>
      <w:widowControl/>
    </w:pPr>
    <w:rPr>
      <w:kern w:val="0"/>
      <w:szCs w:val="21"/>
    </w:rPr>
  </w:style>
  <w:style w:type="character" w:customStyle="1" w:styleId="176">
    <w:name w:val="Font Style117"/>
    <w:unhideWhenUsed/>
    <w:qFormat/>
    <w:uiPriority w:val="0"/>
    <w:rPr>
      <w:rFonts w:hint="eastAsia" w:ascii="宋体" w:hAnsi="宋体" w:eastAsia="宋体"/>
      <w:spacing w:val="20"/>
      <w:sz w:val="24"/>
    </w:rPr>
  </w:style>
  <w:style w:type="paragraph" w:customStyle="1" w:styleId="177">
    <w:name w:val="Style59"/>
    <w:basedOn w:val="1"/>
    <w:unhideWhenUsed/>
    <w:qFormat/>
    <w:uiPriority w:val="0"/>
  </w:style>
  <w:style w:type="paragraph" w:customStyle="1" w:styleId="178">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80">
    <w:name w:val="Char Char1 Char Char Char Char Char1 Char Char Char Char"/>
    <w:basedOn w:val="17"/>
    <w:qFormat/>
    <w:uiPriority w:val="0"/>
    <w:rPr>
      <w:rFonts w:ascii="Tahoma" w:hAnsi="Tahoma"/>
    </w:rPr>
  </w:style>
  <w:style w:type="paragraph" w:customStyle="1" w:styleId="181">
    <w:name w:val="默认段落字体 Para Char Char Char Char Char Char Char Char Char Char Char Char Char Char Char Char Char Char Char"/>
    <w:basedOn w:val="1"/>
    <w:qFormat/>
    <w:uiPriority w:val="0"/>
  </w:style>
  <w:style w:type="paragraph" w:customStyle="1" w:styleId="182">
    <w:name w:val="标题3"/>
    <w:basedOn w:val="6"/>
    <w:qFormat/>
    <w:uiPriority w:val="0"/>
    <w:pPr>
      <w:spacing w:beforeLines="50" w:afterLines="50" w:line="400" w:lineRule="exact"/>
      <w:jc w:val="both"/>
    </w:pPr>
    <w:rPr>
      <w:rFonts w:ascii="宋体" w:hAnsi="宋体"/>
      <w:kern w:val="32"/>
      <w:szCs w:val="32"/>
    </w:rPr>
  </w:style>
  <w:style w:type="paragraph" w:customStyle="1" w:styleId="183">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4">
    <w:name w:val="Style48"/>
    <w:basedOn w:val="1"/>
    <w:unhideWhenUsed/>
    <w:qFormat/>
    <w:uiPriority w:val="0"/>
    <w:pPr>
      <w:spacing w:line="542" w:lineRule="exact"/>
      <w:jc w:val="right"/>
    </w:pPr>
  </w:style>
  <w:style w:type="paragraph" w:customStyle="1" w:styleId="185">
    <w:name w:val="Style15"/>
    <w:basedOn w:val="1"/>
    <w:unhideWhenUsed/>
    <w:qFormat/>
    <w:uiPriority w:val="0"/>
    <w:pPr>
      <w:spacing w:line="557" w:lineRule="exact"/>
      <w:ind w:firstLine="672"/>
    </w:pPr>
  </w:style>
  <w:style w:type="paragraph" w:customStyle="1" w:styleId="186">
    <w:name w:val="Style23"/>
    <w:basedOn w:val="1"/>
    <w:unhideWhenUsed/>
    <w:qFormat/>
    <w:uiPriority w:val="0"/>
  </w:style>
  <w:style w:type="paragraph" w:customStyle="1" w:styleId="187">
    <w:name w:val="Style78"/>
    <w:basedOn w:val="1"/>
    <w:unhideWhenUsed/>
    <w:qFormat/>
    <w:uiPriority w:val="0"/>
  </w:style>
  <w:style w:type="paragraph" w:customStyle="1" w:styleId="188">
    <w:name w:val="Style60"/>
    <w:basedOn w:val="1"/>
    <w:unhideWhenUsed/>
    <w:qFormat/>
    <w:uiPriority w:val="0"/>
    <w:pPr>
      <w:spacing w:line="566" w:lineRule="exact"/>
    </w:pPr>
  </w:style>
  <w:style w:type="paragraph" w:customStyle="1" w:styleId="189">
    <w:name w:val="Style21"/>
    <w:basedOn w:val="1"/>
    <w:unhideWhenUsed/>
    <w:qFormat/>
    <w:uiPriority w:val="0"/>
    <w:pPr>
      <w:spacing w:line="566" w:lineRule="exact"/>
      <w:ind w:firstLine="682"/>
    </w:pPr>
  </w:style>
  <w:style w:type="paragraph" w:customStyle="1" w:styleId="190">
    <w:name w:val="Style46"/>
    <w:basedOn w:val="1"/>
    <w:unhideWhenUsed/>
    <w:qFormat/>
    <w:uiPriority w:val="0"/>
    <w:pPr>
      <w:spacing w:line="672" w:lineRule="exact"/>
    </w:pPr>
  </w:style>
  <w:style w:type="paragraph" w:customStyle="1" w:styleId="191">
    <w:name w:val="Style12"/>
    <w:basedOn w:val="1"/>
    <w:unhideWhenUsed/>
    <w:qFormat/>
    <w:uiPriority w:val="0"/>
    <w:pPr>
      <w:spacing w:line="564" w:lineRule="exact"/>
      <w:ind w:hanging="115"/>
    </w:pPr>
  </w:style>
  <w:style w:type="paragraph" w:customStyle="1" w:styleId="192">
    <w:name w:val="Style50"/>
    <w:basedOn w:val="1"/>
    <w:unhideWhenUsed/>
    <w:qFormat/>
    <w:uiPriority w:val="0"/>
  </w:style>
  <w:style w:type="paragraph" w:customStyle="1" w:styleId="193">
    <w:name w:val="1 Char Char Char Char"/>
    <w:basedOn w:val="1"/>
    <w:qFormat/>
    <w:uiPriority w:val="0"/>
  </w:style>
  <w:style w:type="paragraph" w:customStyle="1" w:styleId="194">
    <w:name w:val="修订1"/>
    <w:qFormat/>
    <w:uiPriority w:val="0"/>
    <w:rPr>
      <w:rFonts w:ascii="Times New Roman" w:hAnsi="Times New Roman" w:eastAsia="宋体" w:cs="Times New Roman"/>
      <w:kern w:val="2"/>
      <w:sz w:val="21"/>
      <w:szCs w:val="24"/>
      <w:lang w:val="en-US" w:eastAsia="zh-CN" w:bidi="ar-SA"/>
    </w:rPr>
  </w:style>
  <w:style w:type="paragraph" w:customStyle="1" w:styleId="195">
    <w:name w:val="Style63"/>
    <w:basedOn w:val="1"/>
    <w:unhideWhenUsed/>
    <w:qFormat/>
    <w:uiPriority w:val="0"/>
    <w:pPr>
      <w:spacing w:line="564" w:lineRule="exact"/>
      <w:ind w:firstLine="682"/>
    </w:pPr>
  </w:style>
  <w:style w:type="paragraph" w:customStyle="1" w:styleId="196">
    <w:name w:val="Style5"/>
    <w:basedOn w:val="1"/>
    <w:unhideWhenUsed/>
    <w:qFormat/>
    <w:uiPriority w:val="0"/>
  </w:style>
  <w:style w:type="paragraph" w:customStyle="1" w:styleId="197">
    <w:name w:val="Style58"/>
    <w:basedOn w:val="1"/>
    <w:unhideWhenUsed/>
    <w:qFormat/>
    <w:uiPriority w:val="0"/>
    <w:pPr>
      <w:spacing w:line="413" w:lineRule="exact"/>
    </w:pPr>
  </w:style>
  <w:style w:type="paragraph" w:customStyle="1" w:styleId="198">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0">
    <w:name w:val="Style80"/>
    <w:basedOn w:val="1"/>
    <w:unhideWhenUsed/>
    <w:qFormat/>
    <w:uiPriority w:val="0"/>
  </w:style>
  <w:style w:type="paragraph" w:customStyle="1" w:styleId="201">
    <w:name w:val="Style61"/>
    <w:basedOn w:val="1"/>
    <w:unhideWhenUsed/>
    <w:qFormat/>
    <w:uiPriority w:val="0"/>
  </w:style>
  <w:style w:type="paragraph" w:customStyle="1" w:styleId="202">
    <w:name w:val="修订2"/>
    <w:qFormat/>
    <w:uiPriority w:val="0"/>
    <w:rPr>
      <w:rFonts w:ascii="Times New Roman" w:hAnsi="Times New Roman" w:eastAsia="宋体" w:cs="Times New Roman"/>
      <w:kern w:val="2"/>
      <w:sz w:val="21"/>
      <w:szCs w:val="24"/>
      <w:lang w:val="en-US" w:eastAsia="zh-CN" w:bidi="ar-SA"/>
    </w:rPr>
  </w:style>
  <w:style w:type="paragraph" w:customStyle="1" w:styleId="203">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4">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5">
    <w:name w:val="Style4"/>
    <w:basedOn w:val="1"/>
    <w:unhideWhenUsed/>
    <w:qFormat/>
    <w:uiPriority w:val="0"/>
  </w:style>
  <w:style w:type="paragraph" w:customStyle="1" w:styleId="206">
    <w:name w:val="Style29"/>
    <w:basedOn w:val="1"/>
    <w:unhideWhenUsed/>
    <w:qFormat/>
    <w:uiPriority w:val="0"/>
    <w:pPr>
      <w:spacing w:line="547" w:lineRule="exact"/>
      <w:ind w:firstLine="547"/>
    </w:pPr>
  </w:style>
  <w:style w:type="paragraph" w:customStyle="1" w:styleId="207">
    <w:name w:val="Char1 Char Char Char 字元 Char Char 字元 Char 字元 Char1 Char Char Char"/>
    <w:basedOn w:val="1"/>
    <w:qFormat/>
    <w:uiPriority w:val="0"/>
    <w:rPr>
      <w:szCs w:val="20"/>
    </w:rPr>
  </w:style>
  <w:style w:type="paragraph" w:customStyle="1" w:styleId="208">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9">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0">
    <w:name w:val="列出段落3"/>
    <w:basedOn w:val="1"/>
    <w:qFormat/>
    <w:uiPriority w:val="0"/>
    <w:pPr>
      <w:ind w:firstLine="420" w:firstLineChars="200"/>
    </w:pPr>
    <w:rPr>
      <w:rFonts w:cs="Calibri"/>
      <w:szCs w:val="21"/>
    </w:rPr>
  </w:style>
  <w:style w:type="paragraph" w:customStyle="1" w:styleId="211">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12">
    <w:name w:val="正文_57_0"/>
    <w:basedOn w:val="213"/>
    <w:qFormat/>
    <w:uiPriority w:val="0"/>
    <w:rPr>
      <w:rFonts w:ascii="Calibri" w:hAnsi="Calibri" w:cs="宋体"/>
      <w:szCs w:val="21"/>
    </w:rPr>
  </w:style>
  <w:style w:type="paragraph" w:customStyle="1" w:styleId="213">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Style74"/>
    <w:basedOn w:val="1"/>
    <w:unhideWhenUsed/>
    <w:qFormat/>
    <w:uiPriority w:val="0"/>
    <w:pPr>
      <w:spacing w:line="437" w:lineRule="exact"/>
    </w:pPr>
  </w:style>
  <w:style w:type="paragraph" w:customStyle="1" w:styleId="215">
    <w:name w:val="附录标识"/>
    <w:basedOn w:val="208"/>
    <w:qFormat/>
    <w:uiPriority w:val="0"/>
    <w:pPr>
      <w:tabs>
        <w:tab w:val="left" w:pos="6405"/>
      </w:tabs>
      <w:spacing w:after="200"/>
    </w:pPr>
    <w:rPr>
      <w:sz w:val="21"/>
    </w:rPr>
  </w:style>
  <w:style w:type="paragraph" w:customStyle="1" w:styleId="216">
    <w:name w:val="Style81"/>
    <w:basedOn w:val="1"/>
    <w:unhideWhenUsed/>
    <w:qFormat/>
    <w:uiPriority w:val="0"/>
    <w:pPr>
      <w:spacing w:line="547" w:lineRule="exact"/>
    </w:pPr>
  </w:style>
  <w:style w:type="paragraph" w:customStyle="1" w:styleId="217">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8">
    <w:name w:val="NO3"/>
    <w:basedOn w:val="1"/>
    <w:qFormat/>
    <w:uiPriority w:val="0"/>
    <w:pPr>
      <w:tabs>
        <w:tab w:val="left" w:pos="907"/>
      </w:tabs>
      <w:spacing w:line="360" w:lineRule="auto"/>
    </w:pPr>
    <w:rPr>
      <w:rFonts w:ascii="宋体" w:hAnsi="宋体"/>
      <w:sz w:val="24"/>
    </w:rPr>
  </w:style>
  <w:style w:type="paragraph" w:customStyle="1" w:styleId="219">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0">
    <w:name w:val="Style73"/>
    <w:basedOn w:val="1"/>
    <w:unhideWhenUsed/>
    <w:qFormat/>
    <w:uiPriority w:val="0"/>
    <w:pPr>
      <w:spacing w:line="538" w:lineRule="exact"/>
      <w:ind w:firstLine="533"/>
    </w:pPr>
  </w:style>
  <w:style w:type="paragraph" w:customStyle="1" w:styleId="221">
    <w:name w:val="Style11"/>
    <w:basedOn w:val="1"/>
    <w:unhideWhenUsed/>
    <w:qFormat/>
    <w:uiPriority w:val="0"/>
    <w:pPr>
      <w:spacing w:line="559" w:lineRule="exact"/>
      <w:ind w:firstLine="590"/>
    </w:pPr>
  </w:style>
  <w:style w:type="paragraph" w:customStyle="1" w:styleId="222">
    <w:name w:val="Style16"/>
    <w:basedOn w:val="1"/>
    <w:unhideWhenUsed/>
    <w:qFormat/>
    <w:uiPriority w:val="0"/>
    <w:pPr>
      <w:jc w:val="right"/>
    </w:pPr>
  </w:style>
  <w:style w:type="paragraph" w:customStyle="1" w:styleId="223">
    <w:name w:val="Style52"/>
    <w:basedOn w:val="1"/>
    <w:unhideWhenUsed/>
    <w:qFormat/>
    <w:uiPriority w:val="0"/>
    <w:pPr>
      <w:spacing w:line="682" w:lineRule="exact"/>
      <w:ind w:firstLine="557"/>
    </w:pPr>
  </w:style>
  <w:style w:type="paragraph" w:customStyle="1" w:styleId="224">
    <w:name w:val="Style72"/>
    <w:basedOn w:val="1"/>
    <w:unhideWhenUsed/>
    <w:qFormat/>
    <w:uiPriority w:val="0"/>
  </w:style>
  <w:style w:type="paragraph" w:customStyle="1" w:styleId="225">
    <w:name w:val="Char Char Char"/>
    <w:basedOn w:val="1"/>
    <w:qFormat/>
    <w:uiPriority w:val="0"/>
    <w:rPr>
      <w:rFonts w:ascii="宋体" w:hAnsi="宋体"/>
      <w:b/>
      <w:sz w:val="28"/>
      <w:szCs w:val="28"/>
    </w:rPr>
  </w:style>
  <w:style w:type="paragraph" w:customStyle="1" w:styleId="22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8">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9">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Style24"/>
    <w:basedOn w:val="1"/>
    <w:unhideWhenUsed/>
    <w:qFormat/>
    <w:uiPriority w:val="0"/>
  </w:style>
  <w:style w:type="paragraph" w:customStyle="1" w:styleId="232">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3">
    <w:name w:val="Style54"/>
    <w:basedOn w:val="1"/>
    <w:unhideWhenUsed/>
    <w:qFormat/>
    <w:uiPriority w:val="0"/>
  </w:style>
  <w:style w:type="paragraph" w:customStyle="1" w:styleId="234">
    <w:name w:val="Style34"/>
    <w:basedOn w:val="1"/>
    <w:unhideWhenUsed/>
    <w:qFormat/>
    <w:uiPriority w:val="0"/>
    <w:pPr>
      <w:spacing w:line="375" w:lineRule="exact"/>
    </w:pPr>
  </w:style>
  <w:style w:type="paragraph" w:customStyle="1" w:styleId="235">
    <w:name w:val="Style56"/>
    <w:basedOn w:val="1"/>
    <w:unhideWhenUsed/>
    <w:qFormat/>
    <w:uiPriority w:val="0"/>
  </w:style>
  <w:style w:type="paragraph" w:customStyle="1" w:styleId="236">
    <w:name w:val="Style8"/>
    <w:basedOn w:val="1"/>
    <w:unhideWhenUsed/>
    <w:qFormat/>
    <w:uiPriority w:val="0"/>
    <w:pPr>
      <w:spacing w:line="566" w:lineRule="exact"/>
      <w:jc w:val="center"/>
    </w:pPr>
  </w:style>
  <w:style w:type="paragraph" w:customStyle="1" w:styleId="237">
    <w:name w:val="列表段落1"/>
    <w:basedOn w:val="1"/>
    <w:qFormat/>
    <w:uiPriority w:val="0"/>
    <w:pPr>
      <w:ind w:firstLine="420" w:firstLineChars="200"/>
    </w:pPr>
    <w:rPr>
      <w:rFonts w:cs="Calibri"/>
      <w:szCs w:val="21"/>
    </w:rPr>
  </w:style>
  <w:style w:type="paragraph" w:customStyle="1" w:styleId="238">
    <w:name w:val="Style10"/>
    <w:basedOn w:val="1"/>
    <w:unhideWhenUsed/>
    <w:qFormat/>
    <w:uiPriority w:val="0"/>
    <w:pPr>
      <w:spacing w:line="538" w:lineRule="exact"/>
    </w:pPr>
  </w:style>
  <w:style w:type="paragraph" w:customStyle="1" w:styleId="239">
    <w:name w:val="样式 标题 2 + 宋体 五号 行距: 单倍行距"/>
    <w:basedOn w:val="7"/>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4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Char1 Char Char Char Char Char Char Char Char Char1"/>
    <w:basedOn w:val="1"/>
    <w:qFormat/>
    <w:uiPriority w:val="0"/>
    <w:rPr>
      <w:szCs w:val="20"/>
    </w:rPr>
  </w:style>
  <w:style w:type="paragraph" w:customStyle="1" w:styleId="242">
    <w:name w:val="Style67"/>
    <w:basedOn w:val="1"/>
    <w:unhideWhenUsed/>
    <w:qFormat/>
    <w:uiPriority w:val="0"/>
    <w:pPr>
      <w:spacing w:line="566" w:lineRule="exact"/>
      <w:ind w:firstLine="552"/>
    </w:pPr>
  </w:style>
  <w:style w:type="paragraph" w:customStyle="1" w:styleId="243">
    <w:name w:val="Style69"/>
    <w:basedOn w:val="1"/>
    <w:unhideWhenUsed/>
    <w:qFormat/>
    <w:uiPriority w:val="0"/>
    <w:pPr>
      <w:spacing w:line="557" w:lineRule="exact"/>
      <w:ind w:firstLine="1666"/>
    </w:pPr>
  </w:style>
  <w:style w:type="paragraph" w:customStyle="1" w:styleId="244">
    <w:name w:val="标题2"/>
    <w:basedOn w:val="44"/>
    <w:qFormat/>
    <w:uiPriority w:val="0"/>
    <w:pPr>
      <w:spacing w:after="240"/>
      <w:jc w:val="left"/>
    </w:pPr>
    <w:rPr>
      <w:sz w:val="30"/>
    </w:rPr>
  </w:style>
  <w:style w:type="paragraph" w:customStyle="1" w:styleId="245">
    <w:name w:val="Style9"/>
    <w:basedOn w:val="1"/>
    <w:unhideWhenUsed/>
    <w:qFormat/>
    <w:uiPriority w:val="0"/>
  </w:style>
  <w:style w:type="paragraph" w:customStyle="1" w:styleId="246">
    <w:name w:val="Style28"/>
    <w:basedOn w:val="1"/>
    <w:unhideWhenUsed/>
    <w:qFormat/>
    <w:uiPriority w:val="0"/>
    <w:pPr>
      <w:spacing w:line="552" w:lineRule="exact"/>
      <w:ind w:firstLine="547"/>
    </w:pPr>
  </w:style>
  <w:style w:type="paragraph" w:customStyle="1" w:styleId="247">
    <w:name w:val="Style42"/>
    <w:basedOn w:val="1"/>
    <w:unhideWhenUsed/>
    <w:qFormat/>
    <w:uiPriority w:val="0"/>
    <w:pPr>
      <w:spacing w:line="542" w:lineRule="exact"/>
      <w:ind w:firstLine="547"/>
    </w:pPr>
  </w:style>
  <w:style w:type="paragraph" w:customStyle="1" w:styleId="248">
    <w:name w:val="Style65"/>
    <w:basedOn w:val="1"/>
    <w:unhideWhenUsed/>
    <w:qFormat/>
    <w:uiPriority w:val="0"/>
  </w:style>
  <w:style w:type="paragraph" w:customStyle="1" w:styleId="249">
    <w:name w:val="Char2"/>
    <w:basedOn w:val="1"/>
    <w:qFormat/>
    <w:uiPriority w:val="0"/>
    <w:pPr>
      <w:tabs>
        <w:tab w:val="left" w:pos="360"/>
      </w:tabs>
      <w:ind w:left="360" w:hanging="360" w:hangingChars="200"/>
    </w:pPr>
    <w:rPr>
      <w:sz w:val="24"/>
    </w:rPr>
  </w:style>
  <w:style w:type="paragraph" w:customStyle="1" w:styleId="250">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51">
    <w:name w:val="_Style 39"/>
    <w:basedOn w:val="240"/>
    <w:qFormat/>
    <w:uiPriority w:val="0"/>
  </w:style>
  <w:style w:type="paragraph" w:customStyle="1" w:styleId="252">
    <w:name w:val="Style76"/>
    <w:basedOn w:val="1"/>
    <w:unhideWhenUsed/>
    <w:qFormat/>
    <w:uiPriority w:val="0"/>
  </w:style>
  <w:style w:type="paragraph" w:customStyle="1" w:styleId="253">
    <w:name w:val="Style47"/>
    <w:basedOn w:val="1"/>
    <w:unhideWhenUsed/>
    <w:qFormat/>
    <w:uiPriority w:val="0"/>
  </w:style>
  <w:style w:type="paragraph" w:customStyle="1" w:styleId="254">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5">
    <w:name w:val="1"/>
    <w:basedOn w:val="1"/>
    <w:qFormat/>
    <w:uiPriority w:val="0"/>
    <w:pPr>
      <w:spacing w:afterLines="50" w:line="360" w:lineRule="auto"/>
    </w:pPr>
    <w:rPr>
      <w:rFonts w:ascii="宋体" w:hAnsi="宋体"/>
      <w:b/>
      <w:sz w:val="30"/>
      <w:szCs w:val="21"/>
    </w:rPr>
  </w:style>
  <w:style w:type="paragraph" w:customStyle="1" w:styleId="256">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7">
    <w:name w:val="Char Char1 Char Char Char Char Char Char Char"/>
    <w:basedOn w:val="1"/>
    <w:qFormat/>
    <w:uiPriority w:val="0"/>
    <w:pPr>
      <w:widowControl/>
      <w:spacing w:after="160" w:line="240" w:lineRule="exact"/>
      <w:jc w:val="left"/>
    </w:pPr>
  </w:style>
  <w:style w:type="paragraph" w:customStyle="1" w:styleId="258">
    <w:name w:val="Style68"/>
    <w:basedOn w:val="1"/>
    <w:unhideWhenUsed/>
    <w:qFormat/>
    <w:uiPriority w:val="0"/>
    <w:pPr>
      <w:spacing w:line="547" w:lineRule="exact"/>
    </w:pPr>
  </w:style>
  <w:style w:type="paragraph" w:customStyle="1" w:styleId="259">
    <w:name w:val="Style62"/>
    <w:basedOn w:val="1"/>
    <w:unhideWhenUsed/>
    <w:qFormat/>
    <w:uiPriority w:val="0"/>
  </w:style>
  <w:style w:type="paragraph" w:customStyle="1" w:styleId="260">
    <w:name w:val="Style64"/>
    <w:basedOn w:val="1"/>
    <w:unhideWhenUsed/>
    <w:qFormat/>
    <w:uiPriority w:val="0"/>
  </w:style>
  <w:style w:type="paragraph" w:customStyle="1" w:styleId="261">
    <w:name w:val="Style70"/>
    <w:basedOn w:val="1"/>
    <w:unhideWhenUsed/>
    <w:qFormat/>
    <w:uiPriority w:val="0"/>
    <w:pPr>
      <w:spacing w:line="549" w:lineRule="exact"/>
      <w:ind w:firstLine="686"/>
    </w:pPr>
  </w:style>
  <w:style w:type="paragraph" w:customStyle="1" w:styleId="262">
    <w:name w:val="列出段落11"/>
    <w:basedOn w:val="1"/>
    <w:qFormat/>
    <w:uiPriority w:val="99"/>
    <w:pPr>
      <w:ind w:firstLine="420" w:firstLineChars="200"/>
    </w:pPr>
  </w:style>
  <w:style w:type="paragraph" w:customStyle="1" w:styleId="263">
    <w:name w:val="Style53"/>
    <w:basedOn w:val="1"/>
    <w:unhideWhenUsed/>
    <w:qFormat/>
    <w:uiPriority w:val="0"/>
    <w:pPr>
      <w:spacing w:line="533" w:lineRule="exact"/>
      <w:ind w:firstLine="581"/>
    </w:pPr>
  </w:style>
  <w:style w:type="paragraph" w:customStyle="1" w:styleId="264">
    <w:name w:val="p16"/>
    <w:basedOn w:val="1"/>
    <w:qFormat/>
    <w:uiPriority w:val="0"/>
    <w:pPr>
      <w:widowControl/>
      <w:jc w:val="left"/>
    </w:pPr>
    <w:rPr>
      <w:kern w:val="0"/>
      <w:szCs w:val="21"/>
    </w:rPr>
  </w:style>
  <w:style w:type="paragraph" w:customStyle="1" w:styleId="265">
    <w:name w:val="Char1 Char Char Char1"/>
    <w:basedOn w:val="1"/>
    <w:qFormat/>
    <w:uiPriority w:val="0"/>
    <w:pPr>
      <w:widowControl/>
      <w:spacing w:after="160" w:line="240" w:lineRule="exact"/>
      <w:jc w:val="left"/>
    </w:pPr>
    <w:rPr>
      <w:kern w:val="0"/>
      <w:sz w:val="24"/>
      <w:szCs w:val="20"/>
    </w:rPr>
  </w:style>
  <w:style w:type="paragraph" w:customStyle="1" w:styleId="266">
    <w:name w:val="Style45"/>
    <w:basedOn w:val="1"/>
    <w:unhideWhenUsed/>
    <w:qFormat/>
    <w:uiPriority w:val="0"/>
  </w:style>
  <w:style w:type="paragraph" w:customStyle="1" w:styleId="267">
    <w:name w:val="Style41"/>
    <w:basedOn w:val="1"/>
    <w:unhideWhenUsed/>
    <w:qFormat/>
    <w:uiPriority w:val="0"/>
    <w:pPr>
      <w:spacing w:line="542" w:lineRule="exact"/>
      <w:ind w:firstLine="125"/>
    </w:pPr>
  </w:style>
  <w:style w:type="paragraph" w:customStyle="1" w:styleId="268">
    <w:name w:val="标题 1 +"/>
    <w:basedOn w:val="6"/>
    <w:next w:val="1"/>
    <w:qFormat/>
    <w:uiPriority w:val="0"/>
    <w:pPr>
      <w:keepLines/>
      <w:spacing w:line="600" w:lineRule="auto"/>
    </w:pPr>
    <w:rPr>
      <w:rFonts w:eastAsia="黑体"/>
      <w:kern w:val="0"/>
      <w:sz w:val="32"/>
      <w:szCs w:val="32"/>
    </w:rPr>
  </w:style>
  <w:style w:type="paragraph" w:customStyle="1" w:styleId="269">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70">
    <w:name w:val="Style44"/>
    <w:basedOn w:val="1"/>
    <w:unhideWhenUsed/>
    <w:qFormat/>
    <w:uiPriority w:val="0"/>
  </w:style>
  <w:style w:type="paragraph" w:customStyle="1" w:styleId="271">
    <w:name w:val="Style77"/>
    <w:basedOn w:val="1"/>
    <w:unhideWhenUsed/>
    <w:qFormat/>
    <w:uiPriority w:val="0"/>
  </w:style>
  <w:style w:type="paragraph" w:customStyle="1" w:styleId="272">
    <w:name w:val="_Style 284"/>
    <w:basedOn w:val="1"/>
    <w:next w:val="203"/>
    <w:qFormat/>
    <w:uiPriority w:val="0"/>
    <w:pPr>
      <w:ind w:left="720"/>
    </w:pPr>
    <w:rPr>
      <w:rFonts w:cs="Calibri"/>
      <w:szCs w:val="22"/>
    </w:rPr>
  </w:style>
  <w:style w:type="paragraph" w:customStyle="1" w:styleId="273">
    <w:name w:val="Char Char Char1"/>
    <w:basedOn w:val="1"/>
    <w:qFormat/>
    <w:uiPriority w:val="0"/>
    <w:rPr>
      <w:rFonts w:ascii="宋体" w:hAnsi="宋体"/>
      <w:b/>
      <w:sz w:val="28"/>
      <w:szCs w:val="28"/>
    </w:rPr>
  </w:style>
  <w:style w:type="paragraph" w:customStyle="1" w:styleId="274">
    <w:name w:val="Style71"/>
    <w:basedOn w:val="1"/>
    <w:unhideWhenUsed/>
    <w:qFormat/>
    <w:uiPriority w:val="0"/>
    <w:pPr>
      <w:spacing w:line="538" w:lineRule="exact"/>
      <w:ind w:firstLine="101"/>
    </w:pPr>
  </w:style>
  <w:style w:type="paragraph" w:customStyle="1" w:styleId="275">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6">
    <w:name w:val="Char Char1 Char Char Char"/>
    <w:basedOn w:val="1"/>
    <w:qFormat/>
    <w:uiPriority w:val="0"/>
    <w:rPr>
      <w:kern w:val="0"/>
      <w:sz w:val="20"/>
      <w:szCs w:val="20"/>
    </w:rPr>
  </w:style>
  <w:style w:type="paragraph" w:customStyle="1" w:styleId="277">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8">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
    <w:name w:val="Style36"/>
    <w:basedOn w:val="1"/>
    <w:unhideWhenUsed/>
    <w:qFormat/>
    <w:uiPriority w:val="0"/>
  </w:style>
  <w:style w:type="paragraph" w:customStyle="1" w:styleId="280">
    <w:name w:val="列出段落2"/>
    <w:basedOn w:val="1"/>
    <w:qFormat/>
    <w:uiPriority w:val="0"/>
    <w:pPr>
      <w:ind w:firstLine="420" w:firstLineChars="200"/>
    </w:pPr>
    <w:rPr>
      <w:szCs w:val="22"/>
    </w:rPr>
  </w:style>
  <w:style w:type="paragraph" w:customStyle="1" w:styleId="281">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82">
    <w:name w:val="样式 标题 2 + Times New Roman 四号 非加粗 段前: 5 磅 段后: 0 磅 行距: 固定值 20..."/>
    <w:basedOn w:val="7"/>
    <w:qFormat/>
    <w:uiPriority w:val="0"/>
    <w:pPr>
      <w:spacing w:before="100" w:line="400" w:lineRule="exact"/>
    </w:pPr>
    <w:rPr>
      <w:rFonts w:ascii="Times New Roman" w:hAnsi="Times New Roman" w:eastAsia="黑体"/>
      <w:b w:val="0"/>
      <w:bCs w:val="0"/>
      <w:sz w:val="28"/>
      <w:szCs w:val="20"/>
    </w:rPr>
  </w:style>
  <w:style w:type="paragraph" w:customStyle="1" w:styleId="283">
    <w:name w:val="Char1 Char Char Char"/>
    <w:basedOn w:val="1"/>
    <w:qFormat/>
    <w:uiPriority w:val="0"/>
    <w:pPr>
      <w:widowControl/>
      <w:spacing w:after="160" w:line="240" w:lineRule="exact"/>
      <w:jc w:val="left"/>
    </w:pPr>
    <w:rPr>
      <w:kern w:val="0"/>
      <w:sz w:val="24"/>
      <w:szCs w:val="20"/>
    </w:rPr>
  </w:style>
  <w:style w:type="paragraph" w:customStyle="1" w:styleId="284">
    <w:name w:val="Style13"/>
    <w:basedOn w:val="1"/>
    <w:unhideWhenUsed/>
    <w:qFormat/>
    <w:uiPriority w:val="0"/>
  </w:style>
  <w:style w:type="paragraph" w:customStyle="1" w:styleId="285">
    <w:name w:val="Style27"/>
    <w:basedOn w:val="1"/>
    <w:unhideWhenUsed/>
    <w:qFormat/>
    <w:uiPriority w:val="0"/>
  </w:style>
  <w:style w:type="paragraph" w:customStyle="1" w:styleId="286">
    <w:name w:val="Style26"/>
    <w:basedOn w:val="1"/>
    <w:unhideWhenUsed/>
    <w:qFormat/>
    <w:uiPriority w:val="0"/>
  </w:style>
  <w:style w:type="paragraph" w:customStyle="1" w:styleId="287">
    <w:name w:val="Char1 Char Char Char Char Char Char Char Char Char"/>
    <w:basedOn w:val="1"/>
    <w:qFormat/>
    <w:uiPriority w:val="0"/>
    <w:rPr>
      <w:szCs w:val="20"/>
    </w:rPr>
  </w:style>
  <w:style w:type="paragraph" w:customStyle="1" w:styleId="288">
    <w:name w:val="表格内容"/>
    <w:basedOn w:val="21"/>
    <w:qFormat/>
    <w:uiPriority w:val="0"/>
    <w:pPr>
      <w:suppressLineNumbers/>
      <w:suppressAutoHyphens/>
      <w:jc w:val="left"/>
    </w:pPr>
    <w:rPr>
      <w:rFonts w:cs="Tahoma"/>
      <w:kern w:val="0"/>
      <w:sz w:val="24"/>
    </w:rPr>
  </w:style>
  <w:style w:type="paragraph" w:customStyle="1" w:styleId="289">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90">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91">
    <w:name w:val="表格主题1"/>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网格型1"/>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3">
    <w:name w:val="c-icon29"/>
    <w:basedOn w:val="49"/>
    <w:qFormat/>
    <w:uiPriority w:val="0"/>
  </w:style>
  <w:style w:type="character" w:customStyle="1" w:styleId="294">
    <w:name w:val="hover28"/>
    <w:basedOn w:val="49"/>
    <w:qFormat/>
    <w:uiPriority w:val="0"/>
  </w:style>
  <w:style w:type="character" w:customStyle="1" w:styleId="295">
    <w:name w:val="hover29"/>
    <w:basedOn w:val="49"/>
    <w:qFormat/>
    <w:uiPriority w:val="0"/>
    <w:rPr>
      <w:color w:val="315EFB"/>
    </w:rPr>
  </w:style>
  <w:style w:type="paragraph" w:customStyle="1" w:styleId="296">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7">
    <w:name w:val="正文_16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8">
    <w:name w:val="正文首行缩进 2 Char"/>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E7581-BF8F-4456-8064-1F86C85C42FF}">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50</Pages>
  <Words>25800</Words>
  <Characters>27146</Characters>
  <Lines>216</Lines>
  <Paragraphs>60</Paragraphs>
  <TotalTime>243</TotalTime>
  <ScaleCrop>false</ScaleCrop>
  <LinksUpToDate>false</LinksUpToDate>
  <CharactersWithSpaces>28984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2023-12-20T09:15:00Z</dcterms:created>
  <dc:creator>admin</dc:creator>
  <cp:lastModifiedBy>李师</cp:lastModifiedBy>
  <cp:lastPrinted>2023-12-20T08:48:00Z</cp:lastPrinted>
  <dcterms:modified xsi:type="dcterms:W3CDTF">2023-12-28T01:18:43Z</dcterms:modified>
  <dc:title>附件十一</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596A7D9932FE4D85982F02D5022FC8B8_13</vt:lpwstr>
  </property>
  <property fmtid="{D5CDD505-2E9C-101B-9397-08002B2CF9AE}" pid="4" name="commondata">
    <vt:lpwstr>eyJoZGlkIjoiNTdkMTVkZjYyNDkwNzcwMjFkM2UxNmVmY2EwNGE4NzIifQ==</vt:lpwstr>
  </property>
</Properties>
</file>