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20" w:beforeLines="50" w:after="240" w:afterLines="100" w:line="440" w:lineRule="atLeast"/>
        <w:ind w:leftChars="0"/>
        <w:jc w:val="center"/>
        <w:outlineLvl w:val="0"/>
        <w:rPr>
          <w:rFonts w:hint="eastAsia" w:ascii="宋体" w:hAnsi="宋体" w:cs="宋体"/>
          <w:b/>
          <w:sz w:val="36"/>
          <w:szCs w:val="36"/>
          <w:highlight w:val="none"/>
        </w:rPr>
      </w:pPr>
      <w:bookmarkStart w:id="0" w:name="_Toc28249"/>
      <w:r>
        <w:rPr>
          <w:rFonts w:hint="eastAsia" w:ascii="宋体" w:hAnsi="宋体" w:cs="宋体"/>
          <w:b/>
          <w:bCs/>
          <w:sz w:val="36"/>
          <w:szCs w:val="36"/>
          <w:highlight w:val="none"/>
        </w:rPr>
        <w:t>玉赤路、玉枫路、智达路、玉赤河流域、琨玉路延长线5个项目勘察服务</w:t>
      </w:r>
      <w:bookmarkEnd w:id="0"/>
      <w:r>
        <w:rPr>
          <w:rFonts w:hint="eastAsia" w:ascii="宋体" w:hAnsi="宋体" w:cs="宋体"/>
          <w:b/>
          <w:bCs/>
          <w:sz w:val="36"/>
          <w:szCs w:val="36"/>
          <w:highlight w:val="none"/>
        </w:rPr>
        <w:t>竞争性磋商公告</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rPr>
        <w:t>中技建设咨询有限公司受</w:t>
      </w:r>
      <w:r>
        <w:rPr>
          <w:rFonts w:hint="eastAsia" w:ascii="宋体" w:hAnsi="宋体" w:cs="宋体"/>
          <w:kern w:val="0"/>
          <w:szCs w:val="21"/>
          <w:highlight w:val="none"/>
          <w:lang w:eastAsia="zh-CN"/>
        </w:rPr>
        <w:t>湖南智谷投资发展集团有限公司</w:t>
      </w:r>
      <w:r>
        <w:rPr>
          <w:rFonts w:hint="eastAsia" w:ascii="宋体" w:hAnsi="宋体" w:cs="宋体"/>
          <w:kern w:val="0"/>
          <w:szCs w:val="21"/>
          <w:highlight w:val="none"/>
        </w:rPr>
        <w:t>的委托，对</w:t>
      </w:r>
      <w:r>
        <w:rPr>
          <w:rFonts w:hint="eastAsia" w:ascii="宋体" w:hAnsi="宋体" w:cs="宋体"/>
          <w:kern w:val="0"/>
          <w:szCs w:val="21"/>
          <w:highlight w:val="none"/>
          <w:lang w:eastAsia="zh-CN"/>
        </w:rPr>
        <w:t>玉赤路、玉枫路、智达路、玉赤河流域、琨玉路延长线5个项目勘察服务</w:t>
      </w:r>
      <w:r>
        <w:rPr>
          <w:rFonts w:hint="eastAsia" w:ascii="宋体" w:hAnsi="宋体" w:cs="宋体"/>
          <w:kern w:val="0"/>
          <w:szCs w:val="21"/>
          <w:highlight w:val="none"/>
        </w:rPr>
        <w:t>进行竞争性磋商采购，现采用发布公告方式，邀请符合资格条件的供应商参与竞争性磋商采购活动。</w:t>
      </w:r>
    </w:p>
    <w:p>
      <w:pPr>
        <w:keepNext w:val="0"/>
        <w:keepLines w:val="0"/>
        <w:pageBreakBefore w:val="0"/>
        <w:numPr>
          <w:ilvl w:val="0"/>
          <w:numId w:val="1"/>
        </w:numPr>
        <w:kinsoku/>
        <w:wordWrap/>
        <w:overflowPunct/>
        <w:topLinePunct w:val="0"/>
        <w:autoSpaceDE/>
        <w:autoSpaceDN/>
        <w:bidi w:val="0"/>
        <w:adjustRightInd w:val="0"/>
        <w:snapToGrid w:val="0"/>
        <w:spacing w:before="240" w:beforeLines="100" w:after="120" w:afterLines="50" w:line="360" w:lineRule="auto"/>
        <w:ind w:left="0" w:firstLine="0"/>
        <w:textAlignment w:val="auto"/>
        <w:rPr>
          <w:rFonts w:hint="eastAsia" w:ascii="宋体" w:hAnsi="宋体" w:cs="宋体"/>
          <w:b/>
          <w:highlight w:val="none"/>
        </w:rPr>
      </w:pPr>
      <w:r>
        <w:rPr>
          <w:rFonts w:hint="eastAsia" w:ascii="宋体" w:hAnsi="宋体" w:cs="宋体"/>
          <w:b/>
          <w:highlight w:val="none"/>
        </w:rPr>
        <w:t>采购项目基本概况：</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1、采购项目名称：玉赤路、玉枫路、智达路、玉赤河流域、琨玉路延长线5个项目勘察服务</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w:t>
      </w:r>
      <w:r>
        <w:rPr>
          <w:rFonts w:hint="eastAsia" w:ascii="宋体" w:hAnsi="宋体" w:eastAsia="宋体" w:cs="宋体"/>
          <w:kern w:val="0"/>
          <w:szCs w:val="21"/>
          <w:highlight w:val="none"/>
          <w:lang w:eastAsia="zh-CN"/>
        </w:rPr>
        <w:t>、采购代理编号：</w:t>
      </w:r>
      <w:r>
        <w:rPr>
          <w:rFonts w:hint="eastAsia" w:ascii="宋体" w:hAnsi="宋体" w:eastAsia="宋体" w:cs="宋体"/>
          <w:kern w:val="0"/>
          <w:szCs w:val="21"/>
          <w:highlight w:val="none"/>
          <w:u w:val="none"/>
          <w:lang w:val="en-US" w:eastAsia="zh-CN"/>
        </w:rPr>
        <w:t>HNZJC2023-FW(C1)-566</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lang w:val="en-US" w:eastAsia="zh-CN"/>
        </w:rPr>
        <w:t>3、</w:t>
      </w:r>
      <w:r>
        <w:rPr>
          <w:rFonts w:hint="eastAsia" w:ascii="宋体" w:hAnsi="宋体" w:cs="宋体"/>
          <w:kern w:val="0"/>
          <w:szCs w:val="21"/>
          <w:highlight w:val="none"/>
        </w:rPr>
        <w:t>采购项目标的、数量及简要规格描述或项目基本概况介绍：</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lang w:eastAsia="zh-CN"/>
        </w:rPr>
        <w:t>玉赤路、玉枫路、智达路、玉赤河流域、琨玉路延长线5个项目勘察服务</w:t>
      </w:r>
      <w:r>
        <w:rPr>
          <w:rFonts w:hint="eastAsia" w:ascii="宋体" w:hAnsi="宋体" w:cs="宋体"/>
          <w:kern w:val="0"/>
          <w:szCs w:val="21"/>
          <w:highlight w:val="none"/>
        </w:rPr>
        <w:t>,因</w:t>
      </w:r>
      <w:r>
        <w:rPr>
          <w:rFonts w:hint="eastAsia" w:ascii="宋体" w:hAnsi="宋体" w:cs="宋体"/>
          <w:kern w:val="0"/>
          <w:szCs w:val="21"/>
          <w:highlight w:val="none"/>
          <w:lang w:eastAsia="zh-CN"/>
        </w:rPr>
        <w:t>湖南智谷投资发展集团有限公司</w:t>
      </w:r>
      <w:r>
        <w:rPr>
          <w:rFonts w:hint="eastAsia" w:ascii="宋体" w:hAnsi="宋体" w:cs="宋体"/>
          <w:kern w:val="0"/>
          <w:szCs w:val="21"/>
          <w:highlight w:val="none"/>
        </w:rPr>
        <w:t>扁平化管理，合同签订、项目验收及项目付款方为湖南岳麓经济开发有限责任公司，该公司系湖南智谷投资发展集团有限公司的子公司。具体情况详见“第四章 采购需求”。</w:t>
      </w:r>
    </w:p>
    <w:p>
      <w:pPr>
        <w:keepNext w:val="0"/>
        <w:keepLines w:val="0"/>
        <w:pageBreakBefore w:val="0"/>
        <w:numPr>
          <w:ilvl w:val="0"/>
          <w:numId w:val="1"/>
        </w:numPr>
        <w:kinsoku/>
        <w:wordWrap/>
        <w:overflowPunct/>
        <w:topLinePunct w:val="0"/>
        <w:autoSpaceDE/>
        <w:autoSpaceDN/>
        <w:bidi w:val="0"/>
        <w:adjustRightInd w:val="0"/>
        <w:snapToGrid w:val="0"/>
        <w:spacing w:before="240" w:beforeLines="100" w:after="120" w:afterLines="50" w:line="360" w:lineRule="auto"/>
        <w:ind w:left="0" w:firstLine="0"/>
        <w:textAlignment w:val="auto"/>
        <w:rPr>
          <w:rFonts w:hint="eastAsia" w:ascii="宋体" w:hAnsi="宋体" w:cs="宋体"/>
          <w:bCs/>
          <w:highlight w:val="none"/>
        </w:rPr>
      </w:pPr>
      <w:r>
        <w:rPr>
          <w:rFonts w:hint="eastAsia" w:ascii="宋体" w:hAnsi="宋体" w:cs="宋体"/>
          <w:b/>
          <w:highlight w:val="none"/>
        </w:rPr>
        <w:t>采购项目预算：</w:t>
      </w:r>
    </w:p>
    <w:tbl>
      <w:tblPr>
        <w:tblStyle w:val="8"/>
        <w:tblpPr w:leftFromText="180" w:rightFromText="180" w:vertAnchor="text" w:horzAnchor="margin" w:tblpX="250" w:tblpY="91"/>
        <w:tblOverlap w:val="never"/>
        <w:tblW w:w="9361"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900"/>
        <w:gridCol w:w="3197"/>
        <w:gridCol w:w="1333"/>
        <w:gridCol w:w="667"/>
        <w:gridCol w:w="163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070" w:hRule="atLeast"/>
        </w:trPr>
        <w:tc>
          <w:tcPr>
            <w:tcW w:w="631"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highlight w:val="none"/>
              </w:rPr>
            </w:pPr>
            <w:r>
              <w:rPr>
                <w:rFonts w:hint="eastAsia" w:ascii="宋体" w:hAnsi="宋体"/>
                <w:highlight w:val="none"/>
              </w:rPr>
              <w:t>包号</w:t>
            </w:r>
          </w:p>
        </w:tc>
        <w:tc>
          <w:tcPr>
            <w:tcW w:w="1900"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highlight w:val="none"/>
                <w:lang w:eastAsia="zh-CN"/>
              </w:rPr>
            </w:pPr>
            <w:r>
              <w:rPr>
                <w:rFonts w:hint="eastAsia" w:ascii="宋体" w:hAnsi="宋体"/>
                <w:highlight w:val="none"/>
                <w:lang w:eastAsia="zh-CN"/>
              </w:rPr>
              <w:t>品目分类</w:t>
            </w:r>
          </w:p>
        </w:tc>
        <w:tc>
          <w:tcPr>
            <w:tcW w:w="3197"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highlight w:val="none"/>
                <w:lang w:eastAsia="zh-CN"/>
              </w:rPr>
            </w:pPr>
            <w:r>
              <w:rPr>
                <w:rFonts w:hint="eastAsia" w:ascii="宋体" w:hAnsi="宋体"/>
                <w:highlight w:val="none"/>
                <w:lang w:eastAsia="zh-CN"/>
              </w:rPr>
              <w:t>品目名称</w:t>
            </w:r>
          </w:p>
        </w:tc>
        <w:tc>
          <w:tcPr>
            <w:tcW w:w="1333"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highlight w:val="none"/>
              </w:rPr>
            </w:pPr>
            <w:r>
              <w:rPr>
                <w:rFonts w:hint="eastAsia" w:ascii="宋体" w:hAnsi="宋体"/>
                <w:highlight w:val="none"/>
              </w:rPr>
              <w:t>简要技术要求</w:t>
            </w:r>
          </w:p>
        </w:tc>
        <w:tc>
          <w:tcPr>
            <w:tcW w:w="667"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ascii="宋体" w:hAnsi="宋体"/>
                <w:highlight w:val="none"/>
              </w:rPr>
            </w:pPr>
            <w:r>
              <w:rPr>
                <w:rFonts w:hint="eastAsia" w:ascii="宋体" w:hAnsi="宋体"/>
                <w:highlight w:val="none"/>
              </w:rPr>
              <w:t>数量</w:t>
            </w:r>
          </w:p>
        </w:tc>
        <w:tc>
          <w:tcPr>
            <w:tcW w:w="1633"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highlight w:val="none"/>
              </w:rPr>
            </w:pPr>
            <w:r>
              <w:rPr>
                <w:rFonts w:hint="eastAsia" w:ascii="宋体" w:hAnsi="宋体"/>
                <w:highlight w:val="none"/>
              </w:rPr>
              <w:t>采购项目预算</w:t>
            </w:r>
          </w:p>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highlight w:val="none"/>
              </w:rPr>
            </w:pPr>
            <w:r>
              <w:rPr>
                <w:rFonts w:hint="eastAsia" w:ascii="宋体" w:hAnsi="宋体"/>
                <w:highlight w:val="none"/>
              </w:rPr>
              <w:t>（元人民币）</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236" w:hRule="exact"/>
        </w:trPr>
        <w:tc>
          <w:tcPr>
            <w:tcW w:w="631"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highlight w:val="none"/>
              </w:rPr>
            </w:pPr>
            <w:r>
              <w:rPr>
                <w:rFonts w:hint="eastAsia" w:ascii="宋体" w:hAnsi="宋体"/>
                <w:highlight w:val="none"/>
              </w:rPr>
              <w:t>01</w:t>
            </w:r>
          </w:p>
        </w:tc>
        <w:tc>
          <w:tcPr>
            <w:tcW w:w="1900"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color w:val="auto"/>
                <w:highlight w:val="none"/>
                <w:lang w:val="en-US"/>
              </w:rPr>
            </w:pPr>
            <w:r>
              <w:rPr>
                <w:rFonts w:hint="eastAsia" w:ascii="宋体" w:hAnsi="宋体"/>
                <w:color w:val="auto"/>
                <w:highlight w:val="none"/>
                <w:lang w:val="en-US" w:eastAsia="zh-CN"/>
              </w:rPr>
              <w:t>C11010000-工程勘探服务</w:t>
            </w:r>
          </w:p>
        </w:tc>
        <w:tc>
          <w:tcPr>
            <w:tcW w:w="3197"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highlight w:val="none"/>
              </w:rPr>
            </w:pPr>
            <w:r>
              <w:rPr>
                <w:rFonts w:hint="eastAsia" w:ascii="宋体" w:hAnsi="宋体" w:cs="宋体"/>
                <w:kern w:val="0"/>
                <w:szCs w:val="21"/>
                <w:highlight w:val="none"/>
                <w:lang w:eastAsia="zh-CN"/>
              </w:rPr>
              <w:t>玉赤路、玉枫路、智达路、玉赤河流域、琨玉路延长线5个项目勘察服务</w:t>
            </w:r>
          </w:p>
        </w:tc>
        <w:tc>
          <w:tcPr>
            <w:tcW w:w="1333"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highlight w:val="none"/>
              </w:rPr>
            </w:pPr>
            <w:r>
              <w:rPr>
                <w:rFonts w:hint="eastAsia" w:ascii="宋体" w:hAnsi="宋体"/>
                <w:highlight w:val="none"/>
              </w:rPr>
              <w:t>详见</w:t>
            </w:r>
            <w:r>
              <w:rPr>
                <w:rFonts w:hint="eastAsia" w:ascii="宋体" w:hAnsi="宋体"/>
                <w:highlight w:val="none"/>
                <w:lang w:eastAsia="zh-CN"/>
              </w:rPr>
              <w:t>磋商</w:t>
            </w:r>
            <w:r>
              <w:rPr>
                <w:rFonts w:hint="eastAsia" w:ascii="宋体" w:hAnsi="宋体"/>
                <w:highlight w:val="none"/>
              </w:rPr>
              <w:t>文件第四章</w:t>
            </w:r>
          </w:p>
        </w:tc>
        <w:tc>
          <w:tcPr>
            <w:tcW w:w="667"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highlight w:val="none"/>
              </w:rPr>
            </w:pPr>
            <w:r>
              <w:rPr>
                <w:rFonts w:hint="eastAsia" w:ascii="宋体" w:hAnsi="宋体"/>
                <w:highlight w:val="none"/>
              </w:rPr>
              <w:t>1批</w:t>
            </w:r>
          </w:p>
        </w:tc>
        <w:tc>
          <w:tcPr>
            <w:tcW w:w="1633"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宋体" w:hAnsi="宋体" w:eastAsia="宋体"/>
                <w:highlight w:val="none"/>
                <w:lang w:val="en-US" w:eastAsia="zh-CN"/>
              </w:rPr>
            </w:pPr>
            <w:r>
              <w:rPr>
                <w:rFonts w:hint="default" w:ascii="宋体" w:hAnsi="宋体" w:eastAsia="宋体"/>
                <w:highlight w:val="none"/>
                <w:lang w:val="en-US" w:eastAsia="zh-CN"/>
              </w:rPr>
              <w:t>人民币</w:t>
            </w:r>
            <w:r>
              <w:rPr>
                <w:rFonts w:hint="eastAsia" w:ascii="宋体" w:hAnsi="宋体" w:eastAsia="宋体"/>
                <w:highlight w:val="none"/>
                <w:lang w:val="en-US" w:eastAsia="zh-CN"/>
              </w:rPr>
              <w:t>474000.00</w:t>
            </w:r>
            <w:r>
              <w:rPr>
                <w:rFonts w:hint="default" w:ascii="宋体" w:hAnsi="宋体" w:eastAsia="宋体"/>
                <w:highlight w:val="none"/>
                <w:lang w:val="en-US" w:eastAsia="zh-CN"/>
              </w:rPr>
              <w:t>元</w:t>
            </w:r>
          </w:p>
        </w:tc>
      </w:tr>
    </w:tbl>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left="69" w:leftChars="33" w:firstLine="420" w:firstLineChars="200"/>
        <w:textAlignment w:val="auto"/>
        <w:rPr>
          <w:rFonts w:ascii="宋体" w:hAnsi="宋体" w:cs="宋体"/>
          <w:kern w:val="0"/>
          <w:szCs w:val="21"/>
          <w:highlight w:val="none"/>
        </w:rPr>
      </w:pPr>
      <w:r>
        <w:rPr>
          <w:rFonts w:ascii="宋体" w:hAnsi="宋体" w:cs="宋体"/>
          <w:kern w:val="0"/>
          <w:szCs w:val="21"/>
          <w:highlight w:val="none"/>
        </w:rPr>
        <w:t>需落实的政府采购政策：详见</w:t>
      </w:r>
      <w:r>
        <w:rPr>
          <w:rFonts w:hint="eastAsia" w:ascii="宋体" w:hAnsi="宋体" w:cs="宋体"/>
          <w:kern w:val="0"/>
          <w:szCs w:val="21"/>
          <w:highlight w:val="none"/>
          <w:lang w:eastAsia="zh-CN"/>
        </w:rPr>
        <w:t>磋商</w:t>
      </w:r>
      <w:r>
        <w:rPr>
          <w:rFonts w:ascii="宋体" w:hAnsi="宋体" w:cs="宋体"/>
          <w:kern w:val="0"/>
          <w:szCs w:val="21"/>
          <w:highlight w:val="none"/>
        </w:rPr>
        <w:t>文件</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left="69" w:leftChars="33" w:firstLine="420" w:firstLineChars="200"/>
        <w:textAlignment w:val="auto"/>
        <w:rPr>
          <w:rFonts w:hint="eastAsia" w:ascii="宋体" w:hAnsi="宋体" w:cs="宋体"/>
          <w:kern w:val="0"/>
          <w:szCs w:val="21"/>
          <w:highlight w:val="none"/>
        </w:rPr>
      </w:pPr>
      <w:r>
        <w:rPr>
          <w:rFonts w:ascii="宋体" w:hAnsi="宋体" w:cs="宋体"/>
          <w:kern w:val="0"/>
          <w:szCs w:val="21"/>
          <w:highlight w:val="none"/>
        </w:rPr>
        <w:t>本采购项目 拒绝进口产品</w:t>
      </w:r>
      <w:r>
        <w:rPr>
          <w:rFonts w:hint="eastAsia" w:ascii="宋体" w:hAnsi="宋体" w:cs="宋体"/>
          <w:kern w:val="0"/>
          <w:szCs w:val="21"/>
          <w:highlight w:val="none"/>
        </w:rPr>
        <w:t>。</w:t>
      </w:r>
    </w:p>
    <w:p>
      <w:pPr>
        <w:keepNext w:val="0"/>
        <w:keepLines w:val="0"/>
        <w:pageBreakBefore w:val="0"/>
        <w:numPr>
          <w:ilvl w:val="0"/>
          <w:numId w:val="1"/>
        </w:numPr>
        <w:kinsoku/>
        <w:wordWrap/>
        <w:overflowPunct/>
        <w:topLinePunct w:val="0"/>
        <w:autoSpaceDE/>
        <w:autoSpaceDN/>
        <w:bidi w:val="0"/>
        <w:adjustRightInd w:val="0"/>
        <w:snapToGrid w:val="0"/>
        <w:spacing w:before="240" w:beforeLines="100" w:after="120" w:afterLines="50" w:line="360" w:lineRule="auto"/>
        <w:ind w:left="0" w:firstLine="0"/>
        <w:textAlignment w:val="auto"/>
        <w:rPr>
          <w:rFonts w:hint="eastAsia" w:ascii="宋体" w:hAnsi="宋体" w:cs="宋体"/>
          <w:b/>
          <w:highlight w:val="none"/>
        </w:rPr>
      </w:pPr>
      <w:r>
        <w:rPr>
          <w:rFonts w:hint="eastAsia" w:ascii="宋体" w:hAnsi="宋体" w:cs="宋体"/>
          <w:b/>
          <w:highlight w:val="none"/>
        </w:rPr>
        <w:t>供应商资格条件</w:t>
      </w:r>
    </w:p>
    <w:p>
      <w:pPr>
        <w:keepNext w:val="0"/>
        <w:keepLines w:val="0"/>
        <w:pageBreakBefore w:val="0"/>
        <w:numPr>
          <w:ilvl w:val="0"/>
          <w:numId w:val="2"/>
        </w:numPr>
        <w:kinsoku/>
        <w:wordWrap/>
        <w:overflowPunct/>
        <w:topLinePunct w:val="0"/>
        <w:autoSpaceDE/>
        <w:autoSpaceDN/>
        <w:bidi w:val="0"/>
        <w:adjustRightInd w:val="0"/>
        <w:snapToGrid w:val="0"/>
        <w:spacing w:before="72" w:beforeLines="30" w:after="72" w:afterLines="30" w:line="360" w:lineRule="auto"/>
        <w:ind w:left="0" w:firstLine="422" w:firstLineChars="200"/>
        <w:textAlignment w:val="auto"/>
        <w:rPr>
          <w:rFonts w:hint="eastAsia" w:ascii="宋体" w:hAnsi="宋体" w:cs="宋体"/>
          <w:b/>
          <w:highlight w:val="none"/>
        </w:rPr>
      </w:pPr>
      <w:r>
        <w:rPr>
          <w:rFonts w:hint="eastAsia" w:ascii="宋体" w:hAnsi="宋体" w:cs="宋体"/>
          <w:b/>
          <w:highlight w:val="none"/>
        </w:rPr>
        <w:t>基本资格条件</w:t>
      </w:r>
      <w:r>
        <w:rPr>
          <w:rFonts w:hint="eastAsia" w:ascii="宋体" w:hAnsi="宋体" w:cs="宋体"/>
          <w:b/>
          <w:highlight w:val="none"/>
          <w:lang w:eastAsia="zh-CN"/>
        </w:rPr>
        <w:t>：</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1.1投标人应具备《中华人民共和国政府采购法》第二十二条规定的基本资格条件，即：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（1）具有独立承担民事责任的能力；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（2）具有良好的商业信誉和健全的财务会计制度；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（3）具有履行合同所必需的设备和专业技术能力；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（4）有依法缴纳税收和社会保障资金的良好记录；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（5）参加政府采购活动前三年内，在经营活动中没有重大违法记录；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（6）法律、行政法规规定的其他条件。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1.2  被“信用中国”网站列入失信被执行人和重大税收违法案件当事人名单的、被“中国政府采购网”网站列入政府采购严重违法失信行为记录名单（处罚期限尚未届满的），不得参与本项目的政府采购活动。 </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1.3  单位负责人为同一人或者存在直接控股、管理关系的不同供应商，不得参加同一合同项下的政府采购活动。</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1.4  按《关于政府采购促进中小企业发展若干措施的通知》长财采购【2022】10号文的规定，投标人按招标文件内格式提供《湖南省政府采购供应商资格承诺函》参与投标，无需再提供财务报告、依法缴纳税收和社会保险费的证</w:t>
      </w:r>
      <w:r>
        <w:rPr>
          <w:rFonts w:hint="eastAsia" w:ascii="宋体" w:hAnsi="宋体" w:eastAsia="宋体" w:cs="宋体"/>
          <w:kern w:val="0"/>
          <w:szCs w:val="21"/>
          <w:highlight w:val="none"/>
          <w:lang w:val="en-US" w:eastAsia="zh-CN"/>
        </w:rPr>
        <w:t>明材料。</w:t>
      </w:r>
    </w:p>
    <w:p>
      <w:pPr>
        <w:pStyle w:val="4"/>
        <w:keepNext w:val="0"/>
        <w:keepLines w:val="0"/>
        <w:pageBreakBefore w:val="0"/>
        <w:kinsoku/>
        <w:wordWrap/>
        <w:overflowPunct/>
        <w:topLinePunct w:val="0"/>
        <w:autoSpaceDE/>
        <w:autoSpaceDN/>
        <w:bidi w:val="0"/>
        <w:adjustRightInd w:val="0"/>
        <w:snapToGrid w:val="0"/>
        <w:spacing w:line="360" w:lineRule="auto"/>
        <w:ind w:firstLine="422" w:firstLineChars="200"/>
        <w:jc w:val="left"/>
        <w:textAlignment w:val="auto"/>
        <w:rPr>
          <w:rFonts w:hint="eastAsia" w:hAnsi="宋体" w:cs="宋体"/>
          <w:b/>
          <w:highlight w:val="none"/>
        </w:rPr>
      </w:pPr>
      <w:r>
        <w:rPr>
          <w:rFonts w:hint="eastAsia" w:hAnsi="宋体" w:cs="宋体"/>
          <w:b/>
          <w:highlight w:val="none"/>
          <w:lang w:val="en-US" w:eastAsia="zh-CN"/>
        </w:rPr>
        <w:t>2</w:t>
      </w:r>
      <w:r>
        <w:rPr>
          <w:rFonts w:hint="eastAsia" w:hAnsi="宋体" w:cs="宋体"/>
          <w:b/>
          <w:highlight w:val="none"/>
        </w:rPr>
        <w:t>、特定资格条件：</w:t>
      </w:r>
    </w:p>
    <w:p>
      <w:pPr>
        <w:pStyle w:val="4"/>
        <w:keepNext w:val="0"/>
        <w:keepLines w:val="0"/>
        <w:pageBreakBefore w:val="0"/>
        <w:kinsoku/>
        <w:wordWrap/>
        <w:overflowPunct/>
        <w:topLinePunct w:val="0"/>
        <w:autoSpaceDE/>
        <w:autoSpaceDN/>
        <w:bidi w:val="0"/>
        <w:adjustRightInd w:val="0"/>
        <w:snapToGrid w:val="0"/>
        <w:spacing w:line="360" w:lineRule="auto"/>
        <w:ind w:firstLine="422" w:firstLineChars="200"/>
        <w:jc w:val="left"/>
        <w:textAlignment w:val="auto"/>
        <w:rPr>
          <w:rFonts w:hint="eastAsia" w:hAnsi="宋体" w:cs="宋体"/>
          <w:b/>
          <w:highlight w:val="none"/>
          <w:lang w:eastAsia="zh-CN"/>
        </w:rPr>
      </w:pPr>
      <w:r>
        <w:rPr>
          <w:rFonts w:hint="eastAsia" w:hAnsi="宋体" w:cs="宋体"/>
          <w:b/>
          <w:highlight w:val="none"/>
          <w:lang w:val="en-US" w:eastAsia="zh-CN"/>
        </w:rPr>
        <w:t>2.1</w:t>
      </w:r>
      <w:r>
        <w:rPr>
          <w:rFonts w:hint="eastAsia" w:hAnsi="宋体" w:cs="宋体"/>
          <w:b/>
          <w:highlight w:val="none"/>
        </w:rPr>
        <w:t>供应商须具备建设行政主管部门核发的工程勘察综合甲级资质或工程勘察岩土工程专业</w:t>
      </w:r>
      <w:r>
        <w:rPr>
          <w:rFonts w:hint="eastAsia" w:hAnsi="宋体" w:cs="宋体"/>
          <w:b/>
          <w:highlight w:val="none"/>
          <w:lang w:val="en-US" w:eastAsia="zh-CN"/>
        </w:rPr>
        <w:t>甲级</w:t>
      </w:r>
      <w:r>
        <w:rPr>
          <w:rFonts w:hint="eastAsia" w:hAnsi="宋体" w:cs="宋体"/>
          <w:b/>
          <w:highlight w:val="none"/>
        </w:rPr>
        <w:t xml:space="preserve">及以上资质或工程勘察专业[岩土工程(勘察)] </w:t>
      </w:r>
      <w:r>
        <w:rPr>
          <w:rFonts w:hint="eastAsia" w:hAnsi="宋体" w:cs="宋体"/>
          <w:b/>
          <w:highlight w:val="none"/>
          <w:lang w:val="en-US" w:eastAsia="zh-CN"/>
        </w:rPr>
        <w:t>甲级</w:t>
      </w:r>
      <w:r>
        <w:rPr>
          <w:rFonts w:hint="eastAsia" w:hAnsi="宋体" w:cs="宋体"/>
          <w:b/>
          <w:highlight w:val="none"/>
        </w:rPr>
        <w:t>及以上资质（提供有效的相关证书复印件）</w:t>
      </w:r>
      <w:r>
        <w:rPr>
          <w:rFonts w:hint="eastAsia" w:hAnsi="宋体" w:cs="宋体"/>
          <w:b/>
          <w:highlight w:val="none"/>
          <w:lang w:eastAsia="zh-CN"/>
        </w:rPr>
        <w:t>。</w:t>
      </w:r>
    </w:p>
    <w:p>
      <w:pPr>
        <w:pStyle w:val="5"/>
        <w:keepNext w:val="0"/>
        <w:keepLines w:val="0"/>
        <w:pageBreakBefore w:val="0"/>
        <w:widowControl w:val="0"/>
        <w:kinsoku/>
        <w:wordWrap/>
        <w:overflowPunct/>
        <w:topLinePunct w:val="0"/>
        <w:autoSpaceDE/>
        <w:autoSpaceDN/>
        <w:bidi w:val="0"/>
        <w:snapToGrid w:val="0"/>
        <w:spacing w:line="360" w:lineRule="auto"/>
        <w:textAlignment w:val="auto"/>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2.2省外入湘企业应在“湖南省住房和城乡建设网”进行基本信息登记。</w:t>
      </w:r>
    </w:p>
    <w:p>
      <w:pPr>
        <w:keepNext w:val="0"/>
        <w:keepLines w:val="0"/>
        <w:pageBreakBefore w:val="0"/>
        <w:widowControl w:val="0"/>
        <w:kinsoku/>
        <w:wordWrap/>
        <w:overflowPunct/>
        <w:topLinePunct w:val="0"/>
        <w:autoSpaceDE/>
        <w:autoSpaceDN/>
        <w:bidi w:val="0"/>
        <w:adjustRightInd w:val="0"/>
        <w:snapToGrid w:val="0"/>
        <w:spacing w:before="72" w:beforeLines="30" w:after="72" w:afterLines="30" w:line="360" w:lineRule="auto"/>
        <w:ind w:firstLine="420" w:firstLineChars="200"/>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3、资格证明文件复印件须加盖投标人公章。</w:t>
      </w:r>
    </w:p>
    <w:p>
      <w:pPr>
        <w:keepNext w:val="0"/>
        <w:keepLines w:val="0"/>
        <w:pageBreakBefore w:val="0"/>
        <w:numPr>
          <w:ilvl w:val="0"/>
          <w:numId w:val="1"/>
        </w:numPr>
        <w:kinsoku/>
        <w:wordWrap/>
        <w:overflowPunct/>
        <w:topLinePunct w:val="0"/>
        <w:autoSpaceDE/>
        <w:autoSpaceDN/>
        <w:bidi w:val="0"/>
        <w:adjustRightInd w:val="0"/>
        <w:snapToGrid w:val="0"/>
        <w:spacing w:before="240" w:beforeLines="100" w:after="120" w:afterLines="50" w:line="360" w:lineRule="auto"/>
        <w:ind w:left="0" w:firstLine="0"/>
        <w:textAlignment w:val="auto"/>
        <w:rPr>
          <w:rFonts w:hint="eastAsia" w:ascii="宋体" w:hAnsi="宋体" w:cs="宋体"/>
          <w:b/>
          <w:highlight w:val="none"/>
        </w:rPr>
      </w:pPr>
      <w:r>
        <w:rPr>
          <w:rFonts w:hint="eastAsia" w:ascii="宋体" w:hAnsi="宋体" w:cs="宋体"/>
          <w:b/>
          <w:highlight w:val="none"/>
        </w:rPr>
        <w:t>获取磋商文件的时间、地点、方式及磋商文件售价</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cs="宋体"/>
          <w:b/>
          <w:highlight w:val="none"/>
        </w:rPr>
      </w:pPr>
      <w:r>
        <w:rPr>
          <w:rFonts w:hint="eastAsia" w:ascii="宋体" w:hAnsi="宋体" w:cs="宋体"/>
          <w:kern w:val="0"/>
          <w:szCs w:val="21"/>
          <w:highlight w:val="none"/>
        </w:rPr>
        <w:t>1、凡有意参加磋商采购活动的，请</w:t>
      </w:r>
      <w:r>
        <w:rPr>
          <w:rFonts w:hint="eastAsia" w:ascii="宋体" w:hAnsi="宋体" w:cs="宋体"/>
          <w:kern w:val="0"/>
          <w:szCs w:val="21"/>
          <w:highlight w:val="none"/>
        </w:rPr>
        <w:t>于</w:t>
      </w:r>
      <w:r>
        <w:rPr>
          <w:rFonts w:hint="eastAsia" w:ascii="宋体" w:hAnsi="宋体" w:cs="宋体"/>
          <w:kern w:val="0"/>
          <w:szCs w:val="21"/>
          <w:highlight w:val="none"/>
          <w:lang w:eastAsia="zh-CN"/>
        </w:rPr>
        <w:t>2023</w:t>
      </w:r>
      <w:r>
        <w:rPr>
          <w:rFonts w:hint="eastAsia" w:ascii="宋体" w:hAnsi="宋体" w:cs="宋体"/>
          <w:kern w:val="0"/>
          <w:szCs w:val="21"/>
          <w:highlight w:val="none"/>
        </w:rPr>
        <w:t>年</w:t>
      </w:r>
      <w:r>
        <w:rPr>
          <w:rFonts w:hint="default" w:ascii="宋体" w:hAnsi="宋体" w:cs="宋体"/>
          <w:kern w:val="0"/>
          <w:szCs w:val="21"/>
          <w:highlight w:val="none"/>
        </w:rPr>
        <w:t>08</w:t>
      </w:r>
      <w:r>
        <w:rPr>
          <w:rFonts w:hint="eastAsia" w:ascii="宋体" w:hAnsi="宋体" w:cs="宋体"/>
          <w:kern w:val="0"/>
          <w:szCs w:val="21"/>
          <w:highlight w:val="none"/>
        </w:rPr>
        <w:t>月</w:t>
      </w:r>
      <w:r>
        <w:rPr>
          <w:rFonts w:hint="default" w:ascii="宋体" w:hAnsi="宋体" w:cs="宋体"/>
          <w:kern w:val="0"/>
          <w:szCs w:val="21"/>
          <w:highlight w:val="none"/>
        </w:rPr>
        <w:t>31</w:t>
      </w:r>
      <w:r>
        <w:rPr>
          <w:rFonts w:hint="eastAsia" w:ascii="宋体" w:hAnsi="宋体" w:cs="宋体"/>
          <w:kern w:val="0"/>
          <w:szCs w:val="21"/>
          <w:highlight w:val="none"/>
        </w:rPr>
        <w:t>日起至</w:t>
      </w:r>
      <w:r>
        <w:rPr>
          <w:rFonts w:hint="eastAsia" w:ascii="宋体" w:hAnsi="宋体" w:cs="宋体"/>
          <w:kern w:val="0"/>
          <w:szCs w:val="21"/>
          <w:highlight w:val="none"/>
          <w:lang w:eastAsia="zh-CN"/>
        </w:rPr>
        <w:t>2023</w:t>
      </w:r>
      <w:r>
        <w:rPr>
          <w:rFonts w:hint="eastAsia" w:ascii="宋体" w:hAnsi="宋体" w:cs="宋体"/>
          <w:kern w:val="0"/>
          <w:szCs w:val="21"/>
          <w:highlight w:val="none"/>
        </w:rPr>
        <w:t>年</w:t>
      </w:r>
      <w:r>
        <w:rPr>
          <w:rFonts w:hint="default" w:ascii="宋体" w:hAnsi="宋体" w:cs="宋体"/>
          <w:kern w:val="0"/>
          <w:szCs w:val="21"/>
          <w:highlight w:val="none"/>
        </w:rPr>
        <w:t>09</w:t>
      </w:r>
      <w:r>
        <w:rPr>
          <w:rFonts w:hint="eastAsia" w:ascii="宋体" w:hAnsi="宋体" w:cs="宋体"/>
          <w:kern w:val="0"/>
          <w:szCs w:val="21"/>
          <w:highlight w:val="none"/>
        </w:rPr>
        <w:t>月</w:t>
      </w:r>
      <w:r>
        <w:rPr>
          <w:rFonts w:hint="default" w:ascii="宋体" w:hAnsi="宋体" w:cs="宋体"/>
          <w:kern w:val="0"/>
          <w:szCs w:val="21"/>
          <w:highlight w:val="none"/>
        </w:rPr>
        <w:t>07</w:t>
      </w:r>
      <w:r>
        <w:rPr>
          <w:rFonts w:hint="eastAsia" w:ascii="宋体" w:hAnsi="宋体" w:cs="宋体"/>
          <w:kern w:val="0"/>
          <w:szCs w:val="21"/>
          <w:highlight w:val="none"/>
        </w:rPr>
        <w:t>日</w:t>
      </w:r>
      <w:r>
        <w:rPr>
          <w:rFonts w:hint="eastAsia" w:ascii="宋体" w:hAnsi="宋体" w:cs="宋体"/>
          <w:kern w:val="0"/>
          <w:szCs w:val="21"/>
          <w:highlight w:val="none"/>
        </w:rPr>
        <w:t>每日上午8:30至12:00，下午14:00至17:00（北京时间），持法定代表人身份证明或授权委托书（附法定代表人身份证明）、个人身份证到</w:t>
      </w:r>
      <w:r>
        <w:rPr>
          <w:rFonts w:hint="eastAsia" w:ascii="宋体" w:hAnsi="宋体" w:cs="宋体"/>
          <w:kern w:val="0"/>
          <w:szCs w:val="21"/>
          <w:highlight w:val="none"/>
          <w:lang w:val="en-US" w:eastAsia="zh-CN"/>
        </w:rPr>
        <w:t>湖南省</w:t>
      </w:r>
      <w:r>
        <w:rPr>
          <w:rFonts w:hint="eastAsia" w:ascii="宋体" w:hAnsi="宋体" w:cs="宋体"/>
          <w:highlight w:val="none"/>
        </w:rPr>
        <w:t>长沙市雨花区湘府中路117号高升金典商务楼12层</w:t>
      </w:r>
      <w:r>
        <w:rPr>
          <w:rFonts w:hint="eastAsia" w:ascii="宋体" w:hAnsi="宋体" w:cs="宋体"/>
          <w:kern w:val="0"/>
          <w:szCs w:val="21"/>
          <w:highlight w:val="none"/>
        </w:rPr>
        <w:t>（</w:t>
      </w:r>
      <w:r>
        <w:rPr>
          <w:rFonts w:hint="eastAsia" w:ascii="宋体" w:hAnsi="宋体" w:cs="宋体"/>
          <w:highlight w:val="none"/>
        </w:rPr>
        <w:t>中技建设咨询有限公司</w:t>
      </w:r>
      <w:r>
        <w:rPr>
          <w:rFonts w:hint="eastAsia" w:ascii="宋体" w:hAnsi="宋体" w:cs="宋体"/>
          <w:kern w:val="0"/>
          <w:szCs w:val="21"/>
          <w:highlight w:val="none"/>
        </w:rPr>
        <w:t>）获取磋商文件。</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rPr>
        <w:t>2、磋商文件每份人民币</w:t>
      </w:r>
      <w:r>
        <w:rPr>
          <w:rFonts w:hint="eastAsia" w:ascii="宋体" w:hAnsi="宋体" w:cs="宋体"/>
          <w:kern w:val="0"/>
          <w:szCs w:val="21"/>
          <w:highlight w:val="none"/>
          <w:lang w:val="en-US" w:eastAsia="zh-CN"/>
        </w:rPr>
        <w:t>0</w:t>
      </w:r>
      <w:r>
        <w:rPr>
          <w:rFonts w:hint="eastAsia" w:ascii="宋体" w:hAnsi="宋体" w:cs="宋体"/>
          <w:kern w:val="0"/>
          <w:szCs w:val="21"/>
          <w:highlight w:val="none"/>
        </w:rPr>
        <w:t>元。</w:t>
      </w:r>
    </w:p>
    <w:p>
      <w:pPr>
        <w:keepNext w:val="0"/>
        <w:keepLines w:val="0"/>
        <w:pageBreakBefore w:val="0"/>
        <w:kinsoku/>
        <w:wordWrap/>
        <w:overflowPunct/>
        <w:topLinePunct w:val="0"/>
        <w:autoSpaceDE/>
        <w:autoSpaceDN/>
        <w:bidi w:val="0"/>
        <w:adjustRightInd w:val="0"/>
        <w:snapToGrid w:val="0"/>
        <w:spacing w:before="120" w:beforeLines="50" w:after="120" w:afterLines="50" w:line="360" w:lineRule="auto"/>
        <w:ind w:firstLine="420" w:firstLineChars="200"/>
        <w:textAlignment w:val="auto"/>
        <w:rPr>
          <w:rFonts w:hint="eastAsia" w:ascii="宋体" w:hAnsi="宋体" w:cs="宋体"/>
          <w:highlight w:val="none"/>
        </w:rPr>
      </w:pPr>
      <w:r>
        <w:rPr>
          <w:rFonts w:hint="eastAsia" w:ascii="宋体" w:hAnsi="宋体" w:cs="宋体"/>
          <w:szCs w:val="21"/>
          <w:highlight w:val="none"/>
        </w:rPr>
        <w:t>3、本磋商文件</w:t>
      </w:r>
      <w:r>
        <w:rPr>
          <w:rFonts w:hint="eastAsia" w:ascii="宋体" w:hAnsi="宋体" w:cs="宋体"/>
          <w:szCs w:val="21"/>
          <w:highlight w:val="none"/>
          <w:lang w:eastAsia="zh-CN"/>
        </w:rPr>
        <w:t>邀请</w:t>
      </w:r>
      <w:r>
        <w:rPr>
          <w:rFonts w:hint="eastAsia" w:ascii="宋体" w:hAnsi="宋体" w:cs="宋体"/>
          <w:szCs w:val="21"/>
          <w:highlight w:val="none"/>
        </w:rPr>
        <w:t>公告期为</w:t>
      </w:r>
      <w:r>
        <w:rPr>
          <w:rFonts w:hint="eastAsia" w:ascii="宋体" w:hAnsi="宋体" w:cs="宋体"/>
          <w:kern w:val="0"/>
          <w:szCs w:val="21"/>
          <w:highlight w:val="none"/>
          <w:lang w:eastAsia="zh-CN"/>
        </w:rPr>
        <w:t>2023</w:t>
      </w:r>
      <w:r>
        <w:rPr>
          <w:rFonts w:hint="eastAsia" w:ascii="宋体" w:hAnsi="宋体" w:cs="宋体"/>
          <w:kern w:val="0"/>
          <w:szCs w:val="21"/>
          <w:highlight w:val="none"/>
        </w:rPr>
        <w:t>年</w:t>
      </w:r>
      <w:r>
        <w:rPr>
          <w:rFonts w:hint="default" w:ascii="宋体" w:hAnsi="宋体" w:cs="宋体"/>
          <w:kern w:val="0"/>
          <w:szCs w:val="21"/>
          <w:highlight w:val="none"/>
        </w:rPr>
        <w:t>08</w:t>
      </w:r>
      <w:r>
        <w:rPr>
          <w:rFonts w:hint="eastAsia" w:ascii="宋体" w:hAnsi="宋体" w:cs="宋体"/>
          <w:kern w:val="0"/>
          <w:szCs w:val="21"/>
          <w:highlight w:val="none"/>
        </w:rPr>
        <w:t>月</w:t>
      </w:r>
      <w:r>
        <w:rPr>
          <w:rFonts w:hint="default" w:ascii="宋体" w:hAnsi="宋体" w:cs="宋体"/>
          <w:kern w:val="0"/>
          <w:szCs w:val="21"/>
          <w:highlight w:val="none"/>
        </w:rPr>
        <w:t>31</w:t>
      </w:r>
      <w:r>
        <w:rPr>
          <w:rFonts w:hint="eastAsia" w:ascii="宋体" w:hAnsi="宋体" w:cs="宋体"/>
          <w:szCs w:val="21"/>
          <w:highlight w:val="none"/>
        </w:rPr>
        <w:t>日起至</w:t>
      </w:r>
      <w:r>
        <w:rPr>
          <w:rFonts w:hint="eastAsia" w:ascii="宋体" w:hAnsi="宋体" w:cs="宋体"/>
          <w:kern w:val="0"/>
          <w:szCs w:val="21"/>
          <w:highlight w:val="none"/>
          <w:lang w:eastAsia="zh-CN"/>
        </w:rPr>
        <w:t>2023</w:t>
      </w:r>
      <w:r>
        <w:rPr>
          <w:rFonts w:hint="eastAsia" w:ascii="宋体" w:hAnsi="宋体" w:cs="宋体"/>
          <w:kern w:val="0"/>
          <w:szCs w:val="21"/>
          <w:highlight w:val="none"/>
        </w:rPr>
        <w:t>年</w:t>
      </w:r>
      <w:r>
        <w:rPr>
          <w:rFonts w:hint="default" w:ascii="宋体" w:hAnsi="宋体" w:cs="宋体"/>
          <w:kern w:val="0"/>
          <w:szCs w:val="21"/>
          <w:highlight w:val="none"/>
        </w:rPr>
        <w:t>09</w:t>
      </w:r>
      <w:r>
        <w:rPr>
          <w:rFonts w:hint="eastAsia" w:ascii="宋体" w:hAnsi="宋体" w:cs="宋体"/>
          <w:kern w:val="0"/>
          <w:szCs w:val="21"/>
          <w:highlight w:val="none"/>
        </w:rPr>
        <w:t>月</w:t>
      </w:r>
      <w:r>
        <w:rPr>
          <w:rFonts w:hint="default" w:ascii="宋体" w:hAnsi="宋体" w:cs="宋体"/>
          <w:kern w:val="0"/>
          <w:szCs w:val="21"/>
          <w:highlight w:val="none"/>
        </w:rPr>
        <w:t>0</w:t>
      </w:r>
      <w:r>
        <w:rPr>
          <w:rFonts w:hint="eastAsia" w:ascii="宋体" w:hAnsi="宋体" w:cs="宋体"/>
          <w:kern w:val="0"/>
          <w:szCs w:val="21"/>
          <w:highlight w:val="none"/>
          <w:lang w:val="en-US" w:eastAsia="zh-CN"/>
        </w:rPr>
        <w:t>5</w:t>
      </w:r>
      <w:r>
        <w:rPr>
          <w:rFonts w:hint="eastAsia" w:ascii="宋体" w:hAnsi="宋体" w:cs="宋体"/>
          <w:kern w:val="0"/>
          <w:szCs w:val="21"/>
          <w:highlight w:val="none"/>
        </w:rPr>
        <w:t>日</w:t>
      </w:r>
      <w:r>
        <w:rPr>
          <w:rFonts w:hint="eastAsia" w:ascii="宋体" w:hAnsi="宋体" w:cs="宋体"/>
          <w:szCs w:val="21"/>
          <w:highlight w:val="none"/>
        </w:rPr>
        <w:t>。</w:t>
      </w:r>
    </w:p>
    <w:p>
      <w:pPr>
        <w:keepNext w:val="0"/>
        <w:keepLines w:val="0"/>
        <w:pageBreakBefore w:val="0"/>
        <w:numPr>
          <w:ilvl w:val="0"/>
          <w:numId w:val="1"/>
        </w:numPr>
        <w:kinsoku/>
        <w:wordWrap/>
        <w:overflowPunct/>
        <w:topLinePunct w:val="0"/>
        <w:autoSpaceDE/>
        <w:autoSpaceDN/>
        <w:bidi w:val="0"/>
        <w:adjustRightInd w:val="0"/>
        <w:snapToGrid w:val="0"/>
        <w:spacing w:before="240" w:beforeLines="100" w:after="120" w:afterLines="50" w:line="360" w:lineRule="auto"/>
        <w:ind w:left="0" w:firstLine="0"/>
        <w:textAlignment w:val="auto"/>
        <w:rPr>
          <w:rFonts w:hint="eastAsia" w:ascii="宋体" w:hAnsi="宋体" w:cs="宋体"/>
          <w:b/>
          <w:highlight w:val="none"/>
        </w:rPr>
      </w:pPr>
      <w:r>
        <w:rPr>
          <w:rFonts w:hint="eastAsia" w:ascii="宋体" w:hAnsi="宋体" w:cs="宋体"/>
          <w:b/>
          <w:highlight w:val="none"/>
        </w:rPr>
        <w:t>响应文件提交的截止时间、开启时间及地点</w:t>
      </w:r>
    </w:p>
    <w:p>
      <w:pPr>
        <w:keepNext w:val="0"/>
        <w:keepLines w:val="0"/>
        <w:pageBreakBefore w:val="0"/>
        <w:widowControl/>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kern w:val="0"/>
          <w:szCs w:val="21"/>
          <w:highlight w:val="none"/>
        </w:rPr>
      </w:pPr>
      <w:r>
        <w:rPr>
          <w:rFonts w:hint="eastAsia" w:ascii="宋体" w:hAnsi="宋体" w:cs="宋体"/>
          <w:kern w:val="0"/>
          <w:szCs w:val="21"/>
          <w:highlight w:val="none"/>
        </w:rPr>
        <w:t>1、提交首次响应文件的截止时间</w:t>
      </w:r>
      <w:r>
        <w:rPr>
          <w:rFonts w:hint="eastAsia" w:ascii="宋体" w:hAnsi="宋体" w:cs="宋体"/>
          <w:color w:val="auto"/>
          <w:kern w:val="0"/>
          <w:szCs w:val="21"/>
          <w:highlight w:val="none"/>
        </w:rPr>
        <w:t>为</w:t>
      </w:r>
      <w:r>
        <w:rPr>
          <w:rFonts w:hint="eastAsia" w:ascii="宋体" w:hAnsi="宋体" w:cs="宋体"/>
          <w:color w:val="auto"/>
          <w:kern w:val="0"/>
          <w:szCs w:val="21"/>
          <w:highlight w:val="none"/>
          <w:lang w:eastAsia="zh-CN"/>
        </w:rPr>
        <w:t>2023</w:t>
      </w:r>
      <w:r>
        <w:rPr>
          <w:rFonts w:hint="eastAsia" w:ascii="宋体" w:hAnsi="宋体" w:cs="宋体"/>
          <w:color w:val="auto"/>
          <w:kern w:val="0"/>
          <w:szCs w:val="21"/>
          <w:highlight w:val="none"/>
        </w:rPr>
        <w:t>年</w:t>
      </w:r>
      <w:r>
        <w:rPr>
          <w:rFonts w:hint="default" w:ascii="宋体" w:hAnsi="宋体" w:cs="宋体"/>
          <w:color w:val="auto"/>
          <w:kern w:val="0"/>
          <w:szCs w:val="21"/>
          <w:highlight w:val="none"/>
        </w:rPr>
        <w:t>09月11</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val="en-US" w:eastAsia="zh-CN"/>
        </w:rPr>
        <w:t xml:space="preserve">09 </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0分</w:t>
      </w:r>
      <w:r>
        <w:rPr>
          <w:rFonts w:hint="eastAsia" w:ascii="宋体" w:hAnsi="宋体" w:cs="宋体"/>
          <w:color w:val="auto"/>
          <w:kern w:val="0"/>
          <w:szCs w:val="21"/>
          <w:highlight w:val="none"/>
        </w:rPr>
        <w:t>（北京时间），</w:t>
      </w:r>
      <w:r>
        <w:rPr>
          <w:rFonts w:hint="eastAsia" w:ascii="宋体" w:hAnsi="宋体" w:cs="宋体"/>
          <w:kern w:val="0"/>
          <w:szCs w:val="21"/>
          <w:highlight w:val="none"/>
        </w:rPr>
        <w:t>地点为</w:t>
      </w:r>
      <w:r>
        <w:rPr>
          <w:rFonts w:hint="eastAsia" w:ascii="宋体" w:hAnsi="宋体" w:cs="宋体"/>
          <w:kern w:val="0"/>
          <w:szCs w:val="21"/>
          <w:highlight w:val="none"/>
          <w:lang w:val="en-US" w:eastAsia="zh-CN"/>
        </w:rPr>
        <w:t>湖南省</w:t>
      </w:r>
      <w:r>
        <w:rPr>
          <w:rFonts w:hint="eastAsia" w:ascii="宋体" w:hAnsi="宋体" w:cs="宋体"/>
          <w:highlight w:val="none"/>
        </w:rPr>
        <w:t>长沙市雨花区湘府中路117号高升金典商务楼18层（中技建设咨</w:t>
      </w:r>
      <w:r>
        <w:rPr>
          <w:rFonts w:hint="eastAsia" w:ascii="宋体" w:hAnsi="宋体" w:cs="宋体"/>
          <w:highlight w:val="none"/>
        </w:rPr>
        <w:t>询有限公司会议中心）。</w:t>
      </w:r>
      <w:r>
        <w:rPr>
          <w:rFonts w:hint="eastAsia" w:ascii="宋体" w:hAnsi="宋体" w:cs="宋体"/>
          <w:kern w:val="0"/>
          <w:szCs w:val="21"/>
          <w:highlight w:val="none"/>
        </w:rPr>
        <w:t>在截止时间后送达的响应文件为无效文件，采购人、采购代理机构或者磋商小组应当拒收。</w:t>
      </w:r>
    </w:p>
    <w:p>
      <w:pPr>
        <w:keepNext w:val="0"/>
        <w:keepLines w:val="0"/>
        <w:pageBreakBefore w:val="0"/>
        <w:widowControl/>
        <w:kinsoku/>
        <w:wordWrap/>
        <w:overflowPunct/>
        <w:topLinePunct w:val="0"/>
        <w:autoSpaceDE/>
        <w:autoSpaceDN/>
        <w:bidi w:val="0"/>
        <w:snapToGrid w:val="0"/>
        <w:spacing w:line="360" w:lineRule="auto"/>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highlight w:val="none"/>
        </w:rPr>
        <w:t>首次响应文件的开启时间及地点与提交首次响应文件的截止时间及地点为同一时间及地点</w:t>
      </w:r>
      <w:r>
        <w:rPr>
          <w:rFonts w:hint="eastAsia" w:ascii="宋体" w:hAnsi="宋体" w:cs="宋体"/>
          <w:szCs w:val="21"/>
          <w:highlight w:val="none"/>
        </w:rPr>
        <w:t>。</w:t>
      </w:r>
    </w:p>
    <w:p>
      <w:pPr>
        <w:keepNext w:val="0"/>
        <w:keepLines w:val="0"/>
        <w:pageBreakBefore w:val="0"/>
        <w:numPr>
          <w:ilvl w:val="0"/>
          <w:numId w:val="1"/>
        </w:numPr>
        <w:kinsoku/>
        <w:wordWrap/>
        <w:overflowPunct/>
        <w:topLinePunct w:val="0"/>
        <w:autoSpaceDE/>
        <w:autoSpaceDN/>
        <w:bidi w:val="0"/>
        <w:adjustRightInd w:val="0"/>
        <w:snapToGrid w:val="0"/>
        <w:spacing w:before="240" w:beforeLines="100" w:after="120" w:afterLines="50" w:line="360" w:lineRule="auto"/>
        <w:ind w:left="0" w:firstLine="0"/>
        <w:textAlignment w:val="auto"/>
        <w:rPr>
          <w:rFonts w:hint="eastAsia" w:ascii="宋体" w:hAnsi="宋体" w:eastAsia="宋体" w:cs="宋体"/>
          <w:b/>
          <w:highlight w:val="none"/>
        </w:rPr>
      </w:pPr>
      <w:r>
        <w:rPr>
          <w:rFonts w:hint="eastAsia" w:ascii="宋体" w:hAnsi="宋体" w:eastAsia="宋体" w:cs="宋体"/>
          <w:b/>
          <w:highlight w:val="none"/>
        </w:rPr>
        <w:t>监督部门</w:t>
      </w:r>
    </w:p>
    <w:p>
      <w:pPr>
        <w:adjustRightInd w:val="0"/>
        <w:snapToGrid w:val="0"/>
        <w:spacing w:line="360" w:lineRule="auto"/>
        <w:ind w:firstLine="420" w:firstLineChars="200"/>
        <w:rPr>
          <w:rFonts w:hint="eastAsia" w:ascii="宋体" w:hAnsi="宋体" w:eastAsia="宋体" w:cs="Times New Roman"/>
          <w:highlight w:val="none"/>
          <w:lang w:eastAsia="zh-CN"/>
        </w:rPr>
      </w:pPr>
      <w:r>
        <w:rPr>
          <w:rFonts w:hint="eastAsia" w:ascii="宋体" w:hAnsi="宋体" w:eastAsia="宋体" w:cs="Times New Roman"/>
          <w:highlight w:val="none"/>
          <w:lang w:eastAsia="zh-CN"/>
        </w:rPr>
        <w:t>本项目接</w:t>
      </w:r>
      <w:r>
        <w:rPr>
          <w:rFonts w:hint="eastAsia" w:ascii="宋体" w:hAnsi="宋体" w:eastAsia="宋体" w:cs="Times New Roman"/>
          <w:highlight w:val="none"/>
          <w:u w:val="none"/>
          <w:lang w:eastAsia="zh-CN"/>
        </w:rPr>
        <w:t>受湖南智谷投资发展集团有限公司审计监察部监督。</w:t>
      </w:r>
    </w:p>
    <w:p>
      <w:pPr>
        <w:adjustRightInd w:val="0"/>
        <w:snapToGrid w:val="0"/>
        <w:spacing w:line="360" w:lineRule="auto"/>
        <w:ind w:firstLine="420" w:firstLineChars="200"/>
        <w:rPr>
          <w:rFonts w:hint="eastAsia"/>
          <w:highlight w:val="none"/>
        </w:rPr>
      </w:pPr>
      <w:r>
        <w:rPr>
          <w:rFonts w:hint="eastAsia" w:ascii="宋体" w:hAnsi="宋体" w:eastAsia="宋体" w:cs="Times New Roman"/>
          <w:highlight w:val="none"/>
          <w:lang w:eastAsia="zh-CN"/>
        </w:rPr>
        <w:t>电话：0731-</w:t>
      </w:r>
      <w:r>
        <w:rPr>
          <w:rFonts w:hint="default" w:ascii="宋体" w:hAnsi="宋体" w:eastAsia="宋体" w:cs="Times New Roman"/>
          <w:highlight w:val="none"/>
          <w:lang w:val="en-US" w:eastAsia="zh-CN"/>
        </w:rPr>
        <w:t>85581812</w:t>
      </w:r>
    </w:p>
    <w:p>
      <w:pPr>
        <w:keepNext w:val="0"/>
        <w:keepLines w:val="0"/>
        <w:pageBreakBefore w:val="0"/>
        <w:numPr>
          <w:ilvl w:val="0"/>
          <w:numId w:val="1"/>
        </w:numPr>
        <w:kinsoku/>
        <w:wordWrap/>
        <w:overflowPunct/>
        <w:topLinePunct w:val="0"/>
        <w:autoSpaceDE/>
        <w:autoSpaceDN/>
        <w:bidi w:val="0"/>
        <w:adjustRightInd w:val="0"/>
        <w:snapToGrid w:val="0"/>
        <w:spacing w:before="240" w:beforeLines="100" w:after="120" w:afterLines="50" w:line="360" w:lineRule="auto"/>
        <w:ind w:left="0" w:firstLine="0"/>
        <w:textAlignment w:val="auto"/>
        <w:rPr>
          <w:rFonts w:hint="eastAsia" w:ascii="宋体" w:hAnsi="宋体" w:cs="宋体"/>
          <w:b/>
          <w:szCs w:val="21"/>
          <w:highlight w:val="none"/>
        </w:rPr>
      </w:pPr>
      <w:r>
        <w:rPr>
          <w:rFonts w:hint="eastAsia" w:ascii="宋体" w:hAnsi="宋体" w:cs="宋体"/>
          <w:b/>
          <w:highlight w:val="none"/>
        </w:rPr>
        <w:t>采购项目联系人姓名和电话</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采</w:t>
      </w:r>
      <w:r>
        <w:rPr>
          <w:rFonts w:ascii="宋体" w:hAnsi="宋体"/>
          <w:color w:val="auto"/>
          <w:highlight w:val="none"/>
        </w:rPr>
        <w:t xml:space="preserve"> </w:t>
      </w:r>
      <w:r>
        <w:rPr>
          <w:rFonts w:hint="eastAsia" w:ascii="宋体" w:hAnsi="宋体"/>
          <w:color w:val="auto"/>
          <w:highlight w:val="none"/>
        </w:rPr>
        <w:t>购</w:t>
      </w:r>
      <w:r>
        <w:rPr>
          <w:rFonts w:ascii="宋体" w:hAnsi="宋体"/>
          <w:color w:val="auto"/>
          <w:highlight w:val="none"/>
        </w:rPr>
        <w:t xml:space="preserve"> </w:t>
      </w:r>
      <w:r>
        <w:rPr>
          <w:rFonts w:hint="eastAsia" w:ascii="宋体" w:hAnsi="宋体"/>
          <w:color w:val="auto"/>
          <w:highlight w:val="none"/>
        </w:rPr>
        <w:t>人：</w:t>
      </w:r>
      <w:r>
        <w:rPr>
          <w:rFonts w:hint="eastAsia" w:ascii="宋体" w:hAnsi="宋体" w:eastAsia="宋体" w:cs="宋体"/>
          <w:kern w:val="0"/>
          <w:szCs w:val="21"/>
          <w:highlight w:val="none"/>
          <w:lang w:eastAsia="zh-CN"/>
        </w:rPr>
        <w:t>湖南智谷投资发展集团有限公司</w:t>
      </w:r>
      <w:r>
        <w:rPr>
          <w:rFonts w:ascii="宋体" w:hAnsi="宋体"/>
          <w:color w:val="auto"/>
          <w:highlight w:val="none"/>
        </w:rPr>
        <w:t xml:space="preserve">             </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联 系 人：杨先生</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电    话：0731-84637215</w:t>
      </w:r>
    </w:p>
    <w:p>
      <w:pPr>
        <w:adjustRightInd w:val="0"/>
        <w:snapToGrid w:val="0"/>
        <w:spacing w:line="360" w:lineRule="auto"/>
        <w:ind w:left="420" w:leftChars="200"/>
        <w:rPr>
          <w:rFonts w:hint="eastAsia" w:ascii="宋体" w:hAnsi="宋体" w:eastAsia="宋体"/>
          <w:color w:val="auto"/>
          <w:highlight w:val="none"/>
          <w:lang w:eastAsia="zh-CN"/>
        </w:rPr>
      </w:pPr>
      <w:r>
        <w:rPr>
          <w:rFonts w:hint="eastAsia" w:ascii="宋体" w:hAnsi="宋体"/>
          <w:color w:val="auto"/>
          <w:highlight w:val="none"/>
        </w:rPr>
        <w:t>地</w:t>
      </w:r>
      <w:r>
        <w:rPr>
          <w:rFonts w:ascii="宋体" w:hAnsi="宋体"/>
          <w:color w:val="auto"/>
          <w:highlight w:val="none"/>
        </w:rPr>
        <w:t xml:space="preserve">    </w:t>
      </w:r>
      <w:r>
        <w:rPr>
          <w:rFonts w:hint="eastAsia" w:ascii="宋体" w:hAnsi="宋体"/>
          <w:color w:val="auto"/>
          <w:highlight w:val="none"/>
        </w:rPr>
        <w:t>址：</w:t>
      </w:r>
      <w:r>
        <w:rPr>
          <w:rFonts w:hint="eastAsia" w:ascii="宋体" w:hAnsi="宋体" w:cs="宋体"/>
          <w:szCs w:val="21"/>
          <w:highlight w:val="none"/>
          <w:lang w:eastAsia="zh-CN"/>
        </w:rPr>
        <w:t>湖南省检验检测特色产业园（长沙市岳麓区学士路336号）A1栋23楼</w:t>
      </w:r>
    </w:p>
    <w:p>
      <w:pPr>
        <w:adjustRightInd w:val="0"/>
        <w:snapToGrid w:val="0"/>
        <w:spacing w:line="360" w:lineRule="auto"/>
        <w:ind w:firstLine="424" w:firstLineChars="202"/>
        <w:rPr>
          <w:rFonts w:hint="eastAsia" w:ascii="宋体" w:hAnsi="宋体"/>
          <w:color w:val="auto"/>
          <w:highlight w:val="none"/>
        </w:rPr>
      </w:pP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代理机构：</w:t>
      </w:r>
      <w:r>
        <w:rPr>
          <w:rFonts w:hint="eastAsia" w:ascii="宋体" w:hAnsi="宋体" w:cs="宋体"/>
          <w:szCs w:val="21"/>
          <w:highlight w:val="none"/>
        </w:rPr>
        <w:t>中技建设咨询有限公司</w:t>
      </w:r>
      <w:r>
        <w:rPr>
          <w:rFonts w:hint="eastAsia" w:ascii="宋体" w:hAnsi="宋体" w:cs="宋体"/>
          <w:szCs w:val="21"/>
          <w:highlight w:val="none"/>
        </w:rPr>
        <w:tab/>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w:t>
      </w:r>
      <w:bookmarkStart w:id="1" w:name="_GoBack"/>
      <w:r>
        <w:rPr>
          <w:rFonts w:hint="eastAsia" w:ascii="宋体" w:hAnsi="宋体" w:cs="宋体"/>
          <w:kern w:val="0"/>
          <w:szCs w:val="21"/>
          <w:highlight w:val="none"/>
          <w:lang w:val="en-US" w:eastAsia="zh-CN"/>
        </w:rPr>
        <w:t>杨邵芳、</w:t>
      </w:r>
      <w:r>
        <w:rPr>
          <w:rFonts w:hint="eastAsia" w:ascii="宋体" w:hAnsi="宋体" w:cs="宋体"/>
          <w:kern w:val="0"/>
          <w:szCs w:val="21"/>
          <w:highlight w:val="none"/>
        </w:rPr>
        <w:t>凌敏、刘浩</w:t>
      </w:r>
      <w:bookmarkEnd w:id="1"/>
    </w:p>
    <w:p>
      <w:pPr>
        <w:adjustRightInd w:val="0"/>
        <w:snapToGrid w:val="0"/>
        <w:spacing w:line="360" w:lineRule="auto"/>
        <w:ind w:firstLine="424" w:firstLineChars="202"/>
        <w:rPr>
          <w:rFonts w:hint="default" w:ascii="宋体" w:hAnsi="宋体" w:eastAsia="宋体"/>
          <w:color w:val="auto"/>
          <w:highlight w:val="none"/>
          <w:lang w:val="en-US" w:eastAsia="zh-CN"/>
        </w:rPr>
      </w:pPr>
      <w:r>
        <w:rPr>
          <w:rFonts w:hint="eastAsia" w:ascii="宋体" w:hAnsi="宋体"/>
          <w:color w:val="auto"/>
          <w:highlight w:val="none"/>
        </w:rPr>
        <w:t>电</w:t>
      </w:r>
      <w:r>
        <w:rPr>
          <w:rFonts w:ascii="宋体" w:hAnsi="宋体"/>
          <w:color w:val="auto"/>
          <w:highlight w:val="none"/>
        </w:rPr>
        <w:t xml:space="preserve">    </w:t>
      </w:r>
      <w:r>
        <w:rPr>
          <w:rFonts w:hint="eastAsia" w:ascii="宋体" w:hAnsi="宋体"/>
          <w:color w:val="auto"/>
          <w:highlight w:val="none"/>
        </w:rPr>
        <w:t>话：</w:t>
      </w:r>
      <w:r>
        <w:rPr>
          <w:rFonts w:ascii="宋体" w:hAnsi="宋体"/>
          <w:color w:val="auto"/>
          <w:highlight w:val="none"/>
        </w:rPr>
        <w:t>0731-</w:t>
      </w:r>
      <w:r>
        <w:rPr>
          <w:rFonts w:hint="eastAsia" w:ascii="宋体" w:hAnsi="宋体"/>
          <w:color w:val="auto"/>
          <w:highlight w:val="none"/>
          <w:lang w:val="en-US" w:eastAsia="zh-CN"/>
        </w:rPr>
        <w:t>84169660</w:t>
      </w:r>
    </w:p>
    <w:p>
      <w:pPr>
        <w:adjustRightInd w:val="0"/>
        <w:snapToGrid w:val="0"/>
        <w:spacing w:line="360" w:lineRule="auto"/>
        <w:ind w:firstLine="424" w:firstLineChars="202"/>
        <w:rPr>
          <w:rFonts w:ascii="宋体" w:hAnsi="宋体"/>
          <w:color w:val="auto"/>
          <w:highlight w:val="none"/>
        </w:rPr>
      </w:pPr>
      <w:r>
        <w:rPr>
          <w:rFonts w:hint="eastAsia" w:ascii="宋体" w:hAnsi="宋体"/>
          <w:color w:val="auto"/>
          <w:highlight w:val="none"/>
        </w:rPr>
        <w:t>地</w:t>
      </w:r>
      <w:r>
        <w:rPr>
          <w:rFonts w:ascii="宋体" w:hAnsi="宋体"/>
          <w:color w:val="auto"/>
          <w:highlight w:val="none"/>
        </w:rPr>
        <w:t xml:space="preserve">    </w:t>
      </w:r>
      <w:r>
        <w:rPr>
          <w:rFonts w:hint="eastAsia" w:ascii="宋体" w:hAnsi="宋体"/>
          <w:color w:val="auto"/>
          <w:highlight w:val="none"/>
        </w:rPr>
        <w:t>址：</w:t>
      </w:r>
      <w:r>
        <w:rPr>
          <w:rFonts w:hint="eastAsia" w:ascii="宋体" w:hAnsi="宋体" w:cs="宋体"/>
          <w:highlight w:val="none"/>
        </w:rPr>
        <w:t>长沙市雨花区湘府中路117号高升金典商务楼12层</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tabs>
          <w:tab w:val="left" w:pos="0"/>
        </w:tabs>
        <w:ind w:left="420" w:hanging="420"/>
      </w:pPr>
      <w:rPr>
        <w:rFonts w:hint="default"/>
        <w:b/>
        <w:u w:val="none" w:color="auto"/>
        <w:lang w:val="en-US"/>
      </w:rPr>
    </w:lvl>
    <w:lvl w:ilvl="1" w:tentative="0">
      <w:start w:val="1"/>
      <w:numFmt w:val="lowerLetter"/>
      <w:lvlText w:val="%2)"/>
      <w:lvlJc w:val="left"/>
      <w:pPr>
        <w:tabs>
          <w:tab w:val="left" w:pos="0"/>
        </w:tabs>
        <w:ind w:left="840" w:hanging="420"/>
      </w:pPr>
      <w:rPr>
        <w:rFonts w:hint="default"/>
        <w:u w:val="none" w:color="auto"/>
      </w:rPr>
    </w:lvl>
    <w:lvl w:ilvl="2" w:tentative="0">
      <w:start w:val="1"/>
      <w:numFmt w:val="lowerRoman"/>
      <w:lvlText w:val="%3."/>
      <w:lvlJc w:val="right"/>
      <w:pPr>
        <w:tabs>
          <w:tab w:val="left" w:pos="0"/>
        </w:tabs>
        <w:ind w:left="1260" w:hanging="420"/>
      </w:pPr>
      <w:rPr>
        <w:rFonts w:hint="default"/>
        <w:u w:val="none" w:color="auto"/>
      </w:rPr>
    </w:lvl>
    <w:lvl w:ilvl="3" w:tentative="0">
      <w:start w:val="1"/>
      <w:numFmt w:val="decimal"/>
      <w:lvlText w:val="%4."/>
      <w:lvlJc w:val="left"/>
      <w:pPr>
        <w:tabs>
          <w:tab w:val="left" w:pos="0"/>
        </w:tabs>
        <w:ind w:left="1680" w:hanging="420"/>
      </w:pPr>
      <w:rPr>
        <w:rFonts w:hint="default"/>
        <w:u w:val="none" w:color="auto"/>
      </w:rPr>
    </w:lvl>
    <w:lvl w:ilvl="4" w:tentative="0">
      <w:start w:val="1"/>
      <w:numFmt w:val="lowerLetter"/>
      <w:lvlText w:val="%5)"/>
      <w:lvlJc w:val="left"/>
      <w:pPr>
        <w:tabs>
          <w:tab w:val="left" w:pos="0"/>
        </w:tabs>
        <w:ind w:left="2100" w:hanging="420"/>
      </w:pPr>
      <w:rPr>
        <w:rFonts w:hint="default"/>
        <w:u w:val="none" w:color="auto"/>
      </w:rPr>
    </w:lvl>
    <w:lvl w:ilvl="5" w:tentative="0">
      <w:start w:val="1"/>
      <w:numFmt w:val="lowerRoman"/>
      <w:lvlText w:val="%6."/>
      <w:lvlJc w:val="right"/>
      <w:pPr>
        <w:tabs>
          <w:tab w:val="left" w:pos="0"/>
        </w:tabs>
        <w:ind w:left="2520" w:hanging="420"/>
      </w:pPr>
      <w:rPr>
        <w:rFonts w:hint="default"/>
        <w:u w:val="none" w:color="auto"/>
      </w:rPr>
    </w:lvl>
    <w:lvl w:ilvl="6" w:tentative="0">
      <w:start w:val="1"/>
      <w:numFmt w:val="decimal"/>
      <w:lvlText w:val="%7."/>
      <w:lvlJc w:val="left"/>
      <w:pPr>
        <w:tabs>
          <w:tab w:val="left" w:pos="0"/>
        </w:tabs>
        <w:ind w:left="2940" w:hanging="420"/>
      </w:pPr>
      <w:rPr>
        <w:rFonts w:hint="default"/>
        <w:u w:val="none" w:color="auto"/>
      </w:rPr>
    </w:lvl>
    <w:lvl w:ilvl="7" w:tentative="0">
      <w:start w:val="1"/>
      <w:numFmt w:val="lowerLetter"/>
      <w:lvlText w:val="%8)"/>
      <w:lvlJc w:val="left"/>
      <w:pPr>
        <w:tabs>
          <w:tab w:val="left" w:pos="0"/>
        </w:tabs>
        <w:ind w:left="3360" w:hanging="420"/>
      </w:pPr>
      <w:rPr>
        <w:rFonts w:hint="default"/>
        <w:u w:val="none" w:color="auto"/>
      </w:rPr>
    </w:lvl>
    <w:lvl w:ilvl="8" w:tentative="0">
      <w:start w:val="1"/>
      <w:numFmt w:val="lowerRoman"/>
      <w:lvlText w:val="%9."/>
      <w:lvlJc w:val="right"/>
      <w:pPr>
        <w:tabs>
          <w:tab w:val="left" w:pos="0"/>
        </w:tabs>
        <w:ind w:left="3780" w:hanging="420"/>
      </w:pPr>
      <w:rPr>
        <w:rFonts w:hint="default"/>
        <w:u w:val="none" w:color="auto"/>
      </w:rPr>
    </w:lvl>
  </w:abstractNum>
  <w:abstractNum w:abstractNumId="1">
    <w:nsid w:val="00000002"/>
    <w:multiLevelType w:val="multilevel"/>
    <w:tmpl w:val="00000002"/>
    <w:lvl w:ilvl="0" w:tentative="0">
      <w:start w:val="1"/>
      <w:numFmt w:val="decimal"/>
      <w:lvlText w:val="%1、"/>
      <w:lvlJc w:val="left"/>
      <w:pPr>
        <w:tabs>
          <w:tab w:val="left" w:pos="0"/>
        </w:tabs>
        <w:ind w:left="420" w:hanging="420"/>
      </w:pPr>
      <w:rPr>
        <w:rFonts w:hint="default"/>
        <w:b/>
        <w:lang w:val="en-US"/>
      </w:rPr>
    </w:lvl>
    <w:lvl w:ilvl="1" w:tentative="0">
      <w:start w:val="1"/>
      <w:numFmt w:val="lowerLetter"/>
      <w:lvlText w:val="%2)"/>
      <w:lvlJc w:val="left"/>
      <w:pPr>
        <w:tabs>
          <w:tab w:val="left" w:pos="0"/>
        </w:tabs>
        <w:ind w:left="840" w:hanging="420"/>
      </w:pPr>
      <w:rPr>
        <w:rFonts w:hint="default"/>
      </w:rPr>
    </w:lvl>
    <w:lvl w:ilvl="2" w:tentative="0">
      <w:start w:val="1"/>
      <w:numFmt w:val="lowerRoman"/>
      <w:lvlText w:val="%3."/>
      <w:lvlJc w:val="right"/>
      <w:pPr>
        <w:tabs>
          <w:tab w:val="left" w:pos="0"/>
        </w:tabs>
        <w:ind w:left="1260" w:hanging="420"/>
      </w:pPr>
      <w:rPr>
        <w:rFonts w:hint="default"/>
      </w:rPr>
    </w:lvl>
    <w:lvl w:ilvl="3" w:tentative="0">
      <w:start w:val="1"/>
      <w:numFmt w:val="decimal"/>
      <w:lvlText w:val="%4."/>
      <w:lvlJc w:val="left"/>
      <w:pPr>
        <w:tabs>
          <w:tab w:val="left" w:pos="0"/>
        </w:tabs>
        <w:ind w:left="1680" w:hanging="420"/>
      </w:pPr>
      <w:rPr>
        <w:rFonts w:hint="default"/>
      </w:rPr>
    </w:lvl>
    <w:lvl w:ilvl="4" w:tentative="0">
      <w:start w:val="1"/>
      <w:numFmt w:val="lowerLetter"/>
      <w:lvlText w:val="%5)"/>
      <w:lvlJc w:val="left"/>
      <w:pPr>
        <w:tabs>
          <w:tab w:val="left" w:pos="0"/>
        </w:tabs>
        <w:ind w:left="2100" w:hanging="420"/>
      </w:pPr>
      <w:rPr>
        <w:rFonts w:hint="default"/>
      </w:rPr>
    </w:lvl>
    <w:lvl w:ilvl="5" w:tentative="0">
      <w:start w:val="1"/>
      <w:numFmt w:val="lowerRoman"/>
      <w:lvlText w:val="%6."/>
      <w:lvlJc w:val="right"/>
      <w:pPr>
        <w:tabs>
          <w:tab w:val="left" w:pos="0"/>
        </w:tabs>
        <w:ind w:left="2520" w:hanging="420"/>
      </w:pPr>
      <w:rPr>
        <w:rFonts w:hint="default"/>
      </w:rPr>
    </w:lvl>
    <w:lvl w:ilvl="6" w:tentative="0">
      <w:start w:val="1"/>
      <w:numFmt w:val="decimal"/>
      <w:lvlText w:val="%7."/>
      <w:lvlJc w:val="left"/>
      <w:pPr>
        <w:tabs>
          <w:tab w:val="left" w:pos="0"/>
        </w:tabs>
        <w:ind w:left="2940" w:hanging="420"/>
      </w:pPr>
      <w:rPr>
        <w:rFonts w:hint="default"/>
      </w:rPr>
    </w:lvl>
    <w:lvl w:ilvl="7" w:tentative="0">
      <w:start w:val="1"/>
      <w:numFmt w:val="lowerLetter"/>
      <w:lvlText w:val="%8)"/>
      <w:lvlJc w:val="left"/>
      <w:pPr>
        <w:tabs>
          <w:tab w:val="left" w:pos="0"/>
        </w:tabs>
        <w:ind w:left="3360" w:hanging="420"/>
      </w:pPr>
      <w:rPr>
        <w:rFonts w:hint="default"/>
      </w:rPr>
    </w:lvl>
    <w:lvl w:ilvl="8" w:tentative="0">
      <w:start w:val="1"/>
      <w:numFmt w:val="lowerRoman"/>
      <w:lvlText w:val="%9."/>
      <w:lvlJc w:val="right"/>
      <w:pPr>
        <w:tabs>
          <w:tab w:val="left" w:pos="0"/>
        </w:tabs>
        <w:ind w:left="378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YTYzZWM1N2QxNGU2ZjAwOGNiYTUzNGUwYmExNTYifQ=="/>
  </w:docVars>
  <w:rsids>
    <w:rsidRoot w:val="1A615582"/>
    <w:rsid w:val="1A615582"/>
    <w:rsid w:val="73881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spacing w:before="100" w:beforeAutospacing="1"/>
      <w:ind w:firstLine="420" w:firstLineChars="200"/>
    </w:pPr>
    <w:rPr>
      <w:rFonts w:ascii="Times New Roman" w:hAnsi="Times New Roman" w:eastAsia="宋体" w:cs="Times New Roman"/>
      <w:szCs w:val="21"/>
    </w:rPr>
  </w:style>
  <w:style w:type="paragraph" w:styleId="3">
    <w:name w:val="Body Text Indent"/>
    <w:basedOn w:val="1"/>
    <w:uiPriority w:val="0"/>
    <w:pPr>
      <w:spacing w:after="120"/>
      <w:ind w:left="420" w:leftChars="200"/>
    </w:pPr>
    <w:rPr>
      <w:rFonts w:ascii="宋体" w:hAnsi="宋体" w:eastAsia="宋体"/>
    </w:rPr>
  </w:style>
  <w:style w:type="paragraph" w:styleId="4">
    <w:name w:val="Plain Text"/>
    <w:basedOn w:val="1"/>
    <w:next w:val="5"/>
    <w:qFormat/>
    <w:uiPriority w:val="0"/>
    <w:rPr>
      <w:rFonts w:ascii="宋体" w:hAnsi="Courier New" w:eastAsia="宋体" w:cs="Courier New"/>
      <w:szCs w:val="21"/>
    </w:rPr>
  </w:style>
  <w:style w:type="paragraph" w:styleId="5">
    <w:name w:val="toc 2"/>
    <w:basedOn w:val="1"/>
    <w:next w:val="1"/>
    <w:uiPriority w:val="39"/>
    <w:pPr>
      <w:spacing w:line="400" w:lineRule="exact"/>
      <w:ind w:left="200" w:leftChars="200"/>
    </w:pPr>
    <w:rPr>
      <w:rFonts w:ascii="Calibri" w:hAnsi="Calibri"/>
      <w:sz w:val="24"/>
    </w:rPr>
  </w:style>
  <w:style w:type="paragraph" w:styleId="6">
    <w:name w:val="footer"/>
    <w:basedOn w:val="1"/>
    <w:uiPriority w:val="99"/>
    <w:pPr>
      <w:tabs>
        <w:tab w:val="center" w:pos="4153"/>
        <w:tab w:val="right" w:pos="8306"/>
      </w:tabs>
      <w:snapToGrid w:val="0"/>
      <w:jc w:val="left"/>
    </w:pPr>
    <w:rPr>
      <w:rFonts w:ascii="Calibri" w:eastAsia="宋体"/>
      <w:sz w:val="18"/>
      <w:szCs w:val="18"/>
    </w:rPr>
  </w:style>
  <w:style w:type="paragraph" w:styleId="7">
    <w:name w:val="header"/>
    <w:basedOn w:val="1"/>
    <w:uiPriority w:val="0"/>
    <w:pPr>
      <w:pBdr>
        <w:bottom w:val="thickThinSmallGap" w:color="auto" w:sz="12" w:space="1"/>
      </w:pBdr>
      <w:tabs>
        <w:tab w:val="center" w:pos="4153"/>
        <w:tab w:val="right" w:pos="8306"/>
      </w:tabs>
      <w:snapToGrid w:val="0"/>
      <w:jc w:val="center"/>
    </w:pPr>
    <w:rPr>
      <w:rFonts w:ascii="Calibri"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1586</Words>
  <Characters>1731</Characters>
  <Lines>0</Lines>
  <Paragraphs>0</Paragraphs>
  <TotalTime>9</TotalTime>
  <ScaleCrop>false</ScaleCrop>
  <LinksUpToDate>false</LinksUpToDate>
  <CharactersWithSpaces>1787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2023-08-31T07:47:00Z</dcterms:created>
  <dc:creator>*^_^*点头ˇ微笑</dc:creator>
  <cp:lastModifiedBy>*^_^*点头ˇ微笑</cp:lastModifiedBy>
  <dcterms:modified xsi:type="dcterms:W3CDTF">2023-08-31T08:21:01Z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3EFBCD58AFB34F1EBED49E984A4BBAA0_11</vt:lpwstr>
  </property>
</Properties>
</file>