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color w:val="auto"/>
          <w:sz w:val="32"/>
          <w:szCs w:val="32"/>
          <w:highlight w:val="none"/>
        </w:rPr>
      </w:pPr>
    </w:p>
    <w:p>
      <w:pPr>
        <w:spacing w:line="520" w:lineRule="exact"/>
        <w:rPr>
          <w:rFonts w:ascii="宋体" w:hAnsi="宋体"/>
          <w:color w:val="auto"/>
          <w:sz w:val="32"/>
          <w:szCs w:val="32"/>
          <w:highlight w:val="none"/>
        </w:rPr>
      </w:pPr>
    </w:p>
    <w:p>
      <w:pPr>
        <w:spacing w:line="520" w:lineRule="exact"/>
        <w:rPr>
          <w:rFonts w:ascii="宋体" w:hAnsi="宋体"/>
          <w:color w:val="auto"/>
          <w:sz w:val="32"/>
          <w:szCs w:val="32"/>
          <w:highlight w:val="none"/>
        </w:rPr>
      </w:pPr>
    </w:p>
    <w:p>
      <w:pPr>
        <w:spacing w:line="520" w:lineRule="exact"/>
        <w:rPr>
          <w:rFonts w:ascii="宋体" w:hAnsi="宋体"/>
          <w:color w:val="auto"/>
          <w:sz w:val="32"/>
          <w:szCs w:val="32"/>
          <w:highlight w:val="none"/>
        </w:rPr>
      </w:pPr>
    </w:p>
    <w:p>
      <w:pPr>
        <w:adjustRightInd w:val="0"/>
        <w:snapToGrid w:val="0"/>
        <w:jc w:val="center"/>
        <w:rPr>
          <w:rFonts w:ascii="宋体" w:hAnsi="宋体"/>
          <w:b/>
          <w:color w:val="auto"/>
          <w:sz w:val="84"/>
          <w:szCs w:val="84"/>
          <w:highlight w:val="none"/>
        </w:rPr>
      </w:pPr>
      <w:r>
        <w:rPr>
          <w:rFonts w:hint="eastAsia" w:ascii="宋体" w:hAnsi="宋体"/>
          <w:b/>
          <w:color w:val="auto"/>
          <w:sz w:val="84"/>
          <w:szCs w:val="84"/>
          <w:highlight w:val="none"/>
        </w:rPr>
        <w:t>竞争性磋商文件</w:t>
      </w:r>
    </w:p>
    <w:p>
      <w:pPr>
        <w:adjustRightInd w:val="0"/>
        <w:snapToGrid w:val="0"/>
        <w:spacing w:before="156" w:beforeLines="50" w:line="520" w:lineRule="exact"/>
        <w:ind w:left="846" w:leftChars="403" w:firstLine="157" w:firstLineChars="49"/>
        <w:rPr>
          <w:rFonts w:ascii="宋体" w:hAnsi="宋体"/>
          <w:b/>
          <w:color w:val="auto"/>
          <w:sz w:val="32"/>
          <w:szCs w:val="32"/>
          <w:highlight w:val="none"/>
        </w:rPr>
      </w:pPr>
    </w:p>
    <w:p>
      <w:pPr>
        <w:adjustRightInd w:val="0"/>
        <w:snapToGrid w:val="0"/>
        <w:spacing w:line="520" w:lineRule="exact"/>
        <w:ind w:firstLine="1001" w:firstLineChars="313"/>
        <w:rPr>
          <w:rFonts w:ascii="宋体" w:hAnsi="宋体"/>
          <w:color w:val="auto"/>
          <w:sz w:val="32"/>
          <w:szCs w:val="32"/>
          <w:highlight w:val="none"/>
        </w:rPr>
      </w:pPr>
    </w:p>
    <w:p>
      <w:pPr>
        <w:adjustRightInd w:val="0"/>
        <w:snapToGrid w:val="0"/>
        <w:spacing w:line="520" w:lineRule="exact"/>
        <w:ind w:firstLine="960" w:firstLineChars="300"/>
        <w:rPr>
          <w:rFonts w:hint="eastAsia" w:ascii="宋体" w:hAnsi="宋体"/>
          <w:color w:val="auto"/>
          <w:sz w:val="32"/>
          <w:szCs w:val="32"/>
          <w:highlight w:val="none"/>
          <w:u w:val="single"/>
          <w:lang w:eastAsia="zh-CN"/>
        </w:rPr>
      </w:pPr>
      <w:r>
        <w:rPr>
          <w:rFonts w:hint="eastAsia" w:ascii="宋体" w:hAnsi="宋体"/>
          <w:color w:val="auto"/>
          <w:sz w:val="32"/>
          <w:szCs w:val="32"/>
          <w:highlight w:val="none"/>
        </w:rPr>
        <w:t>采购项目名称：</w:t>
      </w:r>
      <w:r>
        <w:rPr>
          <w:rFonts w:hint="eastAsia" w:ascii="宋体" w:hAnsi="宋体"/>
          <w:color w:val="auto"/>
          <w:sz w:val="32"/>
          <w:szCs w:val="32"/>
          <w:highlight w:val="none"/>
          <w:u w:val="single"/>
          <w:lang w:eastAsia="zh-CN"/>
        </w:rPr>
        <w:t>玉赤河景观廊道二期工程项目概念规划设</w:t>
      </w:r>
    </w:p>
    <w:p>
      <w:pPr>
        <w:adjustRightInd w:val="0"/>
        <w:snapToGrid w:val="0"/>
        <w:spacing w:line="520" w:lineRule="exact"/>
        <w:ind w:firstLine="3200" w:firstLineChars="1000"/>
        <w:rPr>
          <w:rFonts w:hint="eastAsia" w:ascii="宋体" w:hAnsi="宋体" w:eastAsia="宋体"/>
          <w:color w:val="auto"/>
          <w:sz w:val="32"/>
          <w:szCs w:val="32"/>
          <w:highlight w:val="none"/>
          <w:u w:val="single"/>
          <w:lang w:eastAsia="zh-CN"/>
        </w:rPr>
      </w:pPr>
      <w:r>
        <w:rPr>
          <w:rFonts w:hint="eastAsia" w:ascii="宋体" w:hAnsi="宋体"/>
          <w:color w:val="auto"/>
          <w:sz w:val="32"/>
          <w:szCs w:val="32"/>
          <w:highlight w:val="none"/>
          <w:u w:val="single"/>
          <w:lang w:eastAsia="zh-CN"/>
        </w:rPr>
        <w:t>计服务</w:t>
      </w:r>
    </w:p>
    <w:p>
      <w:pPr>
        <w:adjustRightInd w:val="0"/>
        <w:snapToGrid w:val="0"/>
        <w:spacing w:line="520" w:lineRule="exact"/>
        <w:ind w:left="846" w:leftChars="403" w:firstLine="156" w:firstLineChars="49"/>
        <w:rPr>
          <w:rFonts w:ascii="宋体" w:hAnsi="宋体"/>
          <w:color w:val="auto"/>
          <w:sz w:val="32"/>
          <w:szCs w:val="32"/>
          <w:highlight w:val="none"/>
        </w:rPr>
      </w:pPr>
      <w:r>
        <w:rPr>
          <w:rFonts w:hint="eastAsia" w:ascii="宋体" w:hAnsi="宋体"/>
          <w:color w:val="auto"/>
          <w:sz w:val="32"/>
          <w:szCs w:val="32"/>
          <w:highlight w:val="none"/>
        </w:rPr>
        <w:t>采</w:t>
      </w:r>
      <w:r>
        <w:rPr>
          <w:rFonts w:ascii="宋体" w:hAnsi="宋体"/>
          <w:color w:val="auto"/>
          <w:sz w:val="32"/>
          <w:szCs w:val="32"/>
          <w:highlight w:val="none"/>
        </w:rPr>
        <w:t xml:space="preserve">   </w:t>
      </w:r>
      <w:r>
        <w:rPr>
          <w:rFonts w:hint="eastAsia" w:ascii="宋体" w:hAnsi="宋体"/>
          <w:color w:val="auto"/>
          <w:sz w:val="32"/>
          <w:szCs w:val="32"/>
          <w:highlight w:val="none"/>
        </w:rPr>
        <w:t>购</w:t>
      </w:r>
      <w:r>
        <w:rPr>
          <w:rFonts w:ascii="宋体" w:hAnsi="宋体"/>
          <w:color w:val="auto"/>
          <w:sz w:val="32"/>
          <w:szCs w:val="32"/>
          <w:highlight w:val="none"/>
        </w:rPr>
        <w:t xml:space="preserve">   </w:t>
      </w:r>
      <w:r>
        <w:rPr>
          <w:rFonts w:hint="eastAsia" w:ascii="宋体" w:hAnsi="宋体"/>
          <w:color w:val="auto"/>
          <w:sz w:val="32"/>
          <w:szCs w:val="32"/>
          <w:highlight w:val="none"/>
        </w:rPr>
        <w:t>人：</w:t>
      </w:r>
      <w:r>
        <w:rPr>
          <w:rFonts w:hint="eastAsia" w:ascii="宋体" w:hAnsi="宋体"/>
          <w:color w:val="auto"/>
          <w:sz w:val="32"/>
          <w:szCs w:val="32"/>
          <w:highlight w:val="none"/>
          <w:u w:val="single"/>
        </w:rPr>
        <w:t>湖南智谷投资发展集团有限公司</w:t>
      </w:r>
    </w:p>
    <w:p>
      <w:pPr>
        <w:adjustRightInd w:val="0"/>
        <w:snapToGrid w:val="0"/>
        <w:spacing w:line="520" w:lineRule="exact"/>
        <w:ind w:firstLine="944" w:firstLineChars="295"/>
        <w:rPr>
          <w:rFonts w:hint="default" w:ascii="宋体" w:hAnsi="宋体" w:eastAsia="宋体"/>
          <w:color w:val="auto"/>
          <w:sz w:val="32"/>
          <w:szCs w:val="32"/>
          <w:highlight w:val="none"/>
          <w:lang w:val="en-US" w:eastAsia="zh-CN"/>
        </w:rPr>
      </w:pPr>
      <w:r>
        <w:rPr>
          <w:rFonts w:hint="eastAsia" w:ascii="宋体" w:hAnsi="宋体"/>
          <w:color w:val="auto"/>
          <w:sz w:val="32"/>
          <w:szCs w:val="32"/>
          <w:highlight w:val="none"/>
        </w:rPr>
        <w:t>项</w:t>
      </w: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目</w:t>
      </w: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编</w:t>
      </w: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号</w:t>
      </w: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w:t>
      </w:r>
      <w:r>
        <w:rPr>
          <w:rFonts w:hint="eastAsia" w:ascii="宋体" w:hAnsi="宋体"/>
          <w:color w:val="auto"/>
          <w:sz w:val="32"/>
          <w:szCs w:val="32"/>
          <w:highlight w:val="none"/>
          <w:u w:val="single"/>
          <w:lang w:val="en-US" w:eastAsia="zh-CN"/>
        </w:rPr>
        <w:t>XJCG-F202310130023</w:t>
      </w:r>
    </w:p>
    <w:p>
      <w:pPr>
        <w:adjustRightInd w:val="0"/>
        <w:snapToGrid w:val="0"/>
        <w:spacing w:line="520" w:lineRule="exact"/>
        <w:ind w:firstLine="944" w:firstLineChars="295"/>
        <w:rPr>
          <w:rFonts w:hint="eastAsia" w:ascii="宋体" w:hAnsi="宋体" w:eastAsia="宋体"/>
          <w:color w:val="auto"/>
          <w:sz w:val="32"/>
          <w:szCs w:val="32"/>
          <w:highlight w:val="none"/>
          <w:lang w:eastAsia="zh-CN"/>
        </w:rPr>
      </w:pPr>
      <w:r>
        <w:rPr>
          <w:rFonts w:hint="eastAsia" w:ascii="宋体" w:hAnsi="宋体"/>
          <w:color w:val="auto"/>
          <w:sz w:val="32"/>
          <w:szCs w:val="32"/>
          <w:highlight w:val="none"/>
        </w:rPr>
        <w:t>采购代理编号</w:t>
      </w:r>
      <w:r>
        <w:rPr>
          <w:rFonts w:ascii="宋体" w:hAnsi="宋体"/>
          <w:color w:val="auto"/>
          <w:sz w:val="32"/>
          <w:szCs w:val="32"/>
          <w:highlight w:val="none"/>
        </w:rPr>
        <w:t xml:space="preserve">: </w:t>
      </w:r>
      <w:r>
        <w:rPr>
          <w:rFonts w:hint="eastAsia" w:ascii="宋体" w:hAnsi="宋体"/>
          <w:color w:val="auto"/>
          <w:sz w:val="32"/>
          <w:szCs w:val="32"/>
          <w:highlight w:val="none"/>
          <w:u w:val="single"/>
          <w:lang w:eastAsia="zh-CN"/>
        </w:rPr>
        <w:t>HXCG-HN-2310006</w:t>
      </w:r>
    </w:p>
    <w:p>
      <w:pPr>
        <w:adjustRightInd w:val="0"/>
        <w:snapToGrid w:val="0"/>
        <w:spacing w:line="520" w:lineRule="exact"/>
        <w:ind w:firstLine="944" w:firstLineChars="295"/>
        <w:rPr>
          <w:rFonts w:ascii="宋体" w:hAnsi="宋体"/>
          <w:color w:val="auto"/>
          <w:sz w:val="32"/>
          <w:szCs w:val="32"/>
          <w:highlight w:val="none"/>
          <w:u w:val="single"/>
        </w:rPr>
      </w:pPr>
      <w:r>
        <w:rPr>
          <w:rFonts w:hint="eastAsia" w:ascii="宋体" w:hAnsi="宋体"/>
          <w:color w:val="auto"/>
          <w:sz w:val="32"/>
          <w:szCs w:val="32"/>
          <w:highlight w:val="none"/>
        </w:rPr>
        <w:t>采购代理机构</w:t>
      </w:r>
      <w:r>
        <w:rPr>
          <w:rFonts w:ascii="宋体" w:hAnsi="宋体"/>
          <w:color w:val="auto"/>
          <w:sz w:val="32"/>
          <w:szCs w:val="32"/>
          <w:highlight w:val="none"/>
        </w:rPr>
        <w:t xml:space="preserve">: </w:t>
      </w:r>
      <w:r>
        <w:rPr>
          <w:rFonts w:hint="eastAsia" w:ascii="宋体" w:hAnsi="宋体"/>
          <w:color w:val="auto"/>
          <w:sz w:val="32"/>
          <w:szCs w:val="32"/>
          <w:highlight w:val="none"/>
          <w:u w:val="single"/>
        </w:rPr>
        <w:t>华新项目管理集团有限公司</w:t>
      </w:r>
    </w:p>
    <w:p>
      <w:pPr>
        <w:adjustRightInd w:val="0"/>
        <w:snapToGrid w:val="0"/>
        <w:spacing w:before="156" w:beforeLines="50" w:line="520" w:lineRule="exact"/>
        <w:ind w:firstLine="948" w:firstLineChars="295"/>
        <w:rPr>
          <w:rFonts w:ascii="宋体" w:hAnsi="宋体"/>
          <w:b/>
          <w:color w:val="auto"/>
          <w:sz w:val="32"/>
          <w:szCs w:val="32"/>
          <w:highlight w:val="none"/>
        </w:rPr>
      </w:pPr>
    </w:p>
    <w:p>
      <w:pPr>
        <w:adjustRightInd w:val="0"/>
        <w:snapToGrid w:val="0"/>
        <w:spacing w:before="156" w:beforeLines="50" w:line="520" w:lineRule="exact"/>
        <w:ind w:firstLine="948" w:firstLineChars="295"/>
        <w:rPr>
          <w:rFonts w:ascii="宋体" w:hAnsi="宋体"/>
          <w:b/>
          <w:color w:val="auto"/>
          <w:sz w:val="32"/>
          <w:szCs w:val="32"/>
          <w:highlight w:val="none"/>
        </w:rPr>
      </w:pPr>
    </w:p>
    <w:p>
      <w:pPr>
        <w:adjustRightInd w:val="0"/>
        <w:snapToGrid w:val="0"/>
        <w:spacing w:line="520" w:lineRule="exact"/>
        <w:jc w:val="center"/>
        <w:rPr>
          <w:rFonts w:ascii="宋体" w:hAnsi="宋体"/>
          <w:b/>
          <w:color w:val="auto"/>
          <w:sz w:val="32"/>
          <w:highlight w:val="none"/>
        </w:rPr>
      </w:pPr>
    </w:p>
    <w:p>
      <w:pPr>
        <w:adjustRightInd w:val="0"/>
        <w:snapToGrid w:val="0"/>
        <w:spacing w:line="520" w:lineRule="exact"/>
        <w:jc w:val="center"/>
        <w:rPr>
          <w:rFonts w:ascii="宋体" w:hAnsi="宋体"/>
          <w:b/>
          <w:color w:val="auto"/>
          <w:sz w:val="32"/>
          <w:highlight w:val="none"/>
        </w:rPr>
      </w:pPr>
    </w:p>
    <w:p>
      <w:pPr>
        <w:adjustRightInd w:val="0"/>
        <w:snapToGrid w:val="0"/>
        <w:spacing w:line="520" w:lineRule="exact"/>
        <w:jc w:val="center"/>
        <w:rPr>
          <w:rFonts w:ascii="宋体" w:hAnsi="宋体"/>
          <w:b/>
          <w:color w:val="auto"/>
          <w:sz w:val="32"/>
          <w:highlight w:val="none"/>
        </w:rPr>
      </w:pPr>
      <w:r>
        <w:rPr>
          <w:rFonts w:ascii="宋体" w:hAnsi="宋体"/>
          <w:b/>
          <w:color w:val="auto"/>
          <w:sz w:val="32"/>
          <w:highlight w:val="none"/>
          <w:u w:val="single"/>
        </w:rPr>
        <w:t>2023</w:t>
      </w:r>
      <w:r>
        <w:rPr>
          <w:rFonts w:hint="eastAsia" w:ascii="宋体" w:hAnsi="宋体"/>
          <w:b/>
          <w:color w:val="auto"/>
          <w:sz w:val="32"/>
          <w:highlight w:val="none"/>
        </w:rPr>
        <w:t>年</w:t>
      </w:r>
      <w:r>
        <w:rPr>
          <w:rFonts w:hint="eastAsia" w:ascii="宋体" w:hAnsi="宋体"/>
          <w:b/>
          <w:color w:val="auto"/>
          <w:sz w:val="32"/>
          <w:highlight w:val="none"/>
          <w:u w:val="single"/>
          <w:lang w:val="en-US" w:eastAsia="zh-CN"/>
        </w:rPr>
        <w:t>10</w:t>
      </w:r>
      <w:r>
        <w:rPr>
          <w:rFonts w:hint="eastAsia" w:ascii="宋体" w:hAnsi="宋体"/>
          <w:b/>
          <w:color w:val="auto"/>
          <w:sz w:val="32"/>
          <w:highlight w:val="none"/>
        </w:rPr>
        <w:t>月</w:t>
      </w:r>
    </w:p>
    <w:p>
      <w:pPr>
        <w:rPr>
          <w:color w:val="auto"/>
          <w:highlight w:val="none"/>
        </w:rPr>
      </w:pPr>
      <w:r>
        <w:rPr>
          <w:color w:val="auto"/>
          <w:highlight w:val="none"/>
        </w:rPr>
        <w:br w:type="page"/>
      </w:r>
    </w:p>
    <w:p>
      <w:pPr>
        <w:adjustRightInd w:val="0"/>
        <w:snapToGrid w:val="0"/>
        <w:spacing w:line="520" w:lineRule="exact"/>
        <w:jc w:val="center"/>
        <w:rPr>
          <w:rFonts w:ascii="宋体" w:hAnsi="宋体"/>
          <w:color w:val="auto"/>
          <w:spacing w:val="160"/>
          <w:sz w:val="36"/>
          <w:szCs w:val="36"/>
          <w:highlight w:val="none"/>
        </w:rPr>
      </w:pPr>
      <w:r>
        <w:rPr>
          <w:rFonts w:hint="eastAsia" w:ascii="宋体" w:hAnsi="宋体"/>
          <w:color w:val="auto"/>
          <w:spacing w:val="160"/>
          <w:sz w:val="36"/>
          <w:szCs w:val="36"/>
          <w:highlight w:val="none"/>
        </w:rPr>
        <w:t>目录</w:t>
      </w:r>
    </w:p>
    <w:p>
      <w:pPr>
        <w:adjustRightInd w:val="0"/>
        <w:snapToGrid w:val="0"/>
        <w:spacing w:line="520" w:lineRule="exact"/>
        <w:rPr>
          <w:rFonts w:ascii="宋体" w:hAnsi="宋体"/>
          <w:b/>
          <w:color w:val="auto"/>
          <w:sz w:val="24"/>
          <w:highlight w:val="none"/>
        </w:rPr>
      </w:pPr>
    </w:p>
    <w:p>
      <w:pPr>
        <w:adjustRightInd w:val="0"/>
        <w:snapToGrid w:val="0"/>
        <w:spacing w:line="520" w:lineRule="exact"/>
        <w:rPr>
          <w:rFonts w:ascii="宋体" w:hAnsi="宋体"/>
          <w:b/>
          <w:color w:val="auto"/>
          <w:sz w:val="24"/>
          <w:highlight w:val="none"/>
        </w:rPr>
      </w:pPr>
      <w:r>
        <w:rPr>
          <w:rFonts w:hint="eastAsia" w:ascii="宋体" w:hAnsi="宋体"/>
          <w:b/>
          <w:color w:val="auto"/>
          <w:sz w:val="24"/>
          <w:highlight w:val="none"/>
        </w:rPr>
        <w:t>第一章</w:t>
      </w:r>
      <w:r>
        <w:rPr>
          <w:rFonts w:ascii="宋体" w:hAnsi="宋体"/>
          <w:b/>
          <w:color w:val="auto"/>
          <w:sz w:val="24"/>
          <w:highlight w:val="none"/>
        </w:rPr>
        <w:t xml:space="preserve">  </w:t>
      </w:r>
      <w:r>
        <w:rPr>
          <w:rFonts w:hint="eastAsia" w:ascii="宋体" w:hAnsi="宋体"/>
          <w:b/>
          <w:color w:val="auto"/>
          <w:sz w:val="24"/>
          <w:highlight w:val="none"/>
        </w:rPr>
        <w:t>磋商邀请</w:t>
      </w:r>
    </w:p>
    <w:p>
      <w:pPr>
        <w:adjustRightInd w:val="0"/>
        <w:snapToGrid w:val="0"/>
        <w:spacing w:line="520" w:lineRule="exact"/>
        <w:rPr>
          <w:rFonts w:ascii="宋体" w:hAnsi="宋体"/>
          <w:b/>
          <w:color w:val="auto"/>
          <w:sz w:val="24"/>
          <w:highlight w:val="none"/>
        </w:rPr>
      </w:pPr>
      <w:r>
        <w:rPr>
          <w:rFonts w:hint="eastAsia" w:ascii="宋体" w:hAnsi="宋体"/>
          <w:b/>
          <w:color w:val="auto"/>
          <w:sz w:val="24"/>
          <w:highlight w:val="none"/>
        </w:rPr>
        <w:t>第二章</w:t>
      </w:r>
      <w:r>
        <w:rPr>
          <w:rFonts w:ascii="宋体" w:hAnsi="宋体"/>
          <w:b/>
          <w:color w:val="auto"/>
          <w:sz w:val="24"/>
          <w:highlight w:val="none"/>
        </w:rPr>
        <w:t xml:space="preserve">  </w:t>
      </w:r>
      <w:r>
        <w:rPr>
          <w:rFonts w:hint="eastAsia" w:ascii="宋体" w:hAnsi="宋体"/>
          <w:b/>
          <w:color w:val="auto"/>
          <w:sz w:val="24"/>
          <w:highlight w:val="none"/>
        </w:rPr>
        <w:t>磋商须知</w:t>
      </w:r>
    </w:p>
    <w:p>
      <w:pPr>
        <w:tabs>
          <w:tab w:val="left" w:pos="1440"/>
        </w:tabs>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磋商须知前附表</w:t>
      </w:r>
    </w:p>
    <w:p>
      <w:pPr>
        <w:tabs>
          <w:tab w:val="left" w:pos="1440"/>
        </w:tabs>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磋商须知正文</w:t>
      </w:r>
    </w:p>
    <w:p>
      <w:pPr>
        <w:tabs>
          <w:tab w:val="left" w:pos="1440"/>
        </w:tabs>
        <w:adjustRightInd w:val="0"/>
        <w:snapToGrid w:val="0"/>
        <w:spacing w:line="520" w:lineRule="exact"/>
        <w:ind w:firstLine="630" w:firstLineChars="300"/>
        <w:rPr>
          <w:rFonts w:ascii="宋体" w:hAnsi="宋体"/>
          <w:color w:val="auto"/>
          <w:szCs w:val="21"/>
          <w:highlight w:val="none"/>
        </w:rPr>
      </w:pPr>
      <w:r>
        <w:rPr>
          <w:rFonts w:hint="eastAsia" w:ascii="宋体" w:hAnsi="宋体"/>
          <w:color w:val="auto"/>
          <w:szCs w:val="21"/>
          <w:highlight w:val="none"/>
        </w:rPr>
        <w:t>一、说明</w:t>
      </w:r>
    </w:p>
    <w:p>
      <w:pPr>
        <w:tabs>
          <w:tab w:val="left" w:pos="1440"/>
        </w:tabs>
        <w:adjustRightInd w:val="0"/>
        <w:snapToGrid w:val="0"/>
        <w:spacing w:line="520" w:lineRule="exact"/>
        <w:ind w:firstLine="630" w:firstLineChars="300"/>
        <w:rPr>
          <w:rFonts w:ascii="宋体" w:hAnsi="宋体"/>
          <w:color w:val="auto"/>
          <w:szCs w:val="21"/>
          <w:highlight w:val="none"/>
        </w:rPr>
      </w:pPr>
      <w:r>
        <w:rPr>
          <w:rFonts w:hint="eastAsia" w:ascii="宋体" w:hAnsi="宋体"/>
          <w:color w:val="auto"/>
          <w:szCs w:val="21"/>
          <w:highlight w:val="none"/>
        </w:rPr>
        <w:t>二、</w:t>
      </w:r>
      <w:r>
        <w:rPr>
          <w:rFonts w:hint="eastAsia" w:ascii="宋体" w:hAnsi="宋体"/>
          <w:bCs/>
          <w:color w:val="auto"/>
          <w:szCs w:val="21"/>
          <w:highlight w:val="none"/>
        </w:rPr>
        <w:t>磋商</w:t>
      </w:r>
      <w:r>
        <w:rPr>
          <w:rFonts w:hint="eastAsia" w:ascii="宋体" w:hAnsi="宋体"/>
          <w:color w:val="auto"/>
          <w:szCs w:val="21"/>
          <w:highlight w:val="none"/>
        </w:rPr>
        <w:t>文件</w:t>
      </w:r>
    </w:p>
    <w:p>
      <w:pPr>
        <w:adjustRightInd w:val="0"/>
        <w:snapToGrid w:val="0"/>
        <w:spacing w:line="520" w:lineRule="exact"/>
        <w:ind w:firstLine="630" w:firstLineChars="300"/>
        <w:rPr>
          <w:rFonts w:ascii="宋体" w:hAnsi="宋体"/>
          <w:color w:val="auto"/>
          <w:szCs w:val="21"/>
          <w:highlight w:val="none"/>
        </w:rPr>
      </w:pPr>
      <w:r>
        <w:rPr>
          <w:rFonts w:hint="eastAsia" w:ascii="宋体" w:hAnsi="宋体"/>
          <w:color w:val="auto"/>
          <w:szCs w:val="21"/>
          <w:highlight w:val="none"/>
        </w:rPr>
        <w:t>三、响应文件</w:t>
      </w:r>
    </w:p>
    <w:p>
      <w:pPr>
        <w:adjustRightInd w:val="0"/>
        <w:snapToGrid w:val="0"/>
        <w:spacing w:line="520" w:lineRule="exact"/>
        <w:ind w:firstLine="630" w:firstLineChars="300"/>
        <w:rPr>
          <w:rFonts w:ascii="宋体" w:hAnsi="宋体"/>
          <w:color w:val="auto"/>
          <w:szCs w:val="21"/>
          <w:highlight w:val="none"/>
        </w:rPr>
      </w:pPr>
      <w:r>
        <w:rPr>
          <w:rFonts w:hint="eastAsia" w:ascii="宋体" w:hAnsi="宋体"/>
          <w:color w:val="auto"/>
          <w:szCs w:val="21"/>
          <w:highlight w:val="none"/>
        </w:rPr>
        <w:t>四、响应文件的递交</w:t>
      </w:r>
    </w:p>
    <w:p>
      <w:pPr>
        <w:adjustRightInd w:val="0"/>
        <w:snapToGrid w:val="0"/>
        <w:spacing w:line="520" w:lineRule="exact"/>
        <w:ind w:firstLine="630" w:firstLineChars="300"/>
        <w:rPr>
          <w:rFonts w:ascii="宋体" w:hAnsi="宋体"/>
          <w:bCs/>
          <w:color w:val="auto"/>
          <w:szCs w:val="21"/>
          <w:highlight w:val="none"/>
        </w:rPr>
      </w:pPr>
      <w:r>
        <w:rPr>
          <w:rFonts w:hint="eastAsia" w:ascii="宋体" w:hAnsi="宋体"/>
          <w:bCs/>
          <w:color w:val="auto"/>
          <w:szCs w:val="21"/>
          <w:highlight w:val="none"/>
        </w:rPr>
        <w:t>五、</w:t>
      </w:r>
      <w:r>
        <w:rPr>
          <w:rFonts w:hint="eastAsia" w:ascii="宋体" w:hAnsi="宋体"/>
          <w:color w:val="auto"/>
          <w:szCs w:val="21"/>
          <w:highlight w:val="none"/>
        </w:rPr>
        <w:t>响应文件</w:t>
      </w:r>
      <w:r>
        <w:rPr>
          <w:rFonts w:hint="eastAsia" w:ascii="宋体" w:hAnsi="宋体"/>
          <w:bCs/>
          <w:color w:val="auto"/>
          <w:szCs w:val="21"/>
          <w:highlight w:val="none"/>
        </w:rPr>
        <w:t>的</w:t>
      </w:r>
      <w:r>
        <w:rPr>
          <w:rFonts w:hint="eastAsia" w:ascii="宋体" w:hAnsi="宋体"/>
          <w:color w:val="auto"/>
          <w:szCs w:val="21"/>
          <w:highlight w:val="none"/>
        </w:rPr>
        <w:t>磋商与评审</w:t>
      </w:r>
    </w:p>
    <w:p>
      <w:pPr>
        <w:adjustRightInd w:val="0"/>
        <w:snapToGrid w:val="0"/>
        <w:spacing w:line="520" w:lineRule="exact"/>
        <w:ind w:firstLine="630" w:firstLineChars="300"/>
        <w:rPr>
          <w:rFonts w:ascii="宋体" w:hAnsi="宋体"/>
          <w:color w:val="auto"/>
          <w:szCs w:val="21"/>
          <w:highlight w:val="none"/>
        </w:rPr>
      </w:pPr>
      <w:r>
        <w:rPr>
          <w:rFonts w:hint="eastAsia" w:ascii="宋体" w:hAnsi="宋体"/>
          <w:color w:val="auto"/>
          <w:szCs w:val="21"/>
          <w:highlight w:val="none"/>
        </w:rPr>
        <w:t>六、成交结果信息公布与授予合同</w:t>
      </w:r>
    </w:p>
    <w:p>
      <w:pPr>
        <w:adjustRightInd w:val="0"/>
        <w:snapToGrid w:val="0"/>
        <w:spacing w:line="520" w:lineRule="exact"/>
        <w:ind w:firstLine="630" w:firstLineChars="300"/>
        <w:jc w:val="left"/>
        <w:rPr>
          <w:rFonts w:ascii="宋体" w:hAnsi="宋体"/>
          <w:color w:val="auto"/>
          <w:szCs w:val="21"/>
          <w:highlight w:val="none"/>
        </w:rPr>
      </w:pPr>
      <w:r>
        <w:rPr>
          <w:rFonts w:hint="eastAsia" w:ascii="宋体" w:hAnsi="宋体"/>
          <w:color w:val="auto"/>
          <w:szCs w:val="21"/>
          <w:highlight w:val="none"/>
        </w:rPr>
        <w:t>七、其他规定</w:t>
      </w:r>
    </w:p>
    <w:p>
      <w:pPr>
        <w:adjustRightInd w:val="0"/>
        <w:snapToGrid w:val="0"/>
        <w:spacing w:line="520" w:lineRule="exact"/>
        <w:rPr>
          <w:rFonts w:ascii="宋体" w:hAnsi="宋体"/>
          <w:b/>
          <w:color w:val="auto"/>
          <w:sz w:val="24"/>
          <w:highlight w:val="none"/>
        </w:rPr>
      </w:pPr>
      <w:r>
        <w:rPr>
          <w:rFonts w:hint="eastAsia" w:ascii="宋体" w:hAnsi="宋体"/>
          <w:b/>
          <w:color w:val="auto"/>
          <w:sz w:val="24"/>
          <w:highlight w:val="none"/>
        </w:rPr>
        <w:t>第三章</w:t>
      </w:r>
      <w:r>
        <w:rPr>
          <w:rFonts w:ascii="宋体" w:hAnsi="宋体"/>
          <w:b/>
          <w:color w:val="auto"/>
          <w:sz w:val="24"/>
          <w:highlight w:val="none"/>
        </w:rPr>
        <w:t xml:space="preserve">  </w:t>
      </w:r>
      <w:r>
        <w:rPr>
          <w:rFonts w:hint="eastAsia" w:ascii="宋体" w:hAnsi="宋体"/>
          <w:b/>
          <w:color w:val="auto"/>
          <w:sz w:val="24"/>
          <w:highlight w:val="none"/>
        </w:rPr>
        <w:t>合同协议</w:t>
      </w:r>
    </w:p>
    <w:p>
      <w:pPr>
        <w:adjustRightInd w:val="0"/>
        <w:snapToGrid w:val="0"/>
        <w:spacing w:line="520" w:lineRule="exact"/>
        <w:rPr>
          <w:rFonts w:ascii="宋体" w:hAnsi="宋体"/>
          <w:b/>
          <w:color w:val="auto"/>
          <w:sz w:val="24"/>
          <w:highlight w:val="none"/>
        </w:rPr>
      </w:pPr>
      <w:r>
        <w:rPr>
          <w:rFonts w:hint="eastAsia" w:ascii="宋体" w:hAnsi="宋体"/>
          <w:b/>
          <w:color w:val="auto"/>
          <w:sz w:val="24"/>
          <w:highlight w:val="none"/>
        </w:rPr>
        <w:t>第四章</w:t>
      </w:r>
      <w:r>
        <w:rPr>
          <w:rFonts w:ascii="宋体" w:hAnsi="宋体"/>
          <w:b/>
          <w:color w:val="auto"/>
          <w:sz w:val="24"/>
          <w:highlight w:val="none"/>
        </w:rPr>
        <w:t xml:space="preserve">  </w:t>
      </w:r>
      <w:r>
        <w:rPr>
          <w:rFonts w:hint="eastAsia" w:ascii="宋体" w:hAnsi="宋体"/>
          <w:b/>
          <w:color w:val="auto"/>
          <w:sz w:val="24"/>
          <w:highlight w:val="none"/>
        </w:rPr>
        <w:t>采购需求</w:t>
      </w:r>
    </w:p>
    <w:p>
      <w:pPr>
        <w:adjustRightInd w:val="0"/>
        <w:snapToGrid w:val="0"/>
        <w:spacing w:line="520" w:lineRule="exact"/>
        <w:rPr>
          <w:rFonts w:ascii="宋体" w:hAnsi="宋体"/>
          <w:b/>
          <w:color w:val="auto"/>
          <w:sz w:val="24"/>
          <w:highlight w:val="none"/>
        </w:rPr>
      </w:pPr>
      <w:r>
        <w:rPr>
          <w:rFonts w:hint="eastAsia" w:ascii="宋体" w:hAnsi="宋体"/>
          <w:b/>
          <w:color w:val="auto"/>
          <w:sz w:val="24"/>
          <w:highlight w:val="none"/>
        </w:rPr>
        <w:t>第五章</w:t>
      </w:r>
      <w:r>
        <w:rPr>
          <w:rFonts w:ascii="宋体" w:hAnsi="宋体"/>
          <w:b/>
          <w:color w:val="auto"/>
          <w:sz w:val="24"/>
          <w:highlight w:val="none"/>
        </w:rPr>
        <w:t xml:space="preserve">  </w:t>
      </w:r>
      <w:r>
        <w:rPr>
          <w:rFonts w:hint="eastAsia" w:ascii="宋体" w:hAnsi="宋体"/>
          <w:b/>
          <w:color w:val="auto"/>
          <w:sz w:val="24"/>
          <w:highlight w:val="none"/>
        </w:rPr>
        <w:t>响应文件组成</w:t>
      </w:r>
    </w:p>
    <w:p>
      <w:pPr>
        <w:spacing w:line="520" w:lineRule="exact"/>
        <w:rPr>
          <w:rFonts w:ascii="宋体" w:hAnsi="宋体"/>
          <w:b/>
          <w:color w:val="auto"/>
          <w:sz w:val="24"/>
          <w:highlight w:val="none"/>
        </w:rPr>
      </w:pPr>
    </w:p>
    <w:p>
      <w:pPr>
        <w:spacing w:line="520" w:lineRule="exact"/>
        <w:rPr>
          <w:rFonts w:ascii="宋体" w:hAnsi="宋体"/>
          <w:b/>
          <w:color w:val="auto"/>
          <w:sz w:val="24"/>
          <w:highlight w:val="none"/>
        </w:rPr>
        <w:sectPr>
          <w:footerReference r:id="rId4" w:type="first"/>
          <w:footerReference r:id="rId3" w:type="default"/>
          <w:pgSz w:w="11906" w:h="16838"/>
          <w:pgMar w:top="1440" w:right="1531" w:bottom="1440" w:left="1531" w:header="851" w:footer="992" w:gutter="0"/>
          <w:pgNumType w:start="1"/>
          <w:cols w:space="720" w:num="1"/>
          <w:titlePg/>
          <w:docGrid w:type="lines" w:linePitch="312" w:charSpace="0"/>
        </w:sectPr>
      </w:pPr>
    </w:p>
    <w:p>
      <w:pPr>
        <w:spacing w:line="520" w:lineRule="exact"/>
        <w:jc w:val="center"/>
        <w:outlineLvl w:val="0"/>
        <w:rPr>
          <w:rFonts w:ascii="宋体" w:hAnsi="宋体"/>
          <w:b/>
          <w:color w:val="auto"/>
          <w:sz w:val="32"/>
          <w:szCs w:val="32"/>
          <w:highlight w:val="none"/>
        </w:rPr>
      </w:pPr>
      <w:r>
        <w:rPr>
          <w:rFonts w:hint="eastAsia" w:ascii="宋体" w:hAnsi="宋体"/>
          <w:b/>
          <w:color w:val="auto"/>
          <w:sz w:val="32"/>
          <w:szCs w:val="32"/>
          <w:highlight w:val="none"/>
        </w:rPr>
        <w:t>第一章</w:t>
      </w:r>
      <w:r>
        <w:rPr>
          <w:rFonts w:ascii="宋体" w:hAnsi="宋体"/>
          <w:b/>
          <w:color w:val="auto"/>
          <w:sz w:val="32"/>
          <w:szCs w:val="32"/>
          <w:highlight w:val="none"/>
        </w:rPr>
        <w:t xml:space="preserve">  </w:t>
      </w:r>
      <w:r>
        <w:rPr>
          <w:rFonts w:hint="eastAsia" w:ascii="宋体" w:hAnsi="宋体"/>
          <w:b/>
          <w:color w:val="auto"/>
          <w:sz w:val="32"/>
          <w:szCs w:val="32"/>
          <w:highlight w:val="none"/>
        </w:rPr>
        <w:t>磋商邀请</w:t>
      </w:r>
    </w:p>
    <w:p>
      <w:pPr>
        <w:autoSpaceDE w:val="0"/>
        <w:autoSpaceDN w:val="0"/>
        <w:adjustRightInd w:val="0"/>
        <w:snapToGrid w:val="0"/>
        <w:spacing w:line="520" w:lineRule="exact"/>
        <w:jc w:val="left"/>
        <w:rPr>
          <w:rFonts w:ascii="宋体" w:hAnsi="宋体" w:cs="宋体"/>
          <w:color w:val="auto"/>
          <w:kern w:val="0"/>
          <w:szCs w:val="21"/>
          <w:highlight w:val="none"/>
        </w:rPr>
      </w:pP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u w:val="single"/>
        </w:rPr>
        <w:t>华新项目管理集团有限公司</w:t>
      </w:r>
      <w:r>
        <w:rPr>
          <w:rFonts w:hint="eastAsia" w:ascii="宋体" w:hAnsi="宋体"/>
          <w:color w:val="auto"/>
          <w:szCs w:val="21"/>
          <w:highlight w:val="none"/>
        </w:rPr>
        <w:t>受</w:t>
      </w:r>
      <w:r>
        <w:rPr>
          <w:rFonts w:hint="eastAsia" w:ascii="宋体" w:hAnsi="宋体"/>
          <w:color w:val="auto"/>
          <w:szCs w:val="21"/>
          <w:highlight w:val="none"/>
          <w:u w:val="single"/>
        </w:rPr>
        <w:t>湖南智谷投资发展集团有限公司</w:t>
      </w:r>
      <w:r>
        <w:rPr>
          <w:rFonts w:hint="eastAsia" w:ascii="宋体" w:hAnsi="宋体"/>
          <w:color w:val="auto"/>
          <w:szCs w:val="21"/>
          <w:highlight w:val="none"/>
        </w:rPr>
        <w:t>的委托，对</w:t>
      </w:r>
      <w:r>
        <w:rPr>
          <w:rFonts w:hint="eastAsia" w:ascii="宋体" w:hAnsi="宋体"/>
          <w:color w:val="auto"/>
          <w:szCs w:val="21"/>
          <w:highlight w:val="none"/>
          <w:u w:val="single"/>
          <w:lang w:eastAsia="zh-CN"/>
        </w:rPr>
        <w:t>玉赤河景观廊道二期工程项目概念规划设计服务</w:t>
      </w:r>
      <w:r>
        <w:rPr>
          <w:rFonts w:hint="eastAsia" w:ascii="宋体" w:hAnsi="宋体"/>
          <w:color w:val="auto"/>
          <w:szCs w:val="21"/>
          <w:highlight w:val="none"/>
        </w:rPr>
        <w:t>进行竞争性磋商采购，现采用</w:t>
      </w:r>
      <w:r>
        <w:rPr>
          <w:rFonts w:hint="eastAsia" w:ascii="宋体" w:hAnsi="宋体"/>
          <w:color w:val="auto"/>
          <w:szCs w:val="21"/>
          <w:highlight w:val="none"/>
          <w:u w:val="single"/>
        </w:rPr>
        <w:t>发布公告的</w:t>
      </w:r>
      <w:r>
        <w:rPr>
          <w:rFonts w:hint="eastAsia" w:ascii="宋体" w:hAnsi="宋体"/>
          <w:color w:val="auto"/>
          <w:szCs w:val="21"/>
          <w:highlight w:val="none"/>
        </w:rPr>
        <w:t>方式，邀请符合资格条件的供应商参与竞争性磋商采购活动。</w:t>
      </w: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一、采购项目基本概况</w:t>
      </w:r>
    </w:p>
    <w:p>
      <w:pPr>
        <w:adjustRightInd w:val="0"/>
        <w:snapToGrid w:val="0"/>
        <w:spacing w:line="360" w:lineRule="auto"/>
        <w:ind w:firstLine="525" w:firstLineChars="250"/>
        <w:rPr>
          <w:rFonts w:ascii="宋体" w:hAnsi="宋体"/>
          <w:color w:val="auto"/>
          <w:szCs w:val="21"/>
          <w:highlight w:val="none"/>
        </w:rPr>
      </w:pPr>
      <w:r>
        <w:rPr>
          <w:rFonts w:ascii="宋体" w:hAnsi="宋体"/>
          <w:color w:val="auto"/>
          <w:szCs w:val="21"/>
          <w:highlight w:val="none"/>
        </w:rPr>
        <w:t>1、采购项目名称：</w:t>
      </w:r>
      <w:r>
        <w:rPr>
          <w:rFonts w:hint="eastAsia" w:ascii="宋体" w:hAnsi="宋体"/>
          <w:color w:val="auto"/>
          <w:szCs w:val="21"/>
          <w:highlight w:val="none"/>
          <w:u w:val="single"/>
          <w:lang w:eastAsia="zh-CN"/>
        </w:rPr>
        <w:t>玉赤河景观廊道二期工程项目概念规划设计服务</w:t>
      </w:r>
      <w:r>
        <w:rPr>
          <w:rFonts w:hint="eastAsia" w:ascii="宋体" w:hAnsi="宋体"/>
          <w:color w:val="auto"/>
          <w:szCs w:val="21"/>
          <w:highlight w:val="none"/>
        </w:rPr>
        <w:t>；</w:t>
      </w:r>
    </w:p>
    <w:p>
      <w:pPr>
        <w:adjustRightInd w:val="0"/>
        <w:snapToGrid w:val="0"/>
        <w:spacing w:line="360" w:lineRule="auto"/>
        <w:ind w:firstLine="525" w:firstLineChars="250"/>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项目编号：</w:t>
      </w:r>
      <w:r>
        <w:rPr>
          <w:rFonts w:hint="eastAsia" w:ascii="宋体" w:hAnsi="宋体"/>
          <w:color w:val="auto"/>
          <w:szCs w:val="21"/>
          <w:highlight w:val="none"/>
          <w:u w:val="single"/>
          <w:lang w:val="en-US" w:eastAsia="zh-CN"/>
        </w:rPr>
        <w:t>XJCG-F202310130023</w:t>
      </w:r>
      <w:r>
        <w:rPr>
          <w:rFonts w:hint="eastAsia" w:ascii="宋体" w:hAnsi="宋体"/>
          <w:color w:val="auto"/>
          <w:szCs w:val="21"/>
          <w:highlight w:val="none"/>
          <w:u w:val="none"/>
          <w:lang w:eastAsia="zh-CN"/>
        </w:rPr>
        <w:t>；</w:t>
      </w:r>
      <w:r>
        <w:rPr>
          <w:rFonts w:ascii="宋体" w:hAnsi="宋体"/>
          <w:color w:val="auto"/>
          <w:szCs w:val="21"/>
          <w:highlight w:val="none"/>
        </w:rPr>
        <w:t>采购代理编号：</w:t>
      </w:r>
      <w:r>
        <w:rPr>
          <w:rFonts w:hint="eastAsia" w:ascii="宋体" w:hAnsi="宋体"/>
          <w:color w:val="auto"/>
          <w:szCs w:val="21"/>
          <w:highlight w:val="none"/>
          <w:u w:val="single"/>
          <w:lang w:eastAsia="zh-CN"/>
        </w:rPr>
        <w:t>HXCG-HN-2310006</w:t>
      </w:r>
      <w:r>
        <w:rPr>
          <w:rFonts w:hint="eastAsia" w:ascii="宋体" w:hAnsi="宋体"/>
          <w:color w:val="auto"/>
          <w:szCs w:val="21"/>
          <w:highlight w:val="none"/>
        </w:rPr>
        <w:t>；</w:t>
      </w:r>
    </w:p>
    <w:p>
      <w:pPr>
        <w:adjustRightInd w:val="0"/>
        <w:snapToGrid w:val="0"/>
        <w:spacing w:line="360" w:lineRule="auto"/>
        <w:ind w:firstLine="525" w:firstLineChars="250"/>
        <w:rPr>
          <w:rFonts w:ascii="宋体" w:hAnsi="宋体"/>
          <w:color w:val="auto"/>
          <w:szCs w:val="21"/>
          <w:highlight w:val="none"/>
        </w:rPr>
      </w:pPr>
      <w:r>
        <w:rPr>
          <w:rFonts w:ascii="宋体" w:hAnsi="宋体"/>
          <w:color w:val="auto"/>
          <w:szCs w:val="21"/>
          <w:highlight w:val="none"/>
        </w:rPr>
        <w:t>3、采购项目预算：</w:t>
      </w:r>
      <w:r>
        <w:rPr>
          <w:rFonts w:hint="eastAsia" w:ascii="宋体" w:hAnsi="宋体"/>
          <w:color w:val="auto"/>
          <w:szCs w:val="21"/>
          <w:highlight w:val="none"/>
          <w:u w:val="single"/>
          <w:lang w:val="en-US" w:eastAsia="zh-CN"/>
        </w:rPr>
        <w:t>37</w:t>
      </w:r>
      <w:r>
        <w:rPr>
          <w:rFonts w:ascii="宋体" w:hAnsi="宋体"/>
          <w:color w:val="auto"/>
          <w:szCs w:val="21"/>
          <w:highlight w:val="none"/>
          <w:u w:val="single"/>
        </w:rPr>
        <w:t>万</w:t>
      </w:r>
      <w:r>
        <w:rPr>
          <w:rFonts w:hint="eastAsia" w:ascii="宋体" w:hAnsi="宋体"/>
          <w:color w:val="auto"/>
          <w:szCs w:val="21"/>
          <w:highlight w:val="none"/>
        </w:rPr>
        <w:t>；</w:t>
      </w:r>
    </w:p>
    <w:p>
      <w:pPr>
        <w:adjustRightInd w:val="0"/>
        <w:snapToGrid w:val="0"/>
        <w:spacing w:line="360" w:lineRule="auto"/>
        <w:ind w:firstLine="525" w:firstLineChars="250"/>
        <w:rPr>
          <w:rFonts w:ascii="宋体" w:hAnsi="宋体"/>
          <w:color w:val="auto"/>
          <w:szCs w:val="21"/>
          <w:highlight w:val="none"/>
          <w:u w:val="single"/>
        </w:rPr>
      </w:pPr>
      <w:r>
        <w:rPr>
          <w:rFonts w:ascii="宋体" w:hAnsi="宋体"/>
          <w:color w:val="auto"/>
          <w:szCs w:val="21"/>
          <w:highlight w:val="none"/>
        </w:rPr>
        <w:t>4、</w:t>
      </w:r>
      <w:r>
        <w:rPr>
          <w:rFonts w:hint="eastAsia" w:ascii="宋体" w:hAnsi="宋体" w:cs="宋体"/>
          <w:color w:val="auto"/>
          <w:szCs w:val="21"/>
          <w:highlight w:val="none"/>
        </w:rPr>
        <w:t>资金来源：</w:t>
      </w:r>
      <w:r>
        <w:rPr>
          <w:rFonts w:hint="eastAsia" w:ascii="宋体" w:hAnsi="宋体" w:cs="宋体"/>
          <w:color w:val="auto"/>
          <w:szCs w:val="21"/>
          <w:highlight w:val="none"/>
          <w:u w:val="single"/>
        </w:rPr>
        <w:t>企业自筹</w:t>
      </w:r>
      <w:r>
        <w:rPr>
          <w:rFonts w:hint="eastAsia" w:ascii="宋体" w:hAnsi="宋体" w:cs="宋体"/>
          <w:color w:val="auto"/>
          <w:szCs w:val="21"/>
          <w:highlight w:val="none"/>
        </w:rPr>
        <w:t>；</w:t>
      </w:r>
    </w:p>
    <w:p>
      <w:pPr>
        <w:adjustRightInd w:val="0"/>
        <w:snapToGrid w:val="0"/>
        <w:spacing w:line="360" w:lineRule="auto"/>
        <w:ind w:firstLine="525" w:firstLineChars="25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项目地点及区域</w:t>
      </w:r>
      <w:r>
        <w:rPr>
          <w:rFonts w:hint="eastAsia" w:ascii="宋体" w:hAnsi="宋体"/>
          <w:color w:val="auto"/>
          <w:szCs w:val="21"/>
          <w:highlight w:val="none"/>
          <w:lang w:val="en-US" w:eastAsia="zh-CN"/>
        </w:rPr>
        <w:t>：</w:t>
      </w:r>
      <w:r>
        <w:rPr>
          <w:rFonts w:hint="eastAsia" w:ascii="宋体" w:hAnsi="宋体"/>
          <w:color w:val="auto"/>
          <w:szCs w:val="21"/>
          <w:highlight w:val="none"/>
          <w:u w:val="single"/>
        </w:rPr>
        <w:t>该项目位于玉赤河流域中下游段（茯苓路至靳江河段）片区、玉华山北部及东部区域，南至望江路，东至东山湾路，沿玉赤河下游河道两岸以及雅河下游河段两岸区域进行保护性开发</w:t>
      </w:r>
      <w:r>
        <w:rPr>
          <w:rFonts w:hint="eastAsia" w:ascii="宋体" w:hAnsi="宋体"/>
          <w:color w:val="auto"/>
          <w:szCs w:val="21"/>
          <w:highlight w:val="none"/>
        </w:rPr>
        <w:t>；</w:t>
      </w:r>
    </w:p>
    <w:p>
      <w:pPr>
        <w:adjustRightInd w:val="0"/>
        <w:snapToGrid w:val="0"/>
        <w:spacing w:line="360" w:lineRule="auto"/>
        <w:ind w:firstLine="525" w:firstLineChars="250"/>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项目概况</w:t>
      </w:r>
      <w:r>
        <w:rPr>
          <w:rFonts w:ascii="宋体" w:hAnsi="宋体"/>
          <w:color w:val="auto"/>
          <w:szCs w:val="21"/>
          <w:highlight w:val="none"/>
        </w:rPr>
        <w:t>：</w:t>
      </w:r>
      <w:r>
        <w:rPr>
          <w:rFonts w:hint="eastAsia" w:ascii="宋体" w:hAnsi="宋体"/>
          <w:color w:val="auto"/>
          <w:szCs w:val="21"/>
          <w:highlight w:val="none"/>
        </w:rPr>
        <w:t>该项目区域总体面积约160公顷，用地性质主要包括公园绿地、农林用地（含大量基本农田）、河流水域以及各类建设用地等。为进一步完善园区配套设施建设，提升片区人居环境品质和土地价值，我司计划从片区生态综合体的整体设计理念和开发运营角度出发，致力于将该项目打造成位于长沙西南近郊、充分融合自然山林、田园风光及水系流域的沉浸式中高端文化旅游生态休闲生活区。此外，项目整体区域范围内亦包含多宗商住地块及文体产业地块等建设用地规划落位与开发。</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为确保项目片区开发顶层设计工作前置，优先明确空间概念规划和区域业态定位，同时理清项目落地实施路径和相关政策法规要求，我司现拟聘请专业服务单位编制该项目片区整体概念规划设计。</w:t>
      </w:r>
    </w:p>
    <w:p>
      <w:pPr>
        <w:adjustRightInd w:val="0"/>
        <w:snapToGrid w:val="0"/>
        <w:spacing w:line="360" w:lineRule="auto"/>
        <w:ind w:firstLine="527" w:firstLineChars="250"/>
        <w:rPr>
          <w:rFonts w:ascii="宋体" w:hAnsi="宋体"/>
          <w:b/>
          <w:color w:val="auto"/>
          <w:szCs w:val="21"/>
          <w:highlight w:val="none"/>
        </w:rPr>
      </w:pPr>
      <w:r>
        <w:rPr>
          <w:rFonts w:hint="eastAsia" w:ascii="宋体" w:hAnsi="宋体"/>
          <w:b/>
          <w:color w:val="auto"/>
          <w:szCs w:val="21"/>
          <w:highlight w:val="none"/>
        </w:rPr>
        <w:t>二、供应商资格条件：</w:t>
      </w:r>
    </w:p>
    <w:p>
      <w:pPr>
        <w:adjustRightInd w:val="0"/>
        <w:snapToGrid w:val="0"/>
        <w:spacing w:after="0" w:line="360" w:lineRule="auto"/>
        <w:ind w:firstLine="420" w:firstLineChars="200"/>
        <w:rPr>
          <w:rFonts w:ascii="宋体" w:hAnsi="宋体" w:cs="宋体"/>
          <w:iCs/>
          <w:color w:val="auto"/>
          <w:szCs w:val="21"/>
          <w:highlight w:val="none"/>
        </w:rPr>
      </w:pPr>
      <w:r>
        <w:rPr>
          <w:rFonts w:ascii="宋体" w:hAnsi="宋体" w:cs="宋体"/>
          <w:color w:val="auto"/>
          <w:szCs w:val="21"/>
          <w:highlight w:val="none"/>
        </w:rPr>
        <w:t>1、</w:t>
      </w:r>
      <w:r>
        <w:rPr>
          <w:rFonts w:hint="eastAsia" w:ascii="宋体" w:hAnsi="宋体" w:cs="宋体"/>
          <w:iCs/>
          <w:color w:val="auto"/>
          <w:szCs w:val="21"/>
          <w:highlight w:val="none"/>
        </w:rPr>
        <w:t>供应商的基本资格条件：应当符合《政府采购法》第二十二条第一款的规定，即：</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1）具有独立承担民事责任的能力；</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2）具有良好的商业信誉和健全的财务会计制度；</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3）具有履行合同所必需的设备和专业技术能力；</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4）有依法缴纳税收和社会保障资金的良好记录。</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5）参加政府采购活动前三年内，在经营活动中没有重大违法记录。</w:t>
      </w:r>
    </w:p>
    <w:p>
      <w:pPr>
        <w:adjustRightInd w:val="0"/>
        <w:snapToGrid w:val="0"/>
        <w:spacing w:after="0" w:line="360" w:lineRule="auto"/>
        <w:ind w:firstLine="420" w:firstLineChars="200"/>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6）法律、行政法规规定的其他条件。</w:t>
      </w:r>
    </w:p>
    <w:p>
      <w:pPr>
        <w:widowControl/>
        <w:adjustRightInd w:val="0"/>
        <w:spacing w:before="0" w:afterAutospacing="0" w:line="360" w:lineRule="auto"/>
        <w:ind w:left="228" w:firstLine="420" w:firstLineChars="200"/>
        <w:jc w:val="left"/>
        <w:rPr>
          <w:rFonts w:ascii="宋体" w:hAnsi="宋体"/>
          <w:color w:val="auto"/>
          <w:szCs w:val="21"/>
          <w:highlight w:val="none"/>
        </w:rPr>
      </w:pPr>
      <w:r>
        <w:rPr>
          <w:rFonts w:ascii="宋体" w:hAnsi="宋体"/>
          <w:color w:val="auto"/>
          <w:szCs w:val="21"/>
          <w:highlight w:val="none"/>
        </w:rPr>
        <w:t>2、供应商特定资格条件</w:t>
      </w:r>
      <w:r>
        <w:rPr>
          <w:rFonts w:hint="eastAsia" w:ascii="宋体" w:hAnsi="宋体"/>
          <w:color w:val="auto"/>
          <w:szCs w:val="21"/>
          <w:highlight w:val="none"/>
        </w:rPr>
        <w:t>：</w:t>
      </w:r>
      <w:r>
        <w:rPr>
          <w:rFonts w:hint="eastAsia" w:ascii="宋体" w:hAnsi="宋体" w:cs="宋体"/>
          <w:color w:val="auto"/>
          <w:szCs w:val="21"/>
          <w:highlight w:val="none"/>
        </w:rPr>
        <w:t>具备中华人民共和国城乡规划主管部门颁发的</w:t>
      </w:r>
      <w:r>
        <w:rPr>
          <w:rFonts w:hint="eastAsia" w:ascii="宋体" w:hAnsi="宋体" w:eastAsia="宋体" w:cs="宋体"/>
          <w:color w:val="auto"/>
          <w:sz w:val="21"/>
          <w:szCs w:val="21"/>
          <w:highlight w:val="none"/>
        </w:rPr>
        <w:t>城乡规划乙级及以上资质</w:t>
      </w:r>
      <w:r>
        <w:rPr>
          <w:rFonts w:hint="eastAsia" w:ascii="宋体" w:hAnsi="宋体" w:cs="宋体"/>
          <w:color w:val="auto"/>
          <w:szCs w:val="21"/>
          <w:highlight w:val="none"/>
        </w:rPr>
        <w:t>（根据自然资源部办公厅2019年12月31日发布的 《自然资源部办公厅关于国土空间规划编制资质有关问题的函》在新规定出台前，原有规划资质可作为参考）。</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ascii="宋体" w:hAnsi="宋体" w:cs="宋体"/>
          <w:color w:val="auto"/>
          <w:szCs w:val="21"/>
          <w:highlight w:val="none"/>
        </w:rPr>
        <w:t>3、单位负责人为同一人或者存在直接控股、管理关系的不同供应商，不得参加同一合同项下的政府采购活动。</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ascii="宋体" w:hAnsi="宋体" w:cs="宋体"/>
          <w:color w:val="auto"/>
          <w:szCs w:val="21"/>
          <w:highlight w:val="none"/>
        </w:rPr>
        <w:t>4、为本采购项目提供整体设计、规范编制或者项目管理、监理、检测等服务的，不得再参加此项目的其他招标采购活动。</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ascii="宋体" w:hAnsi="宋体" w:cs="宋体"/>
          <w:color w:val="auto"/>
          <w:szCs w:val="21"/>
          <w:highlight w:val="none"/>
        </w:rPr>
        <w:t>5、列入失信被执行人、重大税收违法案件当事人名单，列入政府采购严重违法失信行为记录名单的，拒绝其参与政府采购活动。</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ascii="宋体" w:hAnsi="宋体" w:cs="宋体"/>
          <w:color w:val="auto"/>
          <w:szCs w:val="21"/>
          <w:highlight w:val="none"/>
        </w:rPr>
        <w:t>6、本次招标</w:t>
      </w:r>
      <w:r>
        <w:rPr>
          <w:rFonts w:hint="eastAsia" w:ascii="宋体" w:hAnsi="宋体" w:cs="宋体"/>
          <w:color w:val="auto"/>
          <w:szCs w:val="21"/>
          <w:highlight w:val="none"/>
          <w:u w:val="single"/>
        </w:rPr>
        <w:t>不接受</w:t>
      </w:r>
      <w:r>
        <w:rPr>
          <w:rFonts w:ascii="宋体" w:hAnsi="宋体" w:cs="宋体"/>
          <w:color w:val="auto"/>
          <w:szCs w:val="21"/>
          <w:highlight w:val="none"/>
        </w:rPr>
        <w:t xml:space="preserve"> 联合体投标 。</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hint="eastAsia" w:ascii="宋体" w:hAnsi="宋体" w:cs="宋体"/>
          <w:iCs/>
          <w:color w:val="auto"/>
          <w:szCs w:val="21"/>
          <w:highlight w:val="none"/>
        </w:rPr>
        <w:t>注：（</w:t>
      </w:r>
      <w:r>
        <w:rPr>
          <w:rFonts w:ascii="宋体" w:hAnsi="宋体" w:cs="宋体"/>
          <w:iCs/>
          <w:color w:val="auto"/>
          <w:szCs w:val="21"/>
          <w:highlight w:val="none"/>
        </w:rPr>
        <w:t>1）、投标人可按响应文件组成中格式提供《供应商资格承诺函》参与采购活动，除营业执照扫描件、法定代表人身份证明、法定代表人授权委托书（附法定代表人身份证明）及特定资格条件外，无需再提供财务状况报告、依法缴纳税收和社会保障资金的相关材料、参加政府采购活动前3年内在经营活动中没有重大违法记录的书面声明。</w:t>
      </w:r>
    </w:p>
    <w:p>
      <w:pPr>
        <w:widowControl/>
        <w:adjustRightInd w:val="0"/>
        <w:spacing w:before="0" w:afterAutospacing="0" w:line="360" w:lineRule="auto"/>
        <w:ind w:left="228" w:firstLine="420" w:firstLineChars="200"/>
        <w:jc w:val="left"/>
        <w:rPr>
          <w:rFonts w:ascii="宋体" w:hAnsi="宋体" w:cs="宋体"/>
          <w:iCs/>
          <w:color w:val="auto"/>
          <w:szCs w:val="21"/>
          <w:highlight w:val="none"/>
        </w:rPr>
      </w:pPr>
      <w:r>
        <w:rPr>
          <w:rFonts w:hint="eastAsia" w:ascii="宋体" w:hAnsi="宋体" w:cs="宋体"/>
          <w:iCs/>
          <w:color w:val="auto"/>
          <w:szCs w:val="21"/>
          <w:highlight w:val="none"/>
        </w:rPr>
        <w:t>（</w:t>
      </w:r>
      <w:r>
        <w:rPr>
          <w:rFonts w:ascii="宋体" w:hAnsi="宋体" w:cs="宋体"/>
          <w:iCs/>
          <w:color w:val="auto"/>
          <w:szCs w:val="21"/>
          <w:highlight w:val="none"/>
        </w:rPr>
        <w:t>2）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自行注明是“三证合一”或“五证合一”并承担相关法律责任。</w:t>
      </w: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三、获取磋商文件的时间、地点、方式及磋商文件售价</w:t>
      </w:r>
    </w:p>
    <w:p>
      <w:pPr>
        <w:spacing w:line="360" w:lineRule="auto"/>
        <w:ind w:firstLine="424" w:firstLineChars="202"/>
        <w:rPr>
          <w:rFonts w:ascii="宋体" w:hAnsi="宋体"/>
          <w:color w:val="auto"/>
          <w:highlight w:val="none"/>
        </w:rPr>
      </w:pPr>
      <w:r>
        <w:rPr>
          <w:rFonts w:ascii="宋体" w:hAnsi="宋体"/>
          <w:color w:val="auto"/>
          <w:highlight w:val="none"/>
        </w:rPr>
        <w:t>1、凡有意参加磋商采购活动的，请于2023</w:t>
      </w:r>
      <w:r>
        <w:rPr>
          <w:rFonts w:hint="eastAsia" w:ascii="宋体" w:hAnsi="宋体"/>
          <w:color w:val="auto"/>
          <w:highlight w:val="none"/>
        </w:rPr>
        <w:t>年</w:t>
      </w:r>
      <w:r>
        <w:rPr>
          <w:rFonts w:hint="eastAsia" w:ascii="宋体" w:hAnsi="宋体"/>
          <w:color w:val="auto"/>
          <w:highlight w:val="none"/>
          <w:u w:val="single"/>
          <w:lang w:val="en-US" w:eastAsia="zh-CN"/>
        </w:rPr>
        <w:t>10</w:t>
      </w:r>
      <w:r>
        <w:rPr>
          <w:rFonts w:hint="eastAsia" w:ascii="宋体" w:hAnsi="宋体"/>
          <w:color w:val="auto"/>
          <w:highlight w:val="none"/>
        </w:rPr>
        <w:t>月</w:t>
      </w:r>
      <w:r>
        <w:rPr>
          <w:rFonts w:hint="eastAsia" w:ascii="宋体" w:hAnsi="宋体"/>
          <w:color w:val="auto"/>
          <w:highlight w:val="none"/>
          <w:u w:val="single"/>
          <w:lang w:val="en-US" w:eastAsia="zh-CN"/>
        </w:rPr>
        <w:t>27</w:t>
      </w:r>
      <w:r>
        <w:rPr>
          <w:rFonts w:hint="eastAsia" w:ascii="宋体" w:hAnsi="宋体"/>
          <w:color w:val="auto"/>
          <w:highlight w:val="none"/>
        </w:rPr>
        <w:t>日至</w:t>
      </w:r>
      <w:r>
        <w:rPr>
          <w:rFonts w:ascii="宋体" w:hAnsi="宋体"/>
          <w:color w:val="auto"/>
          <w:highlight w:val="none"/>
        </w:rPr>
        <w:t>2023</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3</w:t>
      </w:r>
      <w:r>
        <w:rPr>
          <w:rFonts w:hint="eastAsia" w:ascii="宋体" w:hAnsi="宋体"/>
          <w:color w:val="auto"/>
          <w:highlight w:val="none"/>
        </w:rPr>
        <w:t>日</w:t>
      </w:r>
      <w:r>
        <w:rPr>
          <w:rFonts w:ascii="宋体" w:hAnsi="宋体"/>
          <w:color w:val="auto"/>
          <w:highlight w:val="none"/>
        </w:rPr>
        <w:t>(节假日除外)，每日上午9:00至12:00、下午14:00至17:00(北京时间)，持营业执照或事业单位法人登记证书、法定代表人身份证明或授权委托书(附法定代表人身份证明)、个人身份证到</w:t>
      </w:r>
      <w:r>
        <w:rPr>
          <w:rFonts w:hint="eastAsia" w:ascii="宋体" w:hAnsi="宋体"/>
          <w:color w:val="auto"/>
          <w:highlight w:val="none"/>
          <w:u w:val="single"/>
        </w:rPr>
        <w:t>华新项目管理集团有限公司（长沙市天心区保利国际广场</w:t>
      </w:r>
      <w:r>
        <w:rPr>
          <w:rFonts w:ascii="宋体" w:hAnsi="宋体"/>
          <w:color w:val="auto"/>
          <w:highlight w:val="none"/>
          <w:u w:val="single"/>
        </w:rPr>
        <w:t>B3栋1801-1805室）</w:t>
      </w:r>
      <w:r>
        <w:rPr>
          <w:rFonts w:hint="eastAsia" w:ascii="宋体" w:hAnsi="宋体"/>
          <w:color w:val="auto"/>
          <w:highlight w:val="none"/>
        </w:rPr>
        <w:t>领取磋商文件。</w:t>
      </w:r>
      <w:r>
        <w:rPr>
          <w:rFonts w:ascii="宋体" w:hAnsi="宋体"/>
          <w:color w:val="auto"/>
          <w:highlight w:val="none"/>
        </w:rPr>
        <w:t xml:space="preserve"> </w:t>
      </w:r>
    </w:p>
    <w:p>
      <w:pPr>
        <w:spacing w:line="360" w:lineRule="auto"/>
        <w:ind w:firstLine="424" w:firstLineChars="202"/>
        <w:rPr>
          <w:rFonts w:ascii="宋体" w:hAnsi="宋体"/>
          <w:color w:val="auto"/>
          <w:highlight w:val="none"/>
        </w:rPr>
      </w:pPr>
      <w:r>
        <w:rPr>
          <w:rFonts w:ascii="宋体" w:hAnsi="宋体"/>
          <w:color w:val="auto"/>
          <w:highlight w:val="none"/>
        </w:rPr>
        <w:t>2</w:t>
      </w:r>
      <w:r>
        <w:rPr>
          <w:rFonts w:hint="eastAsia" w:ascii="宋体" w:hAnsi="宋体"/>
          <w:color w:val="auto"/>
          <w:highlight w:val="none"/>
        </w:rPr>
        <w:t>、本磋商文件公告期限为</w:t>
      </w:r>
      <w:r>
        <w:rPr>
          <w:rFonts w:ascii="宋体" w:hAnsi="宋体"/>
          <w:color w:val="auto"/>
          <w:highlight w:val="none"/>
        </w:rPr>
        <w:t>2023</w:t>
      </w:r>
      <w:r>
        <w:rPr>
          <w:rFonts w:hint="eastAsia" w:ascii="宋体" w:hAnsi="宋体"/>
          <w:color w:val="auto"/>
          <w:highlight w:val="none"/>
        </w:rPr>
        <w:t>年</w:t>
      </w:r>
      <w:r>
        <w:rPr>
          <w:rFonts w:hint="eastAsia" w:ascii="宋体" w:hAnsi="宋体"/>
          <w:color w:val="auto"/>
          <w:highlight w:val="none"/>
          <w:u w:val="single"/>
          <w:lang w:val="en-US" w:eastAsia="zh-CN"/>
        </w:rPr>
        <w:t>10</w:t>
      </w:r>
      <w:r>
        <w:rPr>
          <w:rFonts w:hint="eastAsia" w:ascii="宋体" w:hAnsi="宋体"/>
          <w:color w:val="auto"/>
          <w:highlight w:val="none"/>
        </w:rPr>
        <w:t>月</w:t>
      </w:r>
      <w:r>
        <w:rPr>
          <w:rFonts w:hint="eastAsia" w:ascii="宋体" w:hAnsi="宋体"/>
          <w:color w:val="auto"/>
          <w:highlight w:val="none"/>
          <w:u w:val="single"/>
          <w:lang w:val="en-US" w:eastAsia="zh-CN"/>
        </w:rPr>
        <w:t>27</w:t>
      </w:r>
      <w:r>
        <w:rPr>
          <w:rFonts w:hint="eastAsia" w:ascii="宋体" w:hAnsi="宋体"/>
          <w:color w:val="auto"/>
          <w:highlight w:val="none"/>
        </w:rPr>
        <w:t>日起至</w:t>
      </w:r>
      <w:r>
        <w:rPr>
          <w:rFonts w:ascii="宋体" w:hAnsi="宋体"/>
          <w:color w:val="auto"/>
          <w:highlight w:val="none"/>
        </w:rPr>
        <w:t>2023</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1</w:t>
      </w:r>
      <w:r>
        <w:rPr>
          <w:rFonts w:hint="eastAsia" w:ascii="宋体" w:hAnsi="宋体"/>
          <w:color w:val="auto"/>
          <w:highlight w:val="none"/>
        </w:rPr>
        <w:t>日</w:t>
      </w:r>
    </w:p>
    <w:p>
      <w:pPr>
        <w:spacing w:line="360" w:lineRule="auto"/>
        <w:ind w:firstLine="424" w:firstLineChars="202"/>
        <w:rPr>
          <w:rFonts w:ascii="宋体" w:hAnsi="宋体"/>
          <w:color w:val="auto"/>
          <w:highlight w:val="none"/>
        </w:rPr>
      </w:pPr>
      <w:r>
        <w:rPr>
          <w:rFonts w:ascii="宋体" w:hAnsi="宋体"/>
          <w:color w:val="auto"/>
          <w:highlight w:val="none"/>
        </w:rPr>
        <w:t>3</w:t>
      </w:r>
      <w:r>
        <w:rPr>
          <w:rFonts w:hint="eastAsia" w:ascii="宋体" w:hAnsi="宋体"/>
          <w:color w:val="auto"/>
          <w:highlight w:val="none"/>
        </w:rPr>
        <w:t>、磋商文件</w:t>
      </w:r>
      <w:r>
        <w:rPr>
          <w:rFonts w:hint="eastAsia" w:ascii="宋体" w:hAnsi="宋体"/>
          <w:bCs/>
          <w:color w:val="auto"/>
          <w:highlight w:val="none"/>
        </w:rPr>
        <w:t>售价：</w:t>
      </w:r>
      <w:r>
        <w:rPr>
          <w:rFonts w:ascii="宋体" w:hAnsi="宋体"/>
          <w:bCs/>
          <w:color w:val="auto"/>
          <w:highlight w:val="none"/>
          <w:u w:val="single"/>
        </w:rPr>
        <w:t>0</w:t>
      </w:r>
      <w:r>
        <w:rPr>
          <w:rFonts w:hint="eastAsia" w:ascii="宋体" w:hAnsi="宋体"/>
          <w:bCs/>
          <w:color w:val="auto"/>
          <w:highlight w:val="none"/>
        </w:rPr>
        <w:t>元</w:t>
      </w:r>
      <w:r>
        <w:rPr>
          <w:rFonts w:ascii="宋体" w:hAnsi="宋体"/>
          <w:bCs/>
          <w:color w:val="auto"/>
          <w:highlight w:val="none"/>
        </w:rPr>
        <w:t>/套</w:t>
      </w:r>
      <w:r>
        <w:rPr>
          <w:rFonts w:hint="eastAsia" w:ascii="宋体" w:hAnsi="宋体"/>
          <w:color w:val="auto"/>
          <w:highlight w:val="none"/>
        </w:rPr>
        <w:t>。</w:t>
      </w: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四、响应文件提交的截止时间、开启时间及地点</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1、提交首次响应文件的截止时间为</w:t>
      </w:r>
      <w:r>
        <w:rPr>
          <w:rFonts w:ascii="宋体" w:hAnsi="宋体"/>
          <w:color w:val="auto"/>
          <w:szCs w:val="21"/>
          <w:highlight w:val="none"/>
          <w:u w:val="single"/>
        </w:rPr>
        <w:t>2023</w:t>
      </w:r>
      <w:r>
        <w:rPr>
          <w:rFonts w:hint="eastAsia" w:ascii="宋体" w:hAnsi="宋体"/>
          <w:color w:val="auto"/>
          <w:szCs w:val="21"/>
          <w:highlight w:val="none"/>
        </w:rPr>
        <w:t>年</w:t>
      </w:r>
      <w:r>
        <w:rPr>
          <w:rFonts w:hint="eastAsia" w:ascii="宋体" w:hAnsi="宋体"/>
          <w:color w:val="auto"/>
          <w:highlight w:val="none"/>
          <w:u w:val="single"/>
          <w:lang w:val="en-US" w:eastAsia="zh-CN"/>
        </w:rPr>
        <w:t>11</w:t>
      </w:r>
      <w:r>
        <w:rPr>
          <w:rFonts w:hint="eastAsia" w:ascii="宋体" w:hAnsi="宋体"/>
          <w:color w:val="auto"/>
          <w:szCs w:val="21"/>
          <w:highlight w:val="none"/>
        </w:rPr>
        <w:t>月</w:t>
      </w:r>
      <w:r>
        <w:rPr>
          <w:rFonts w:hint="eastAsia" w:ascii="宋体" w:hAnsi="宋体"/>
          <w:color w:val="auto"/>
          <w:highlight w:val="none"/>
          <w:u w:val="single"/>
          <w:lang w:val="en-US" w:eastAsia="zh-CN"/>
        </w:rPr>
        <w:t>8</w:t>
      </w:r>
      <w:r>
        <w:rPr>
          <w:rFonts w:hint="eastAsia" w:ascii="宋体" w:hAnsi="宋体"/>
          <w:color w:val="auto"/>
          <w:szCs w:val="21"/>
          <w:highlight w:val="none"/>
        </w:rPr>
        <w:t>日</w:t>
      </w:r>
      <w:r>
        <w:rPr>
          <w:rFonts w:hint="eastAsia" w:ascii="宋体" w:hAnsi="宋体"/>
          <w:color w:val="auto"/>
          <w:highlight w:val="none"/>
          <w:u w:val="single"/>
          <w:lang w:val="en-US" w:eastAsia="zh-CN"/>
        </w:rPr>
        <w:t>9</w:t>
      </w:r>
      <w:r>
        <w:rPr>
          <w:rFonts w:hint="eastAsia" w:ascii="宋体" w:hAnsi="宋体"/>
          <w:color w:val="auto"/>
          <w:szCs w:val="21"/>
          <w:highlight w:val="none"/>
        </w:rPr>
        <w:t>时</w:t>
      </w:r>
      <w:r>
        <w:rPr>
          <w:rFonts w:hint="eastAsia" w:ascii="宋体" w:hAnsi="宋体"/>
          <w:color w:val="auto"/>
          <w:highlight w:val="none"/>
          <w:u w:val="single"/>
          <w:lang w:val="en-US" w:eastAsia="zh-CN"/>
        </w:rPr>
        <w:t>30</w:t>
      </w:r>
      <w:r>
        <w:rPr>
          <w:rFonts w:hint="eastAsia" w:ascii="宋体" w:hAnsi="宋体"/>
          <w:color w:val="auto"/>
          <w:szCs w:val="21"/>
          <w:highlight w:val="none"/>
        </w:rPr>
        <w:t>分（北京时间），地点为</w:t>
      </w:r>
      <w:r>
        <w:rPr>
          <w:rFonts w:hint="eastAsia" w:ascii="宋体" w:hAnsi="宋体"/>
          <w:color w:val="auto"/>
          <w:szCs w:val="21"/>
          <w:highlight w:val="none"/>
          <w:u w:val="single"/>
        </w:rPr>
        <w:t>华新项目管理集团有限公司开标室</w:t>
      </w:r>
      <w:r>
        <w:rPr>
          <w:rFonts w:hint="eastAsia" w:ascii="宋体" w:hAnsi="宋体"/>
          <w:color w:val="auto"/>
          <w:szCs w:val="21"/>
          <w:highlight w:val="none"/>
        </w:rPr>
        <w:t>（长沙市天心区保利国际广场</w:t>
      </w:r>
      <w:r>
        <w:rPr>
          <w:rFonts w:ascii="宋体" w:hAnsi="宋体"/>
          <w:color w:val="auto"/>
          <w:szCs w:val="21"/>
          <w:highlight w:val="none"/>
        </w:rPr>
        <w:t>B3栋1801-1805室）。在截止时间后送达的响应文件为无效文件，采购人、采购代理机构或者磋商小组应当拒收。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2、首次响应文件的开启时间及地点与提交首次响应文件的截止时间及地点为同一时间及地点。</w:t>
      </w:r>
    </w:p>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五、采购项目联系人姓名和电话</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采</w:t>
      </w:r>
      <w:r>
        <w:rPr>
          <w:rFonts w:ascii="宋体" w:hAnsi="宋体"/>
          <w:color w:val="auto"/>
          <w:highlight w:val="none"/>
        </w:rPr>
        <w:t xml:space="preserve"> </w:t>
      </w:r>
      <w:r>
        <w:rPr>
          <w:rFonts w:hint="eastAsia" w:ascii="宋体" w:hAnsi="宋体"/>
          <w:color w:val="auto"/>
          <w:highlight w:val="none"/>
        </w:rPr>
        <w:t>购</w:t>
      </w:r>
      <w:r>
        <w:rPr>
          <w:rFonts w:ascii="宋体" w:hAnsi="宋体"/>
          <w:color w:val="auto"/>
          <w:highlight w:val="none"/>
        </w:rPr>
        <w:t xml:space="preserve"> </w:t>
      </w:r>
      <w:r>
        <w:rPr>
          <w:rFonts w:hint="eastAsia" w:ascii="宋体" w:hAnsi="宋体"/>
          <w:color w:val="auto"/>
          <w:highlight w:val="none"/>
        </w:rPr>
        <w:t>人：湖南智谷投资发展集团有限公司</w:t>
      </w:r>
      <w:r>
        <w:rPr>
          <w:rFonts w:ascii="宋体" w:hAnsi="宋体"/>
          <w:color w:val="auto"/>
          <w:highlight w:val="none"/>
        </w:rPr>
        <w:t xml:space="preserve">             </w:t>
      </w:r>
    </w:p>
    <w:p>
      <w:pPr>
        <w:adjustRightInd w:val="0"/>
        <w:snapToGrid w:val="0"/>
        <w:spacing w:line="360" w:lineRule="auto"/>
        <w:ind w:firstLine="424" w:firstLineChars="202"/>
        <w:rPr>
          <w:rFonts w:hint="eastAsia" w:ascii="宋体" w:hAnsi="宋体" w:eastAsia="宋体"/>
          <w:color w:val="auto"/>
          <w:highlight w:val="none"/>
          <w:lang w:eastAsia="zh-CN"/>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r>
        <w:rPr>
          <w:rFonts w:hint="eastAsia" w:ascii="宋体" w:hAnsi="宋体"/>
          <w:color w:val="auto"/>
          <w:highlight w:val="none"/>
          <w:lang w:eastAsia="zh-CN"/>
        </w:rPr>
        <w:t>祝先生</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r>
        <w:rPr>
          <w:rFonts w:ascii="宋体" w:hAnsi="宋体"/>
          <w:color w:val="auto"/>
          <w:highlight w:val="none"/>
        </w:rPr>
        <w:t>0731-88</w:t>
      </w:r>
      <w:r>
        <w:rPr>
          <w:rFonts w:hint="eastAsia" w:ascii="宋体" w:hAnsi="宋体"/>
          <w:color w:val="auto"/>
          <w:highlight w:val="none"/>
          <w:lang w:val="en-US" w:eastAsia="zh-CN"/>
        </w:rPr>
        <w:t>092886</w:t>
      </w:r>
    </w:p>
    <w:p>
      <w:pPr>
        <w:adjustRightInd w:val="0"/>
        <w:snapToGrid w:val="0"/>
        <w:spacing w:line="360" w:lineRule="auto"/>
        <w:ind w:left="420" w:leftChars="200"/>
        <w:rPr>
          <w:rFonts w:hint="eastAsia" w:ascii="宋体" w:hAnsi="宋体" w:eastAsia="宋体"/>
          <w:color w:val="auto"/>
          <w:highlight w:val="none"/>
          <w:lang w:eastAsia="zh-CN"/>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r>
        <w:rPr>
          <w:rFonts w:hint="eastAsia" w:ascii="宋体" w:hAnsi="宋体"/>
          <w:color w:val="auto"/>
          <w:highlight w:val="none"/>
          <w:lang w:eastAsia="zh-CN"/>
        </w:rPr>
        <w:t>湖南省检验检测特色产业园（长沙市岳麓区学士路336号）A1栋23楼</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代理机构：华新项目管理集团有限公司</w:t>
      </w:r>
      <w:r>
        <w:rPr>
          <w:rFonts w:ascii="宋体" w:hAnsi="宋体"/>
          <w:color w:val="auto"/>
          <w:highlight w:val="none"/>
        </w:rPr>
        <w:t xml:space="preserve"> </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人：罗婷、康心旭、粟瑀</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r>
        <w:rPr>
          <w:rFonts w:ascii="宋体" w:hAnsi="宋体"/>
          <w:color w:val="auto"/>
          <w:highlight w:val="none"/>
        </w:rPr>
        <w:t>0731-85163777</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址：长沙市天心区保利国际广场</w:t>
      </w:r>
      <w:r>
        <w:rPr>
          <w:rFonts w:ascii="宋体" w:hAnsi="宋体"/>
          <w:color w:val="auto"/>
          <w:highlight w:val="none"/>
        </w:rPr>
        <w:t>B3栋1801-1805室</w:t>
      </w:r>
    </w:p>
    <w:p>
      <w:pPr>
        <w:widowControl/>
        <w:adjustRightInd w:val="0"/>
        <w:snapToGrid w:val="0"/>
        <w:spacing w:line="360" w:lineRule="auto"/>
        <w:ind w:firstLine="0" w:firstLineChars="0"/>
        <w:rPr>
          <w:rFonts w:ascii="宋体" w:hAnsi="宋体"/>
          <w:b/>
          <w:bCs/>
          <w:color w:val="auto"/>
          <w:highlight w:val="none"/>
        </w:rPr>
      </w:pPr>
      <w:r>
        <w:rPr>
          <w:rFonts w:hint="eastAsia" w:ascii="宋体" w:hAnsi="宋体"/>
          <w:b/>
          <w:bCs/>
          <w:color w:val="auto"/>
          <w:highlight w:val="none"/>
        </w:rPr>
        <w:t>六、监督部门</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本项目接受</w:t>
      </w:r>
      <w:r>
        <w:rPr>
          <w:rFonts w:hint="eastAsia" w:ascii="宋体" w:hAnsi="宋体"/>
          <w:color w:val="auto"/>
          <w:highlight w:val="none"/>
          <w:u w:val="none"/>
        </w:rPr>
        <w:t>湖南智谷投资发展集团有限公司审计监察部</w:t>
      </w:r>
      <w:r>
        <w:rPr>
          <w:rFonts w:hint="eastAsia" w:ascii="宋体" w:hAnsi="宋体"/>
          <w:color w:val="auto"/>
          <w:highlight w:val="none"/>
        </w:rPr>
        <w:t>监督。</w:t>
      </w:r>
    </w:p>
    <w:p>
      <w:pPr>
        <w:adjustRightInd w:val="0"/>
        <w:snapToGrid w:val="0"/>
        <w:spacing w:line="360" w:lineRule="auto"/>
        <w:ind w:firstLine="424" w:firstLineChars="202"/>
        <w:rPr>
          <w:rFonts w:hint="eastAsia" w:ascii="宋体" w:hAnsi="宋体"/>
          <w:color w:val="auto"/>
          <w:highlight w:val="none"/>
        </w:rPr>
      </w:pPr>
      <w:r>
        <w:rPr>
          <w:rFonts w:hint="eastAsia" w:ascii="宋体" w:hAnsi="宋体"/>
          <w:color w:val="auto"/>
          <w:highlight w:val="none"/>
        </w:rPr>
        <w:t>电话：</w:t>
      </w:r>
      <w:r>
        <w:rPr>
          <w:rFonts w:ascii="宋体" w:hAnsi="宋体"/>
          <w:color w:val="auto"/>
          <w:highlight w:val="none"/>
        </w:rPr>
        <w:t>0731-85581812</w:t>
      </w:r>
      <w:r>
        <w:rPr>
          <w:rFonts w:hint="eastAsia" w:ascii="宋体" w:hAnsi="宋体"/>
          <w:color w:val="auto"/>
          <w:highlight w:val="none"/>
          <w:lang w:eastAsia="zh-CN"/>
        </w:rPr>
        <w:t>。</w:t>
      </w:r>
    </w:p>
    <w:p>
      <w:pPr>
        <w:spacing w:line="360" w:lineRule="auto"/>
        <w:rPr>
          <w:rFonts w:ascii="宋体" w:hAnsi="宋体"/>
          <w:b/>
          <w:color w:val="auto"/>
          <w:sz w:val="32"/>
          <w:szCs w:val="32"/>
          <w:highlight w:val="none"/>
        </w:rPr>
      </w:pPr>
    </w:p>
    <w:p>
      <w:pPr>
        <w:spacing w:line="360" w:lineRule="auto"/>
        <w:rPr>
          <w:rFonts w:ascii="宋体" w:hAnsi="宋体"/>
          <w:b/>
          <w:color w:val="auto"/>
          <w:sz w:val="32"/>
          <w:szCs w:val="32"/>
          <w:highlight w:val="none"/>
        </w:rPr>
      </w:pPr>
    </w:p>
    <w:p>
      <w:pPr>
        <w:spacing w:line="520" w:lineRule="exact"/>
        <w:rPr>
          <w:rFonts w:ascii="宋体" w:hAnsi="宋体"/>
          <w:b/>
          <w:color w:val="auto"/>
          <w:sz w:val="32"/>
          <w:szCs w:val="32"/>
          <w:highlight w:val="none"/>
        </w:rPr>
      </w:pPr>
    </w:p>
    <w:p>
      <w:pPr>
        <w:spacing w:line="520" w:lineRule="exact"/>
        <w:rPr>
          <w:rFonts w:ascii="宋体" w:hAnsi="宋体"/>
          <w:b/>
          <w:color w:val="auto"/>
          <w:sz w:val="32"/>
          <w:szCs w:val="32"/>
          <w:highlight w:val="none"/>
        </w:rPr>
      </w:pPr>
    </w:p>
    <w:p>
      <w:pPr>
        <w:spacing w:line="520" w:lineRule="exact"/>
        <w:jc w:val="center"/>
        <w:outlineLvl w:val="0"/>
        <w:rPr>
          <w:rFonts w:ascii="宋体" w:hAnsi="宋体"/>
          <w:b/>
          <w:color w:val="auto"/>
          <w:sz w:val="32"/>
          <w:szCs w:val="32"/>
          <w:highlight w:val="none"/>
        </w:rPr>
        <w:sectPr>
          <w:footerReference r:id="rId6" w:type="first"/>
          <w:footerReference r:id="rId5" w:type="default"/>
          <w:pgSz w:w="11906" w:h="16838"/>
          <w:pgMar w:top="1440" w:right="1531" w:bottom="1440" w:left="1531" w:header="851" w:footer="992" w:gutter="0"/>
          <w:pgNumType w:start="1"/>
          <w:cols w:space="720" w:num="1"/>
          <w:titlePg/>
          <w:docGrid w:type="lines" w:linePitch="312" w:charSpace="0"/>
        </w:sectPr>
      </w:pPr>
    </w:p>
    <w:p>
      <w:pPr>
        <w:spacing w:line="520" w:lineRule="exact"/>
        <w:jc w:val="center"/>
        <w:outlineLvl w:val="0"/>
        <w:rPr>
          <w:rFonts w:ascii="宋体" w:hAnsi="宋体"/>
          <w:b/>
          <w:color w:val="auto"/>
          <w:sz w:val="32"/>
          <w:szCs w:val="32"/>
          <w:highlight w:val="none"/>
        </w:rPr>
      </w:pPr>
      <w:r>
        <w:rPr>
          <w:rFonts w:hint="eastAsia" w:ascii="宋体" w:hAnsi="宋体"/>
          <w:b/>
          <w:color w:val="auto"/>
          <w:sz w:val="32"/>
          <w:szCs w:val="32"/>
          <w:highlight w:val="none"/>
        </w:rPr>
        <w:t>第二章</w:t>
      </w:r>
      <w:r>
        <w:rPr>
          <w:rFonts w:ascii="宋体" w:hAnsi="宋体"/>
          <w:b/>
          <w:color w:val="auto"/>
          <w:sz w:val="32"/>
          <w:szCs w:val="32"/>
          <w:highlight w:val="none"/>
        </w:rPr>
        <w:t xml:space="preserve"> </w:t>
      </w:r>
      <w:r>
        <w:rPr>
          <w:rFonts w:hint="eastAsia" w:ascii="宋体" w:hAnsi="宋体"/>
          <w:b/>
          <w:color w:val="auto"/>
          <w:sz w:val="32"/>
          <w:szCs w:val="32"/>
          <w:highlight w:val="none"/>
        </w:rPr>
        <w:t>磋商须知</w:t>
      </w:r>
    </w:p>
    <w:p>
      <w:pPr>
        <w:spacing w:line="520" w:lineRule="exact"/>
        <w:outlineLvl w:val="1"/>
        <w:rPr>
          <w:rFonts w:ascii="宋体" w:hAnsi="宋体"/>
          <w:b/>
          <w:color w:val="auto"/>
          <w:sz w:val="24"/>
          <w:highlight w:val="none"/>
        </w:rPr>
      </w:pPr>
      <w:r>
        <w:rPr>
          <w:rFonts w:hint="eastAsia" w:ascii="宋体" w:hAnsi="宋体"/>
          <w:b/>
          <w:color w:val="auto"/>
          <w:sz w:val="24"/>
          <w:highlight w:val="none"/>
        </w:rPr>
        <w:t>磋商须知前附表</w:t>
      </w:r>
    </w:p>
    <w:p>
      <w:pPr>
        <w:spacing w:line="520" w:lineRule="exact"/>
        <w:rPr>
          <w:rFonts w:ascii="宋体" w:hAnsi="宋体"/>
          <w:color w:val="auto"/>
          <w:highlight w:val="none"/>
        </w:rPr>
      </w:pPr>
      <w:r>
        <w:rPr>
          <w:rFonts w:hint="eastAsia" w:ascii="宋体" w:hAnsi="宋体"/>
          <w:color w:val="auto"/>
          <w:highlight w:val="none"/>
        </w:rPr>
        <w:t>注：</w:t>
      </w:r>
      <w:r>
        <w:rPr>
          <w:rFonts w:ascii="宋体" w:hAnsi="宋体"/>
          <w:color w:val="auto"/>
          <w:highlight w:val="none"/>
        </w:rPr>
        <w:t xml:space="preserve"> </w:t>
      </w:r>
      <w:r>
        <w:rPr>
          <w:rFonts w:hint="eastAsia" w:ascii="宋体" w:hAnsi="宋体"/>
          <w:color w:val="auto"/>
          <w:highlight w:val="none"/>
        </w:rPr>
        <w:t>请在方框□内划√选择，在“条款号”内限选一项。（本项目采用的条款用“■”标示）</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985"/>
        <w:gridCol w:w="5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1844" w:type="dxa"/>
            <w:tcBorders>
              <w:top w:val="double" w:color="auto" w:sz="4" w:space="0"/>
            </w:tcBorders>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条款号</w:t>
            </w:r>
          </w:p>
        </w:tc>
        <w:tc>
          <w:tcPr>
            <w:tcW w:w="1985" w:type="dxa"/>
            <w:tcBorders>
              <w:top w:val="double" w:color="auto" w:sz="4" w:space="0"/>
            </w:tcBorders>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条款名称</w:t>
            </w:r>
          </w:p>
        </w:tc>
        <w:tc>
          <w:tcPr>
            <w:tcW w:w="5016" w:type="dxa"/>
            <w:tcBorders>
              <w:top w:val="double" w:color="auto" w:sz="4" w:space="0"/>
            </w:tcBorders>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color w:val="auto"/>
                <w:szCs w:val="21"/>
                <w:highlight w:val="none"/>
              </w:rPr>
            </w:pPr>
            <w:r>
              <w:rPr>
                <w:rFonts w:hint="eastAsia" w:ascii="宋体" w:hAnsi="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采购项目</w:t>
            </w:r>
          </w:p>
        </w:tc>
        <w:tc>
          <w:tcPr>
            <w:tcW w:w="5016" w:type="dxa"/>
            <w:vAlign w:val="center"/>
          </w:tcPr>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玉赤河景观廊道二期工程项目概念规划设计服务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采购人</w:t>
            </w:r>
          </w:p>
        </w:tc>
        <w:tc>
          <w:tcPr>
            <w:tcW w:w="5016" w:type="dxa"/>
            <w:vAlign w:val="center"/>
          </w:tcPr>
          <w:p>
            <w:pPr>
              <w:adjustRightInd w:val="0"/>
              <w:snapToGrid w:val="0"/>
              <w:spacing w:line="360" w:lineRule="auto"/>
              <w:rPr>
                <w:rFonts w:ascii="宋体" w:hAnsi="宋体"/>
                <w:color w:val="auto"/>
                <w:highlight w:val="none"/>
              </w:rPr>
            </w:pPr>
            <w:r>
              <w:rPr>
                <w:rFonts w:hint="eastAsia" w:ascii="宋体" w:hAnsi="宋体"/>
                <w:color w:val="auto"/>
                <w:highlight w:val="none"/>
              </w:rPr>
              <w:t>名</w:t>
            </w:r>
            <w:r>
              <w:rPr>
                <w:rFonts w:ascii="宋体" w:hAnsi="宋体"/>
                <w:color w:val="auto"/>
                <w:highlight w:val="none"/>
              </w:rPr>
              <w:t xml:space="preserve">  </w:t>
            </w:r>
            <w:r>
              <w:rPr>
                <w:rFonts w:hint="eastAsia" w:ascii="宋体" w:hAnsi="宋体"/>
                <w:color w:val="auto"/>
                <w:highlight w:val="none"/>
              </w:rPr>
              <w:t>称：湖南智谷投资发展集团有限公司</w:t>
            </w:r>
            <w:r>
              <w:rPr>
                <w:rFonts w:ascii="宋体" w:hAnsi="宋体"/>
                <w:color w:val="auto"/>
                <w:highlight w:val="none"/>
              </w:rPr>
              <w:t xml:space="preserve"> </w:t>
            </w:r>
          </w:p>
          <w:p>
            <w:pPr>
              <w:adjustRightInd w:val="0"/>
              <w:snapToGrid w:val="0"/>
              <w:spacing w:line="360" w:lineRule="auto"/>
              <w:rPr>
                <w:rFonts w:hint="eastAsia" w:ascii="宋体" w:hAnsi="宋体" w:eastAsia="宋体"/>
                <w:color w:val="auto"/>
                <w:highlight w:val="none"/>
                <w:lang w:eastAsia="zh-CN"/>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r>
              <w:rPr>
                <w:rFonts w:hint="eastAsia" w:ascii="宋体" w:hAnsi="宋体"/>
                <w:color w:val="auto"/>
                <w:highlight w:val="none"/>
                <w:lang w:eastAsia="zh-CN"/>
              </w:rPr>
              <w:t>祝先生</w:t>
            </w:r>
          </w:p>
          <w:p>
            <w:pPr>
              <w:adjustRightInd w:val="0"/>
              <w:snapToGrid w:val="0"/>
              <w:spacing w:line="360" w:lineRule="auto"/>
              <w:rPr>
                <w:rFonts w:hint="default" w:ascii="宋体" w:hAnsi="宋体" w:eastAsia="宋体"/>
                <w:color w:val="auto"/>
                <w:highlight w:val="none"/>
                <w:lang w:val="en-US" w:eastAsia="zh-CN"/>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r>
              <w:rPr>
                <w:rFonts w:ascii="宋体" w:hAnsi="宋体"/>
                <w:color w:val="auto"/>
                <w:highlight w:val="none"/>
              </w:rPr>
              <w:t>0731-88</w:t>
            </w:r>
            <w:r>
              <w:rPr>
                <w:rFonts w:hint="eastAsia" w:ascii="宋体" w:hAnsi="宋体"/>
                <w:color w:val="auto"/>
                <w:highlight w:val="none"/>
                <w:lang w:val="en-US" w:eastAsia="zh-CN"/>
              </w:rPr>
              <w:t>092886</w:t>
            </w:r>
          </w:p>
          <w:p>
            <w:pPr>
              <w:adjustRightInd w:val="0"/>
              <w:snapToGrid w:val="0"/>
              <w:spacing w:line="360" w:lineRule="auto"/>
              <w:rPr>
                <w:rFonts w:hint="eastAsia" w:ascii="宋体" w:hAnsi="宋体" w:eastAsia="宋体"/>
                <w:color w:val="auto"/>
                <w:highlight w:val="none"/>
                <w:lang w:eastAsia="zh-CN"/>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r>
              <w:rPr>
                <w:rFonts w:hint="eastAsia" w:ascii="宋体" w:hAnsi="宋体"/>
                <w:color w:val="auto"/>
                <w:highlight w:val="none"/>
                <w:lang w:eastAsia="zh-CN"/>
              </w:rPr>
              <w:t>湖南省检验检测特色产业园（长沙市岳麓区学士路336号）A1栋23楼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2.2</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采购代理机构</w:t>
            </w:r>
          </w:p>
        </w:tc>
        <w:tc>
          <w:tcPr>
            <w:tcW w:w="5016" w:type="dxa"/>
            <w:vAlign w:val="center"/>
          </w:tcPr>
          <w:p>
            <w:pPr>
              <w:adjustRightInd w:val="0"/>
              <w:snapToGrid w:val="0"/>
              <w:spacing w:line="360" w:lineRule="auto"/>
              <w:rPr>
                <w:rFonts w:ascii="宋体" w:hAnsi="宋体"/>
                <w:color w:val="auto"/>
                <w:highlight w:val="none"/>
              </w:rPr>
            </w:pPr>
            <w:r>
              <w:rPr>
                <w:rFonts w:hint="eastAsia" w:ascii="宋体" w:hAnsi="宋体"/>
                <w:color w:val="auto"/>
                <w:szCs w:val="21"/>
                <w:highlight w:val="none"/>
              </w:rPr>
              <w:t>名</w:t>
            </w:r>
            <w:r>
              <w:rPr>
                <w:rFonts w:ascii="宋体" w:hAnsi="宋体"/>
                <w:color w:val="auto"/>
                <w:szCs w:val="21"/>
                <w:highlight w:val="none"/>
              </w:rPr>
              <w:t xml:space="preserve">  </w:t>
            </w:r>
            <w:r>
              <w:rPr>
                <w:rFonts w:hint="eastAsia" w:ascii="宋体" w:hAnsi="宋体"/>
                <w:color w:val="auto"/>
                <w:szCs w:val="21"/>
                <w:highlight w:val="none"/>
              </w:rPr>
              <w:t>称：</w:t>
            </w:r>
            <w:r>
              <w:rPr>
                <w:rFonts w:hint="eastAsia" w:ascii="宋体" w:hAnsi="宋体"/>
                <w:color w:val="auto"/>
                <w:highlight w:val="none"/>
              </w:rPr>
              <w:t>华新项目管理集团有限公司</w:t>
            </w:r>
            <w:r>
              <w:rPr>
                <w:rFonts w:ascii="宋体" w:hAnsi="宋体"/>
                <w:color w:val="auto"/>
                <w:highlight w:val="none"/>
              </w:rPr>
              <w:t xml:space="preserve"> </w:t>
            </w:r>
          </w:p>
          <w:p>
            <w:pPr>
              <w:adjustRightInd w:val="0"/>
              <w:snapToGrid w:val="0"/>
              <w:spacing w:line="360" w:lineRule="auto"/>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人：罗婷、康心旭、粟瑀</w:t>
            </w:r>
          </w:p>
          <w:p>
            <w:pPr>
              <w:adjustRightInd w:val="0"/>
              <w:snapToGrid w:val="0"/>
              <w:spacing w:line="360" w:lineRule="auto"/>
              <w:rPr>
                <w:rFonts w:ascii="宋体" w:hAnsi="宋体"/>
                <w:color w:val="auto"/>
                <w:highlight w:val="none"/>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r>
              <w:rPr>
                <w:rFonts w:ascii="宋体" w:hAnsi="宋体"/>
                <w:color w:val="auto"/>
                <w:highlight w:val="none"/>
              </w:rPr>
              <w:t>0731-85163777</w:t>
            </w:r>
          </w:p>
          <w:p>
            <w:pPr>
              <w:adjustRightInd w:val="0"/>
              <w:snapToGrid w:val="0"/>
              <w:spacing w:line="360" w:lineRule="auto"/>
              <w:rPr>
                <w:rFonts w:ascii="宋体" w:hAnsi="宋体"/>
                <w:color w:val="auto"/>
                <w:szCs w:val="21"/>
                <w:highlight w:val="none"/>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r>
              <w:rPr>
                <w:rFonts w:hint="eastAsia" w:ascii="宋体" w:hAnsi="宋体"/>
                <w:color w:val="auto"/>
                <w:szCs w:val="21"/>
                <w:highlight w:val="none"/>
              </w:rPr>
              <w:t>长沙市天心区保利国际广场</w:t>
            </w:r>
            <w:r>
              <w:rPr>
                <w:rFonts w:ascii="宋体" w:hAnsi="宋体"/>
                <w:color w:val="auto"/>
                <w:szCs w:val="21"/>
                <w:highlight w:val="none"/>
              </w:rPr>
              <w:t>B3栋1801-1805室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2.3</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bCs/>
                <w:color w:val="auto"/>
                <w:szCs w:val="21"/>
                <w:highlight w:val="none"/>
              </w:rPr>
            </w:pPr>
            <w:r>
              <w:rPr>
                <w:rFonts w:hint="eastAsia" w:ascii="宋体" w:hAnsi="宋体" w:cs="宋体"/>
                <w:color w:val="auto"/>
                <w:kern w:val="0"/>
                <w:szCs w:val="21"/>
                <w:highlight w:val="none"/>
              </w:rPr>
              <w:t>供应商的</w:t>
            </w:r>
            <w:r>
              <w:rPr>
                <w:rFonts w:hint="eastAsia" w:ascii="宋体" w:hAnsi="宋体"/>
                <w:color w:val="auto"/>
                <w:szCs w:val="21"/>
                <w:highlight w:val="none"/>
              </w:rPr>
              <w:t>邀请方式</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发布公告</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从省级以上财政部门建立的供应商库中随机抽取</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3.1</w:t>
            </w:r>
            <w:r>
              <w:rPr>
                <w:rFonts w:hint="eastAsia" w:ascii="宋体" w:hAnsi="宋体"/>
                <w:color w:val="auto"/>
                <w:szCs w:val="21"/>
                <w:highlight w:val="none"/>
              </w:rPr>
              <w:t>款</w:t>
            </w:r>
          </w:p>
          <w:p>
            <w:pPr>
              <w:adjustRightInd w:val="0"/>
              <w:snapToGrid w:val="0"/>
              <w:spacing w:line="360" w:lineRule="auto"/>
              <w:jc w:val="center"/>
              <w:rPr>
                <w:rFonts w:ascii="宋体" w:hAnsi="宋体"/>
                <w:color w:val="auto"/>
                <w:szCs w:val="21"/>
                <w:highlight w:val="none"/>
              </w:rPr>
            </w:pP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bCs/>
                <w:color w:val="auto"/>
                <w:szCs w:val="21"/>
                <w:highlight w:val="none"/>
              </w:rPr>
              <w:t>供应商</w:t>
            </w:r>
            <w:r>
              <w:rPr>
                <w:rFonts w:hint="eastAsia" w:ascii="宋体" w:hAnsi="宋体"/>
                <w:color w:val="auto"/>
                <w:szCs w:val="21"/>
                <w:highlight w:val="none"/>
              </w:rPr>
              <w:t>资格条件</w:t>
            </w:r>
          </w:p>
          <w:p>
            <w:pPr>
              <w:adjustRightInd w:val="0"/>
              <w:snapToGrid w:val="0"/>
              <w:spacing w:line="360" w:lineRule="auto"/>
              <w:rPr>
                <w:rFonts w:ascii="宋体" w:hAnsi="宋体"/>
                <w:color w:val="auto"/>
                <w:szCs w:val="21"/>
                <w:highlight w:val="none"/>
              </w:rPr>
            </w:pPr>
          </w:p>
        </w:tc>
        <w:tc>
          <w:tcPr>
            <w:tcW w:w="5016" w:type="dxa"/>
            <w:vAlign w:val="center"/>
          </w:tcPr>
          <w:p>
            <w:pPr>
              <w:adjustRightInd w:val="0"/>
              <w:snapToGrid w:val="0"/>
              <w:spacing w:line="360" w:lineRule="auto"/>
              <w:rPr>
                <w:rFonts w:ascii="宋体" w:hAnsi="宋体" w:cs="宋体"/>
                <w:color w:val="auto"/>
                <w:szCs w:val="21"/>
                <w:highlight w:val="none"/>
              </w:rPr>
            </w:pPr>
            <w:r>
              <w:rPr>
                <w:rFonts w:ascii="宋体" w:hAnsi="宋体" w:cs="宋体"/>
                <w:color w:val="auto"/>
                <w:szCs w:val="21"/>
                <w:highlight w:val="none"/>
              </w:rPr>
              <w:t>1、供应商的基本资格条件：应当符合《政府采购法》第二十二条第一款的规定，即：</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1）具有独立承担民事责任的能力；</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2）具有良好的商业信誉和健全的财务会计制度；</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3）具有履行合同所必需的设备和专业技术能力；</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4）有依法缴纳税收和社会保障资金的良好记录。</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5）参加政府采购活动前三年内，在经营活动中没有重大违法记录。</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6）法律、行政法规规定的其他条件。</w:t>
            </w:r>
          </w:p>
          <w:p>
            <w:pPr>
              <w:widowControl/>
              <w:adjustRightInd w:val="0"/>
              <w:snapToGrid w:val="0"/>
              <w:spacing w:before="0" w:afterAutospacing="0" w:line="360" w:lineRule="auto"/>
              <w:ind w:left="0" w:firstLine="0" w:firstLineChars="0"/>
              <w:jc w:val="left"/>
              <w:rPr>
                <w:rFonts w:ascii="宋体" w:hAnsi="宋体" w:cs="宋体"/>
                <w:color w:val="auto"/>
                <w:szCs w:val="21"/>
                <w:highlight w:val="none"/>
              </w:rPr>
            </w:pPr>
            <w:r>
              <w:rPr>
                <w:rFonts w:ascii="宋体" w:hAnsi="宋体" w:cs="宋体"/>
                <w:color w:val="auto"/>
                <w:szCs w:val="21"/>
                <w:highlight w:val="none"/>
              </w:rPr>
              <w:t>2、供应商特定资格条件：</w:t>
            </w:r>
            <w:r>
              <w:rPr>
                <w:rFonts w:hint="eastAsia" w:ascii="宋体" w:hAnsi="宋体" w:cs="宋体"/>
                <w:color w:val="auto"/>
                <w:szCs w:val="21"/>
                <w:highlight w:val="none"/>
              </w:rPr>
              <w:t>具备中华人民共和国城乡规划主管部门颁发的</w:t>
            </w:r>
            <w:r>
              <w:rPr>
                <w:rFonts w:hint="eastAsia" w:ascii="宋体" w:hAnsi="宋体" w:eastAsia="宋体" w:cs="宋体"/>
                <w:color w:val="auto"/>
                <w:sz w:val="21"/>
                <w:szCs w:val="21"/>
                <w:highlight w:val="none"/>
              </w:rPr>
              <w:t>城乡规划乙级及以上资质</w:t>
            </w:r>
            <w:r>
              <w:rPr>
                <w:rFonts w:hint="eastAsia" w:ascii="宋体" w:hAnsi="宋体" w:cs="宋体"/>
                <w:color w:val="auto"/>
                <w:szCs w:val="21"/>
                <w:highlight w:val="none"/>
              </w:rPr>
              <w:t>（根据自然资源部办公厅2019年12月31日发布的 《自然资源部办公厅关于国土空间规划编制资质有关问题的函》在新规定出台前，原有规划资质可作为参考）</w:t>
            </w:r>
            <w:r>
              <w:rPr>
                <w:rFonts w:ascii="宋体" w:hAnsi="宋体"/>
                <w:color w:val="auto"/>
                <w:szCs w:val="21"/>
                <w:highlight w:val="none"/>
              </w:rPr>
              <w:t>。</w:t>
            </w:r>
          </w:p>
          <w:p>
            <w:pPr>
              <w:adjustRightInd w:val="0"/>
              <w:snapToGrid w:val="0"/>
              <w:spacing w:line="360" w:lineRule="auto"/>
              <w:rPr>
                <w:rFonts w:ascii="宋体" w:hAnsi="宋体" w:cs="宋体"/>
                <w:color w:val="auto"/>
                <w:szCs w:val="21"/>
                <w:highlight w:val="none"/>
              </w:rPr>
            </w:pPr>
            <w:r>
              <w:rPr>
                <w:rFonts w:ascii="宋体" w:hAnsi="宋体" w:cs="宋体"/>
                <w:color w:val="auto"/>
                <w:szCs w:val="21"/>
                <w:highlight w:val="none"/>
              </w:rPr>
              <w:t>3、单位负责人为同一人或者存在直接控股、管理关系的不同供应商，不得参加同一合同项下的政府采购活动。</w:t>
            </w:r>
          </w:p>
          <w:p>
            <w:pPr>
              <w:adjustRightInd w:val="0"/>
              <w:snapToGrid w:val="0"/>
              <w:spacing w:line="360" w:lineRule="auto"/>
              <w:rPr>
                <w:rFonts w:ascii="宋体" w:hAnsi="宋体" w:cs="宋体"/>
                <w:color w:val="auto"/>
                <w:szCs w:val="21"/>
                <w:highlight w:val="none"/>
              </w:rPr>
            </w:pPr>
            <w:r>
              <w:rPr>
                <w:rFonts w:ascii="宋体" w:hAnsi="宋体" w:cs="宋体"/>
                <w:color w:val="auto"/>
                <w:szCs w:val="21"/>
                <w:highlight w:val="none"/>
              </w:rPr>
              <w:t>4、为本采购项目提供整体设计、规范编制或者项目管理、监理、检测等服务的，不得再参加此项目的其他招标采购活动。</w:t>
            </w:r>
          </w:p>
          <w:p>
            <w:pPr>
              <w:adjustRightInd w:val="0"/>
              <w:snapToGrid w:val="0"/>
              <w:spacing w:line="360" w:lineRule="auto"/>
              <w:rPr>
                <w:rFonts w:ascii="宋体" w:hAnsi="宋体" w:cs="宋体"/>
                <w:color w:val="auto"/>
                <w:szCs w:val="21"/>
                <w:highlight w:val="none"/>
              </w:rPr>
            </w:pPr>
            <w:r>
              <w:rPr>
                <w:rFonts w:ascii="宋体" w:hAnsi="宋体" w:cs="宋体"/>
                <w:color w:val="auto"/>
                <w:szCs w:val="21"/>
                <w:highlight w:val="none"/>
              </w:rPr>
              <w:t>5、列入失信被执行人、重大税收违法案件当事人名单，列入政府采购严重违法失信行为记录名单的，拒绝其参与政府采购活动。</w:t>
            </w:r>
          </w:p>
          <w:p>
            <w:pPr>
              <w:adjustRightInd w:val="0"/>
              <w:snapToGrid w:val="0"/>
              <w:spacing w:line="360" w:lineRule="auto"/>
              <w:rPr>
                <w:rFonts w:ascii="宋体" w:hAnsi="宋体" w:cs="宋体"/>
                <w:color w:val="auto"/>
                <w:szCs w:val="21"/>
                <w:highlight w:val="none"/>
              </w:rPr>
            </w:pPr>
            <w:r>
              <w:rPr>
                <w:rFonts w:ascii="宋体" w:hAnsi="宋体" w:cs="宋体"/>
                <w:color w:val="auto"/>
                <w:szCs w:val="21"/>
                <w:highlight w:val="none"/>
              </w:rPr>
              <w:t>6、本次磋商</w:t>
            </w:r>
            <w:r>
              <w:rPr>
                <w:rFonts w:ascii="宋体" w:hAnsi="宋体" w:cs="宋体"/>
                <w:color w:val="auto"/>
                <w:szCs w:val="21"/>
                <w:highlight w:val="none"/>
                <w:u w:val="single"/>
              </w:rPr>
              <w:t xml:space="preserve"> 不接受 </w:t>
            </w:r>
            <w:r>
              <w:rPr>
                <w:rFonts w:hint="eastAsia" w:ascii="宋体" w:hAnsi="宋体" w:cs="宋体"/>
                <w:color w:val="auto"/>
                <w:szCs w:val="21"/>
                <w:highlight w:val="none"/>
              </w:rPr>
              <w:t>联合体投标</w:t>
            </w:r>
            <w:r>
              <w:rPr>
                <w:rFonts w:ascii="宋体" w:hAnsi="宋体" w:cs="宋体"/>
                <w:color w:val="auto"/>
                <w:szCs w:val="21"/>
                <w:highlight w:val="none"/>
              </w:rPr>
              <w:t xml:space="preserve"> </w:t>
            </w:r>
            <w:r>
              <w:rPr>
                <w:rFonts w:hint="eastAsia" w:ascii="宋体" w:hAnsi="宋体" w:cs="宋体"/>
                <w:color w:val="auto"/>
                <w:szCs w:val="21"/>
                <w:highlight w:val="none"/>
              </w:rPr>
              <w:t>。</w:t>
            </w:r>
          </w:p>
          <w:p>
            <w:pPr>
              <w:adjustRightInd w:val="0"/>
              <w:snapToGrid w:val="0"/>
              <w:spacing w:line="360" w:lineRule="auto"/>
              <w:outlineLvl w:val="0"/>
              <w:rPr>
                <w:rFonts w:ascii="宋体" w:hAnsi="宋体" w:cs="宋体"/>
                <w:color w:val="auto"/>
                <w:szCs w:val="21"/>
                <w:highlight w:val="none"/>
              </w:rPr>
            </w:pPr>
            <w:r>
              <w:rPr>
                <w:rFonts w:hint="eastAsia" w:ascii="宋体" w:hAnsi="宋体" w:cs="宋体"/>
                <w:color w:val="auto"/>
                <w:szCs w:val="21"/>
                <w:highlight w:val="none"/>
              </w:rPr>
              <w:t>注：（</w:t>
            </w:r>
            <w:r>
              <w:rPr>
                <w:rFonts w:ascii="宋体" w:hAnsi="宋体" w:cs="宋体"/>
                <w:color w:val="auto"/>
                <w:szCs w:val="21"/>
                <w:highlight w:val="none"/>
              </w:rPr>
              <w:t>1）投标人可按响应文件组成中格式提供《采购供应商资格承诺函》参与采购活动，除营业执照扫描件、法定代表人身份证明、法定代表人授权委托书（附法定代表人身份证明）及特定资格条件外，无需再提供财务状况报告、依法缴纳税收和社会保障资金的相关材料、参加政府采购活动前3年内在经营活动中没有重大违法记录的书面声明。</w:t>
            </w:r>
          </w:p>
          <w:p>
            <w:pPr>
              <w:adjustRightInd w:val="0"/>
              <w:snapToGrid w:val="0"/>
              <w:spacing w:line="360" w:lineRule="auto"/>
              <w:outlineLvl w:val="0"/>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自行注明是“三证合一”或“五证合一”并承担相关法律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6.1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联合体形式</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不接受</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6.2</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对联合体各方的要求</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不允许联合体投标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7.1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现场勘察</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采购人不组织</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采购人组织，时间：</w:t>
            </w:r>
            <w:r>
              <w:rPr>
                <w:rFonts w:ascii="宋体" w:hAnsi="宋体"/>
                <w:color w:val="auto"/>
                <w:szCs w:val="21"/>
                <w:highlight w:val="none"/>
                <w:u w:val="single"/>
              </w:rPr>
              <w:t xml:space="preserve">   </w:t>
            </w:r>
            <w:r>
              <w:rPr>
                <w:rFonts w:hint="eastAsia" w:ascii="宋体" w:hAnsi="宋体"/>
                <w:color w:val="auto"/>
                <w:szCs w:val="21"/>
                <w:highlight w:val="none"/>
              </w:rPr>
              <w:t>地点：</w:t>
            </w:r>
            <w:r>
              <w:rPr>
                <w:rFonts w:ascii="宋体" w:hAnsi="宋体"/>
                <w:color w:val="auto"/>
                <w:szCs w:val="21"/>
                <w:highlight w:val="none"/>
                <w:u w:val="single"/>
              </w:rPr>
              <w:t xml:space="preserve">   </w:t>
            </w:r>
            <w:r>
              <w:rPr>
                <w:rFonts w:hint="eastAsia" w:ascii="宋体" w:hAnsi="宋体"/>
                <w:color w:val="auto"/>
                <w:szCs w:val="21"/>
                <w:highlight w:val="none"/>
              </w:rPr>
              <w:t>联系人：</w:t>
            </w:r>
            <w:r>
              <w:rPr>
                <w:rFonts w:ascii="宋体" w:hAnsi="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8.1</w:t>
            </w:r>
            <w:r>
              <w:rPr>
                <w:rFonts w:hint="eastAsia" w:ascii="宋体" w:hAnsi="宋体"/>
                <w:color w:val="auto"/>
                <w:szCs w:val="21"/>
                <w:highlight w:val="none"/>
              </w:rPr>
              <w:t>款</w:t>
            </w:r>
          </w:p>
        </w:tc>
        <w:tc>
          <w:tcPr>
            <w:tcW w:w="198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采购进口产品</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■本项目</w:t>
            </w:r>
            <w:r>
              <w:rPr>
                <w:rFonts w:hint="eastAsia" w:ascii="宋体" w:hAnsi="宋体"/>
                <w:color w:val="auto"/>
                <w:szCs w:val="21"/>
                <w:highlight w:val="none"/>
                <w:u w:val="single"/>
              </w:rPr>
              <w:t>拒绝</w:t>
            </w:r>
            <w:r>
              <w:rPr>
                <w:rFonts w:hint="eastAsia" w:ascii="宋体" w:hAnsi="宋体"/>
                <w:color w:val="auto"/>
                <w:szCs w:val="21"/>
                <w:highlight w:val="none"/>
              </w:rPr>
              <w:t>采购进口产品</w:t>
            </w:r>
          </w:p>
          <w:p>
            <w:pPr>
              <w:spacing w:line="360" w:lineRule="auto"/>
              <w:rPr>
                <w:rFonts w:ascii="宋体" w:hAnsi="宋体"/>
                <w:color w:val="auto"/>
                <w:szCs w:val="21"/>
                <w:highlight w:val="none"/>
              </w:rPr>
            </w:pPr>
            <w:r>
              <w:rPr>
                <w:rFonts w:hint="eastAsia" w:ascii="宋体" w:hAnsi="宋体"/>
                <w:color w:val="auto"/>
                <w:szCs w:val="21"/>
                <w:highlight w:val="none"/>
              </w:rPr>
              <w:t>□本项目已经财政部门审核同意购买进口产品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9.1</w:t>
            </w:r>
            <w:r>
              <w:rPr>
                <w:rFonts w:hint="eastAsia" w:ascii="宋体" w:hAnsi="宋体"/>
                <w:color w:val="auto"/>
                <w:szCs w:val="21"/>
                <w:highlight w:val="none"/>
              </w:rPr>
              <w:t>款</w:t>
            </w:r>
          </w:p>
        </w:tc>
        <w:tc>
          <w:tcPr>
            <w:tcW w:w="198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政府采购强制采购：</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、强制采购的节能产品；</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、其他。</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9.2</w:t>
            </w:r>
            <w:r>
              <w:rPr>
                <w:rFonts w:hint="eastAsia" w:ascii="宋体" w:hAnsi="宋体"/>
                <w:color w:val="auto"/>
                <w:szCs w:val="21"/>
                <w:highlight w:val="none"/>
              </w:rPr>
              <w:t>款</w:t>
            </w:r>
          </w:p>
        </w:tc>
        <w:tc>
          <w:tcPr>
            <w:tcW w:w="198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政府采购优先采购：</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、非标记★符号的的节能产品；</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、环境标志产品；</w:t>
            </w:r>
            <w:r>
              <w:rPr>
                <w:rFonts w:ascii="宋体" w:hAnsi="宋体"/>
                <w:color w:val="auto"/>
                <w:szCs w:val="21"/>
                <w:highlight w:val="none"/>
              </w:rPr>
              <w:t>3</w:t>
            </w:r>
            <w:r>
              <w:rPr>
                <w:rFonts w:hint="eastAsia" w:ascii="宋体" w:hAnsi="宋体"/>
                <w:color w:val="auto"/>
                <w:szCs w:val="21"/>
                <w:highlight w:val="none"/>
              </w:rPr>
              <w:t>、两型产品；</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hAnsi="宋体" w:cs="宋体"/>
                <w:bCs/>
                <w:color w:val="auto"/>
                <w:kern w:val="0"/>
                <w:szCs w:val="21"/>
                <w:highlight w:val="none"/>
              </w:rPr>
              <w:t>支持</w:t>
            </w:r>
            <w:r>
              <w:rPr>
                <w:rFonts w:hint="eastAsia" w:ascii="宋体" w:hAnsi="宋体"/>
                <w:color w:val="auto"/>
                <w:szCs w:val="21"/>
                <w:highlight w:val="none"/>
              </w:rPr>
              <w:t>小微企业发展；</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、监狱企业</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6、残疾人</w:t>
            </w:r>
            <w:r>
              <w:rPr>
                <w:rFonts w:hint="eastAsia" w:ascii="宋体" w:hAnsi="宋体"/>
                <w:color w:val="auto"/>
                <w:szCs w:val="21"/>
                <w:highlight w:val="none"/>
              </w:rPr>
              <w:t>福利性</w:t>
            </w:r>
            <w:r>
              <w:rPr>
                <w:rFonts w:ascii="宋体" w:hAnsi="宋体"/>
                <w:color w:val="auto"/>
                <w:szCs w:val="21"/>
                <w:highlight w:val="none"/>
              </w:rPr>
              <w:t>单位</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7、其他。</w:t>
            </w:r>
          </w:p>
        </w:tc>
        <w:tc>
          <w:tcPr>
            <w:tcW w:w="5016" w:type="dxa"/>
            <w:vAlign w:val="center"/>
          </w:tcPr>
          <w:p>
            <w:pPr>
              <w:adjustRightInd w:val="0"/>
              <w:snapToGrid w:val="0"/>
              <w:spacing w:line="360" w:lineRule="auto"/>
              <w:jc w:val="left"/>
              <w:rPr>
                <w:rFonts w:ascii="宋体" w:hAnsi="宋体"/>
                <w:color w:val="auto"/>
                <w:highlight w:val="none"/>
              </w:rPr>
            </w:pPr>
            <w:r>
              <w:rPr>
                <w:rFonts w:hint="eastAsia" w:ascii="宋体" w:hAnsi="宋体"/>
                <w:color w:val="auto"/>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Merge w:val="restart"/>
            <w:tcBorders>
              <w:top w:val="single" w:color="auto" w:sz="4" w:space="0"/>
            </w:tcBorders>
            <w:vAlign w:val="center"/>
          </w:tcPr>
          <w:p>
            <w:pPr>
              <w:spacing w:line="360" w:lineRule="auto"/>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9.6</w:t>
            </w:r>
            <w:r>
              <w:rPr>
                <w:rFonts w:hint="eastAsia" w:ascii="宋体" w:hAnsi="宋体"/>
                <w:color w:val="auto"/>
                <w:szCs w:val="21"/>
                <w:highlight w:val="none"/>
              </w:rPr>
              <w:t>款</w:t>
            </w:r>
          </w:p>
        </w:tc>
        <w:tc>
          <w:tcPr>
            <w:tcW w:w="1985" w:type="dxa"/>
            <w:tcBorders>
              <w:top w:val="single" w:color="auto" w:sz="4" w:space="0"/>
              <w:bottom w:val="single" w:color="auto" w:sz="4" w:space="0"/>
            </w:tcBorders>
            <w:vAlign w:val="center"/>
          </w:tcPr>
          <w:p>
            <w:pPr>
              <w:spacing w:line="360" w:lineRule="auto"/>
              <w:rPr>
                <w:rFonts w:ascii="宋体" w:hAnsi="宋体"/>
                <w:color w:val="auto"/>
                <w:szCs w:val="21"/>
                <w:highlight w:val="none"/>
              </w:rPr>
            </w:pPr>
            <w:r>
              <w:rPr>
                <w:rFonts w:hint="eastAsia" w:ascii="宋体" w:hAnsi="宋体" w:cs="宋体"/>
                <w:bCs/>
                <w:color w:val="auto"/>
                <w:kern w:val="0"/>
                <w:szCs w:val="21"/>
                <w:highlight w:val="none"/>
              </w:rPr>
              <w:t>政府采购支持中小企业融资</w:t>
            </w:r>
          </w:p>
        </w:tc>
        <w:tc>
          <w:tcPr>
            <w:tcW w:w="5016" w:type="dxa"/>
            <w:tcBorders>
              <w:top w:val="single" w:color="auto" w:sz="4" w:space="0"/>
              <w:bottom w:val="single" w:color="auto" w:sz="4" w:space="0"/>
            </w:tcBorders>
          </w:tcPr>
          <w:p>
            <w:pPr>
              <w:adjustRightInd w:val="0"/>
              <w:snapToGrid w:val="0"/>
              <w:spacing w:line="360" w:lineRule="auto"/>
              <w:rPr>
                <w:rFonts w:ascii="宋体" w:hAnsi="宋体"/>
                <w:color w:val="auto"/>
                <w:szCs w:val="21"/>
                <w:highlight w:val="none"/>
              </w:rPr>
            </w:pPr>
            <w:r>
              <w:rPr>
                <w:rFonts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Merge w:val="continue"/>
            <w:vAlign w:val="center"/>
          </w:tcPr>
          <w:p>
            <w:pPr>
              <w:spacing w:line="360" w:lineRule="auto"/>
              <w:rPr>
                <w:rFonts w:ascii="宋体" w:hAnsi="宋体"/>
                <w:color w:val="auto"/>
                <w:szCs w:val="21"/>
                <w:highlight w:val="none"/>
              </w:rPr>
            </w:pPr>
          </w:p>
        </w:tc>
        <w:tc>
          <w:tcPr>
            <w:tcW w:w="1985" w:type="dxa"/>
            <w:vAlign w:val="center"/>
          </w:tcPr>
          <w:p>
            <w:pPr>
              <w:spacing w:line="360" w:lineRule="auto"/>
              <w:rPr>
                <w:rFonts w:ascii="宋体" w:hAnsi="宋体"/>
                <w:color w:val="auto"/>
                <w:szCs w:val="21"/>
                <w:highlight w:val="none"/>
              </w:rPr>
            </w:pPr>
            <w:r>
              <w:rPr>
                <w:rFonts w:hint="eastAsia" w:ascii="宋体" w:hAnsi="宋体" w:cs="宋体"/>
                <w:bCs/>
                <w:color w:val="auto"/>
                <w:kern w:val="0"/>
                <w:szCs w:val="21"/>
                <w:highlight w:val="none"/>
              </w:rPr>
              <w:t>政府采购信用担保</w:t>
            </w:r>
          </w:p>
        </w:tc>
        <w:tc>
          <w:tcPr>
            <w:tcW w:w="5016" w:type="dxa"/>
            <w:vAlign w:val="center"/>
          </w:tcPr>
          <w:p>
            <w:pPr>
              <w:spacing w:line="360" w:lineRule="auto"/>
              <w:rPr>
                <w:rFonts w:ascii="宋体" w:hAnsi="宋体"/>
                <w:color w:val="auto"/>
                <w:szCs w:val="21"/>
                <w:highlight w:val="none"/>
              </w:rPr>
            </w:pPr>
            <w:r>
              <w:rPr>
                <w:rFonts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10.2</w:t>
            </w:r>
            <w:r>
              <w:rPr>
                <w:rFonts w:hint="eastAsia" w:ascii="宋体" w:hAnsi="宋体"/>
                <w:color w:val="auto"/>
                <w:szCs w:val="21"/>
                <w:highlight w:val="none"/>
              </w:rPr>
              <w:t>款</w:t>
            </w:r>
          </w:p>
        </w:tc>
        <w:tc>
          <w:tcPr>
            <w:tcW w:w="1985"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磋商文件的可能实质性变动内容</w:t>
            </w:r>
          </w:p>
        </w:tc>
        <w:tc>
          <w:tcPr>
            <w:tcW w:w="5016"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11.1</w:t>
            </w:r>
            <w:r>
              <w:rPr>
                <w:rFonts w:hint="eastAsia" w:ascii="宋体" w:hAnsi="宋体"/>
                <w:color w:val="auto"/>
                <w:szCs w:val="21"/>
                <w:highlight w:val="none"/>
              </w:rPr>
              <w:t>款</w:t>
            </w:r>
          </w:p>
        </w:tc>
        <w:tc>
          <w:tcPr>
            <w:tcW w:w="1985"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提供磋商文件期限</w:t>
            </w:r>
          </w:p>
        </w:tc>
        <w:tc>
          <w:tcPr>
            <w:tcW w:w="5016"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u w:val="single"/>
              </w:rPr>
              <w:t>见第一章。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11.2</w:t>
            </w:r>
            <w:r>
              <w:rPr>
                <w:rFonts w:hint="eastAsia" w:ascii="宋体" w:hAnsi="宋体"/>
                <w:color w:val="auto"/>
                <w:szCs w:val="21"/>
                <w:highlight w:val="none"/>
              </w:rPr>
              <w:t>款</w:t>
            </w:r>
          </w:p>
        </w:tc>
        <w:tc>
          <w:tcPr>
            <w:tcW w:w="1985"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领取或购买磋商文件时应提供的资料</w:t>
            </w:r>
          </w:p>
        </w:tc>
        <w:tc>
          <w:tcPr>
            <w:tcW w:w="5016" w:type="dxa"/>
            <w:vAlign w:val="center"/>
          </w:tcPr>
          <w:p>
            <w:pPr>
              <w:adjustRightInd w:val="0"/>
              <w:snapToGrid w:val="0"/>
              <w:spacing w:line="360" w:lineRule="auto"/>
              <w:jc w:val="left"/>
              <w:rPr>
                <w:rFonts w:ascii="宋体" w:hAnsi="宋体"/>
                <w:color w:val="auto"/>
                <w:szCs w:val="21"/>
                <w:highlight w:val="none"/>
                <w:u w:val="single"/>
              </w:rPr>
            </w:pPr>
            <w:r>
              <w:rPr>
                <w:rFonts w:hint="eastAsia" w:ascii="宋体" w:hAnsi="宋体"/>
                <w:color w:val="auto"/>
                <w:szCs w:val="21"/>
                <w:highlight w:val="none"/>
              </w:rPr>
              <w:t>个人身份证、法定代表人身份证明</w:t>
            </w:r>
            <w:r>
              <w:rPr>
                <w:rFonts w:ascii="宋体" w:hAnsi="宋体"/>
                <w:color w:val="auto"/>
                <w:szCs w:val="21"/>
                <w:highlight w:val="none"/>
              </w:rPr>
              <w:t>(</w:t>
            </w:r>
            <w:r>
              <w:rPr>
                <w:rFonts w:hint="eastAsia" w:ascii="宋体" w:hAnsi="宋体"/>
                <w:color w:val="auto"/>
                <w:szCs w:val="21"/>
                <w:highlight w:val="none"/>
              </w:rPr>
              <w:t>或者授权委托书并附法定代表人身份证明</w:t>
            </w:r>
            <w:r>
              <w:rPr>
                <w:rFonts w:ascii="宋体" w:hAnsi="宋体"/>
                <w:color w:val="auto"/>
                <w:szCs w:val="21"/>
                <w:highlight w:val="none"/>
              </w:rPr>
              <w:t>)</w:t>
            </w:r>
            <w:r>
              <w:rPr>
                <w:rFonts w:hint="eastAsia"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12.1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提交首次响应文件的截止时间</w:t>
            </w:r>
          </w:p>
        </w:tc>
        <w:tc>
          <w:tcPr>
            <w:tcW w:w="5016" w:type="dxa"/>
            <w:vAlign w:val="center"/>
          </w:tcPr>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u w:val="single"/>
              </w:rPr>
              <w:t>见第一章。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color w:val="auto"/>
                <w:szCs w:val="21"/>
                <w:highlight w:val="none"/>
              </w:rPr>
            </w:pPr>
            <w:r>
              <w:rPr>
                <w:rFonts w:hint="eastAsia" w:ascii="宋体" w:hAnsi="宋体"/>
                <w:b/>
                <w:color w:val="auto"/>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16.4</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采购项目预算及最高限价</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lang w:val="en-US" w:eastAsia="zh-CN"/>
              </w:rPr>
              <w:t>37</w:t>
            </w:r>
            <w:r>
              <w:rPr>
                <w:rFonts w:ascii="宋体" w:hAnsi="宋体"/>
                <w:color w:val="auto"/>
                <w:szCs w:val="21"/>
                <w:highlight w:val="none"/>
              </w:rPr>
              <w:t>万</w:t>
            </w:r>
            <w:r>
              <w:rPr>
                <w:rFonts w:hint="eastAsia" w:ascii="宋体" w:hAnsi="宋体"/>
                <w:color w:val="auto"/>
                <w:szCs w:val="21"/>
                <w:highlight w:val="none"/>
                <w:lang w:eastAsia="zh-CN"/>
              </w:rPr>
              <w:t>（</w:t>
            </w:r>
            <w:r>
              <w:rPr>
                <w:rFonts w:hint="eastAsia" w:ascii="Times New Roman" w:hAnsi="Times New Roman" w:cs="Times New Roman"/>
                <w:color w:val="auto"/>
                <w:szCs w:val="21"/>
                <w:highlight w:val="none"/>
                <w:lang w:val="en-US" w:eastAsia="zh-CN"/>
              </w:rPr>
              <w:t>本项目采用费用包干方式，包含完成项目所需的人工、管理、财务、</w:t>
            </w:r>
            <w:r>
              <w:rPr>
                <w:rFonts w:hint="eastAsia"/>
                <w:color w:val="auto"/>
                <w:szCs w:val="21"/>
                <w:highlight w:val="none"/>
                <w:lang w:val="en-US" w:eastAsia="zh-CN"/>
              </w:rPr>
              <w:t>专家评审会评审费</w:t>
            </w:r>
            <w:r>
              <w:rPr>
                <w:rFonts w:hint="eastAsia" w:ascii="Times New Roman" w:hAnsi="Times New Roman" w:cs="Times New Roman"/>
                <w:color w:val="auto"/>
                <w:szCs w:val="21"/>
                <w:highlight w:val="none"/>
                <w:lang w:val="en-US" w:eastAsia="zh-CN"/>
              </w:rPr>
              <w:t>等所有费用，如一旦中标，在项目实施中出现任何遗漏，均由中标人免费提供，采购人不再支付任何费用。</w:t>
            </w:r>
            <w:r>
              <w:rPr>
                <w:rFonts w:hint="eastAsia" w:ascii="宋体" w:hAnsi="宋体"/>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17.3</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highlight w:val="none"/>
              </w:rPr>
              <w:t>非制造商的证明文件</w:t>
            </w:r>
          </w:p>
        </w:tc>
        <w:tc>
          <w:tcPr>
            <w:tcW w:w="5016" w:type="dxa"/>
            <w:vAlign w:val="center"/>
          </w:tcPr>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不要求提供</w:t>
            </w:r>
          </w:p>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要求提供：（证明文件复印件须加盖供应商单位公章，否则视为无效响应。）</w:t>
            </w:r>
          </w:p>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18.1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highlight w:val="none"/>
              </w:rPr>
            </w:pPr>
            <w:r>
              <w:rPr>
                <w:rFonts w:hint="eastAsia" w:ascii="宋体" w:hAnsi="宋体"/>
                <w:color w:val="auto"/>
                <w:szCs w:val="21"/>
                <w:highlight w:val="none"/>
              </w:rPr>
              <w:t>样品提供及样品提交的时间、地点</w:t>
            </w:r>
          </w:p>
        </w:tc>
        <w:tc>
          <w:tcPr>
            <w:tcW w:w="5016" w:type="dxa"/>
            <w:vAlign w:val="center"/>
          </w:tcPr>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不要求提供</w:t>
            </w:r>
          </w:p>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要求提供，提交的样品</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提交的时间：</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、地点</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19.1</w:t>
            </w:r>
            <w:r>
              <w:rPr>
                <w:rFonts w:hint="eastAsia" w:ascii="宋体" w:hAnsi="宋体"/>
                <w:color w:val="auto"/>
                <w:szCs w:val="21"/>
                <w:highlight w:val="none"/>
              </w:rPr>
              <w:t>款</w:t>
            </w:r>
          </w:p>
        </w:tc>
        <w:tc>
          <w:tcPr>
            <w:tcW w:w="1985" w:type="dxa"/>
            <w:vAlign w:val="center"/>
          </w:tcPr>
          <w:p>
            <w:pPr>
              <w:adjustRightInd w:val="0"/>
              <w:snapToGrid w:val="0"/>
              <w:spacing w:line="360" w:lineRule="auto"/>
              <w:ind w:left="-533" w:leftChars="-254" w:firstLine="533" w:firstLineChars="254"/>
              <w:rPr>
                <w:rFonts w:ascii="宋体" w:hAnsi="宋体"/>
                <w:color w:val="auto"/>
                <w:szCs w:val="21"/>
                <w:highlight w:val="none"/>
              </w:rPr>
            </w:pPr>
            <w:r>
              <w:rPr>
                <w:rFonts w:hint="eastAsia" w:ascii="宋体" w:hAnsi="宋体"/>
                <w:color w:val="auto"/>
                <w:szCs w:val="21"/>
                <w:highlight w:val="none"/>
              </w:rPr>
              <w:t>磋商保证金</w:t>
            </w:r>
          </w:p>
        </w:tc>
        <w:tc>
          <w:tcPr>
            <w:tcW w:w="5016" w:type="dxa"/>
            <w:vAlign w:val="center"/>
          </w:tcPr>
          <w:p>
            <w:pPr>
              <w:adjustRightInd w:val="0"/>
              <w:snapToGrid w:val="0"/>
              <w:spacing w:line="360" w:lineRule="auto"/>
              <w:rPr>
                <w:rFonts w:ascii="宋体" w:hAnsi="宋体"/>
                <w:bCs/>
                <w:color w:val="auto"/>
                <w:szCs w:val="21"/>
                <w:highlight w:val="none"/>
              </w:rPr>
            </w:pPr>
            <w:r>
              <w:rPr>
                <w:rFonts w:hint="eastAsia" w:ascii="宋体" w:hAnsi="宋体"/>
                <w:color w:val="auto"/>
                <w:szCs w:val="21"/>
                <w:highlight w:val="none"/>
              </w:rPr>
              <w:t>■</w:t>
            </w:r>
            <w:r>
              <w:rPr>
                <w:rFonts w:hint="eastAsia" w:ascii="宋体" w:hAnsi="宋体"/>
                <w:bCs/>
                <w:color w:val="auto"/>
                <w:szCs w:val="21"/>
                <w:highlight w:val="none"/>
              </w:rPr>
              <w:t>不要求提供</w:t>
            </w:r>
          </w:p>
          <w:p>
            <w:pPr>
              <w:spacing w:line="360" w:lineRule="auto"/>
              <w:rPr>
                <w:rFonts w:ascii="宋体" w:hAnsi="宋体"/>
                <w:bCs/>
                <w:color w:val="auto"/>
                <w:szCs w:val="21"/>
                <w:highlight w:val="none"/>
              </w:rPr>
            </w:pPr>
            <w:r>
              <w:rPr>
                <w:rFonts w:hint="eastAsia" w:ascii="宋体" w:hAnsi="宋体"/>
                <w:color w:val="auto"/>
                <w:szCs w:val="21"/>
                <w:highlight w:val="none"/>
              </w:rPr>
              <w:t>□</w:t>
            </w:r>
            <w:r>
              <w:rPr>
                <w:rFonts w:ascii="宋体" w:hAnsi="宋体"/>
                <w:bCs/>
                <w:color w:val="auto"/>
                <w:szCs w:val="21"/>
                <w:highlight w:val="none"/>
              </w:rPr>
              <w:t xml:space="preserve"> </w:t>
            </w:r>
            <w:r>
              <w:rPr>
                <w:rFonts w:hint="eastAsia" w:ascii="宋体" w:hAnsi="宋体"/>
                <w:bCs/>
                <w:color w:val="auto"/>
                <w:szCs w:val="21"/>
                <w:highlight w:val="none"/>
              </w:rPr>
              <w:t>要求提供</w:t>
            </w:r>
          </w:p>
          <w:p>
            <w:pPr>
              <w:spacing w:line="360" w:lineRule="auto"/>
              <w:rPr>
                <w:rFonts w:ascii="宋体" w:hAnsi="宋体"/>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w:t>
            </w:r>
            <w:r>
              <w:rPr>
                <w:rFonts w:hint="eastAsia" w:ascii="宋体" w:hAnsi="宋体"/>
                <w:color w:val="auto"/>
                <w:szCs w:val="21"/>
                <w:highlight w:val="none"/>
              </w:rPr>
              <w:t>保证金数额：</w:t>
            </w:r>
            <w:r>
              <w:rPr>
                <w:rFonts w:ascii="宋体" w:hAnsi="宋体"/>
                <w:color w:val="auto"/>
                <w:szCs w:val="21"/>
                <w:highlight w:val="none"/>
                <w:u w:val="single"/>
              </w:rPr>
              <w:t xml:space="preserve">/ </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rPr>
              <w:t>人民币</w:t>
            </w:r>
            <w:r>
              <w:rPr>
                <w:rFonts w:ascii="宋体" w:hAnsi="宋体"/>
                <w:color w:val="auto"/>
                <w:szCs w:val="21"/>
                <w:highlight w:val="none"/>
              </w:rPr>
              <w:t>)</w:t>
            </w:r>
          </w:p>
          <w:p>
            <w:pPr>
              <w:spacing w:line="360" w:lineRule="auto"/>
              <w:ind w:right="23" w:rightChars="11"/>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、缴纳方式：以支票、汇票、本票等形式缴入如下账户，投标人须确保投标保证金在投标截止时间前（含）到达，查询已经到账的，视为已缴纳。</w:t>
            </w:r>
          </w:p>
          <w:p>
            <w:pPr>
              <w:spacing w:line="360" w:lineRule="auto"/>
              <w:rPr>
                <w:rFonts w:ascii="宋体" w:hAnsi="宋体"/>
                <w:color w:val="auto"/>
                <w:szCs w:val="21"/>
                <w:highlight w:val="none"/>
              </w:rPr>
            </w:pPr>
            <w:r>
              <w:rPr>
                <w:rFonts w:hint="eastAsia" w:ascii="宋体" w:hAnsi="宋体"/>
                <w:color w:val="auto"/>
                <w:szCs w:val="21"/>
                <w:highlight w:val="none"/>
              </w:rPr>
              <w:t>保证金汇至：</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开</w:t>
            </w:r>
            <w:r>
              <w:rPr>
                <w:rFonts w:ascii="宋体" w:hAnsi="宋体"/>
                <w:color w:val="auto"/>
                <w:szCs w:val="21"/>
                <w:highlight w:val="none"/>
              </w:rPr>
              <w:t xml:space="preserve"> </w:t>
            </w:r>
            <w:r>
              <w:rPr>
                <w:rFonts w:hint="eastAsia" w:ascii="宋体" w:hAnsi="宋体"/>
                <w:color w:val="auto"/>
                <w:szCs w:val="21"/>
                <w:highlight w:val="none"/>
              </w:rPr>
              <w:t>户</w:t>
            </w:r>
            <w:r>
              <w:rPr>
                <w:rFonts w:ascii="宋体" w:hAnsi="宋体"/>
                <w:color w:val="auto"/>
                <w:szCs w:val="21"/>
                <w:highlight w:val="none"/>
              </w:rPr>
              <w:t xml:space="preserve"> </w:t>
            </w:r>
            <w:r>
              <w:rPr>
                <w:rFonts w:hint="eastAsia" w:ascii="宋体" w:hAnsi="宋体"/>
                <w:color w:val="auto"/>
                <w:szCs w:val="21"/>
                <w:highlight w:val="none"/>
              </w:rPr>
              <w:t>行：</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银行帐号：</w:t>
            </w:r>
            <w:r>
              <w:rPr>
                <w:rFonts w:ascii="宋体" w:hAnsi="宋体"/>
                <w:color w:val="auto"/>
                <w:szCs w:val="21"/>
                <w:highlight w:val="none"/>
              </w:rPr>
              <w:t>/</w:t>
            </w:r>
          </w:p>
          <w:p>
            <w:pPr>
              <w:spacing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、未按时足额缴纳保证金的，其响应文件将被拒绝。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20.1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响应文件有效期</w:t>
            </w:r>
          </w:p>
        </w:tc>
        <w:tc>
          <w:tcPr>
            <w:tcW w:w="5016" w:type="dxa"/>
            <w:vAlign w:val="center"/>
          </w:tcPr>
          <w:p>
            <w:pPr>
              <w:adjustRightInd w:val="0"/>
              <w:snapToGrid w:val="0"/>
              <w:spacing w:line="360" w:lineRule="auto"/>
              <w:rPr>
                <w:rFonts w:ascii="宋体" w:hAnsi="宋体"/>
                <w:bCs/>
                <w:color w:val="auto"/>
                <w:szCs w:val="21"/>
                <w:highlight w:val="none"/>
              </w:rPr>
            </w:pPr>
            <w:r>
              <w:rPr>
                <w:rFonts w:ascii="宋体" w:hAnsi="宋体"/>
                <w:color w:val="auto"/>
                <w:szCs w:val="21"/>
                <w:highlight w:val="none"/>
                <w:u w:val="single"/>
              </w:rPr>
              <w:t>90</w:t>
            </w:r>
            <w:r>
              <w:rPr>
                <w:rFonts w:hint="eastAsia" w:ascii="宋体" w:hAnsi="宋体"/>
                <w:color w:val="auto"/>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21.1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bCs/>
                <w:color w:val="auto"/>
                <w:szCs w:val="21"/>
                <w:highlight w:val="none"/>
              </w:rPr>
              <w:t>响应</w:t>
            </w:r>
            <w:r>
              <w:rPr>
                <w:rFonts w:hint="eastAsia" w:ascii="宋体" w:hAnsi="宋体"/>
                <w:color w:val="auto"/>
                <w:szCs w:val="21"/>
                <w:highlight w:val="none"/>
              </w:rPr>
              <w:t>文件副本份数</w:t>
            </w:r>
          </w:p>
        </w:tc>
        <w:tc>
          <w:tcPr>
            <w:tcW w:w="5016" w:type="dxa"/>
            <w:vAlign w:val="center"/>
          </w:tcPr>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正本一份，副本二份（电子文件</w:t>
            </w:r>
            <w:r>
              <w:rPr>
                <w:rFonts w:ascii="宋体" w:hAnsi="宋体"/>
                <w:color w:val="auto"/>
                <w:szCs w:val="21"/>
                <w:highlight w:val="none"/>
              </w:rPr>
              <w:t>1</w:t>
            </w:r>
            <w:r>
              <w:rPr>
                <w:rFonts w:hint="eastAsia" w:ascii="宋体" w:hAnsi="宋体"/>
                <w:color w:val="auto"/>
                <w:szCs w:val="21"/>
                <w:highlight w:val="none"/>
              </w:rPr>
              <w:t>份，</w:t>
            </w:r>
            <w:r>
              <w:rPr>
                <w:rFonts w:ascii="宋体" w:hAnsi="宋体"/>
                <w:color w:val="auto"/>
                <w:szCs w:val="21"/>
                <w:highlight w:val="none"/>
              </w:rPr>
              <w:t>U</w:t>
            </w:r>
            <w:r>
              <w:rPr>
                <w:rFonts w:hint="eastAsia" w:ascii="宋体" w:hAnsi="宋体"/>
                <w:color w:val="auto"/>
                <w:szCs w:val="21"/>
                <w:highlight w:val="none"/>
              </w:rPr>
              <w:t>盘，</w:t>
            </w:r>
            <w:r>
              <w:rPr>
                <w:rFonts w:ascii="宋体" w:hAnsi="宋体"/>
                <w:color w:val="auto"/>
                <w:szCs w:val="21"/>
                <w:highlight w:val="none"/>
              </w:rPr>
              <w:t>格式为</w:t>
            </w:r>
            <w:r>
              <w:rPr>
                <w:rFonts w:hint="eastAsia" w:ascii="宋体" w:hAnsi="宋体"/>
                <w:color w:val="auto"/>
                <w:szCs w:val="21"/>
                <w:highlight w:val="none"/>
              </w:rPr>
              <w:t>正本签字盖章后的扫描件</w:t>
            </w:r>
            <w:r>
              <w:rPr>
                <w:rFonts w:ascii="宋体" w:hAnsi="宋体"/>
                <w:color w:val="auto"/>
                <w:szCs w:val="21"/>
                <w:highlight w:val="none"/>
              </w:rPr>
              <w:t>PDF格式）；采用胶装装订方式，提倡双面打印。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b/>
                <w:bCs/>
                <w:color w:val="auto"/>
                <w:szCs w:val="21"/>
                <w:highlight w:val="none"/>
              </w:rPr>
            </w:pPr>
            <w:r>
              <w:rPr>
                <w:rFonts w:hint="eastAsia" w:ascii="宋体" w:hAnsi="宋体"/>
                <w:b/>
                <w:color w:val="auto"/>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22.2</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封套上应载明的信息</w:t>
            </w:r>
          </w:p>
        </w:tc>
        <w:tc>
          <w:tcPr>
            <w:tcW w:w="5016" w:type="dxa"/>
            <w:vAlign w:val="center"/>
          </w:tcPr>
          <w:p>
            <w:pPr>
              <w:adjustRightInd w:val="0"/>
              <w:snapToGrid w:val="0"/>
              <w:spacing w:line="360" w:lineRule="auto"/>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rPr>
              <w:t>采购项目响应文件</w:t>
            </w:r>
            <w:r>
              <w:rPr>
                <w:rFonts w:ascii="宋体" w:hAnsi="宋体"/>
                <w:color w:val="auto"/>
                <w:szCs w:val="21"/>
                <w:highlight w:val="none"/>
              </w:rPr>
              <w:t xml:space="preserve">     </w:t>
            </w:r>
          </w:p>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采购代理编号：</w:t>
            </w:r>
            <w:r>
              <w:rPr>
                <w:rFonts w:hint="eastAsia" w:ascii="宋体" w:hAnsi="宋体"/>
                <w:color w:val="auto"/>
                <w:szCs w:val="21"/>
                <w:highlight w:val="none"/>
                <w:u w:val="single"/>
                <w:lang w:eastAsia="zh-CN"/>
              </w:rPr>
              <w:t>HXCG-HN-2310006</w:t>
            </w:r>
            <w:bookmarkStart w:id="3" w:name="_GoBack"/>
            <w:bookmarkEnd w:id="3"/>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供应商名称：</w:t>
            </w:r>
            <w:r>
              <w:rPr>
                <w:rFonts w:ascii="宋体" w:hAnsi="宋体"/>
                <w:color w:val="auto"/>
                <w:szCs w:val="21"/>
                <w:highlight w:val="none"/>
                <w:u w:val="single"/>
              </w:rPr>
              <w:t xml:space="preserve">                    </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在</w:t>
            </w:r>
            <w:r>
              <w:rPr>
                <w:rFonts w:hint="eastAsia" w:ascii="宋体" w:hAnsi="宋体"/>
                <w:color w:val="auto"/>
                <w:szCs w:val="21"/>
                <w:highlight w:val="none"/>
                <w:u w:val="single"/>
                <w:lang w:val="en-US" w:eastAsia="zh-CN"/>
              </w:rPr>
              <w:t>2023</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11</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8</w:t>
            </w:r>
            <w:r>
              <w:rPr>
                <w:rFonts w:hint="eastAsia" w:ascii="宋体" w:hAnsi="宋体"/>
                <w:color w:val="auto"/>
                <w:szCs w:val="21"/>
                <w:highlight w:val="none"/>
              </w:rPr>
              <w:t>日（星期</w:t>
            </w:r>
            <w:r>
              <w:rPr>
                <w:rFonts w:hint="eastAsia" w:ascii="宋体" w:hAnsi="宋体"/>
                <w:color w:val="auto"/>
                <w:szCs w:val="21"/>
                <w:highlight w:val="none"/>
                <w:u w:val="single"/>
                <w:lang w:val="en-US" w:eastAsia="zh-CN"/>
              </w:rPr>
              <w:t>三</w:t>
            </w:r>
            <w:r>
              <w:rPr>
                <w:rFonts w:hint="eastAsia" w:ascii="宋体" w:hAnsi="宋体"/>
                <w:color w:val="auto"/>
                <w:szCs w:val="21"/>
                <w:highlight w:val="none"/>
              </w:rPr>
              <w:t>）</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30</w:t>
            </w:r>
            <w:r>
              <w:rPr>
                <w:rFonts w:hint="eastAsia" w:ascii="宋体" w:hAnsi="宋体"/>
                <w:color w:val="auto"/>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24.1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响应文件的递交地点</w:t>
            </w:r>
          </w:p>
        </w:tc>
        <w:tc>
          <w:tcPr>
            <w:tcW w:w="5016" w:type="dxa"/>
            <w:vAlign w:val="center"/>
          </w:tcPr>
          <w:p>
            <w:pPr>
              <w:adjustRightInd w:val="0"/>
              <w:snapToGrid w:val="0"/>
              <w:spacing w:line="360" w:lineRule="auto"/>
              <w:rPr>
                <w:rFonts w:ascii="宋体" w:hAnsi="宋体"/>
                <w:bCs/>
                <w:color w:val="auto"/>
                <w:szCs w:val="21"/>
                <w:highlight w:val="none"/>
              </w:rPr>
            </w:pPr>
            <w:r>
              <w:rPr>
                <w:rFonts w:hint="eastAsia" w:ascii="宋体" w:hAnsi="宋体"/>
                <w:color w:val="auto"/>
                <w:highlight w:val="none"/>
              </w:rPr>
              <w:t>华新项目管理集团有限公司</w:t>
            </w:r>
            <w:r>
              <w:rPr>
                <w:rFonts w:hint="eastAsia" w:ascii="宋体" w:hAnsi="宋体"/>
                <w:color w:val="auto"/>
                <w:kern w:val="0"/>
                <w:szCs w:val="21"/>
                <w:highlight w:val="none"/>
              </w:rPr>
              <w:t>开标室（</w:t>
            </w:r>
            <w:r>
              <w:rPr>
                <w:rFonts w:hint="eastAsia" w:ascii="宋体" w:hAnsi="宋体"/>
                <w:color w:val="auto"/>
                <w:highlight w:val="none"/>
              </w:rPr>
              <w:t>长沙市天心区保利国际广场</w:t>
            </w:r>
            <w:r>
              <w:rPr>
                <w:rFonts w:ascii="宋体" w:hAnsi="宋体"/>
                <w:color w:val="auto"/>
                <w:highlight w:val="none"/>
              </w:rPr>
              <w:t>B3栋1801-1805室）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31.2</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评审因素和标准</w:t>
            </w:r>
          </w:p>
        </w:tc>
        <w:tc>
          <w:tcPr>
            <w:tcW w:w="5016" w:type="dxa"/>
            <w:vAlign w:val="center"/>
          </w:tcPr>
          <w:p>
            <w:pPr>
              <w:adjustRightInd w:val="0"/>
              <w:snapToGrid w:val="0"/>
              <w:spacing w:line="360" w:lineRule="auto"/>
              <w:rPr>
                <w:rFonts w:ascii="宋体" w:hAnsi="宋体"/>
                <w:bCs/>
                <w:color w:val="auto"/>
                <w:szCs w:val="21"/>
                <w:highlight w:val="none"/>
              </w:rPr>
            </w:pPr>
            <w:r>
              <w:rPr>
                <w:rFonts w:hint="eastAsia" w:ascii="宋体" w:hAnsi="宋体"/>
                <w:bCs/>
                <w:color w:val="auto"/>
                <w:szCs w:val="21"/>
                <w:highlight w:val="none"/>
              </w:rPr>
              <w:t>见附页</w:t>
            </w:r>
            <w:r>
              <w:rPr>
                <w:rFonts w:ascii="宋体" w:hAnsi="宋体"/>
                <w:bCs/>
                <w:color w:val="auto"/>
                <w:szCs w:val="21"/>
                <w:highlight w:val="none"/>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31.3</w:t>
            </w:r>
            <w:r>
              <w:rPr>
                <w:rFonts w:hint="eastAsia" w:ascii="宋体" w:hAnsi="宋体"/>
                <w:color w:val="auto"/>
                <w:szCs w:val="21"/>
                <w:highlight w:val="none"/>
              </w:rPr>
              <w:t>款</w:t>
            </w:r>
          </w:p>
        </w:tc>
        <w:tc>
          <w:tcPr>
            <w:tcW w:w="1985" w:type="dxa"/>
            <w:vAlign w:val="center"/>
          </w:tcPr>
          <w:p>
            <w:pPr>
              <w:adjustRightInd w:val="0"/>
              <w:snapToGrid w:val="0"/>
              <w:spacing w:before="0" w:beforeLines="-2147483648" w:line="360" w:lineRule="auto"/>
              <w:jc w:val="center"/>
              <w:rPr>
                <w:rFonts w:ascii="宋体" w:hAnsi="宋体"/>
                <w:color w:val="auto"/>
                <w:szCs w:val="21"/>
                <w:highlight w:val="none"/>
              </w:rPr>
            </w:pPr>
            <w:r>
              <w:rPr>
                <w:rFonts w:hint="eastAsia" w:ascii="宋体" w:hAnsi="宋体" w:cs="宋体"/>
                <w:color w:val="auto"/>
                <w:kern w:val="0"/>
                <w:szCs w:val="21"/>
                <w:highlight w:val="none"/>
              </w:rPr>
              <w:t>最后报价</w:t>
            </w:r>
            <w:r>
              <w:rPr>
                <w:rFonts w:hint="eastAsia" w:ascii="宋体" w:hAnsi="宋体"/>
                <w:color w:val="auto"/>
                <w:szCs w:val="21"/>
                <w:highlight w:val="none"/>
              </w:rPr>
              <w:t>调整</w:t>
            </w:r>
          </w:p>
        </w:tc>
        <w:tc>
          <w:tcPr>
            <w:tcW w:w="5016" w:type="dxa"/>
            <w:vAlign w:val="center"/>
          </w:tcPr>
          <w:p>
            <w:pPr>
              <w:adjustRightInd w:val="0"/>
              <w:snapToGrid w:val="0"/>
              <w:spacing w:before="0" w:beforeLines="-2147483648" w:line="360" w:lineRule="auto"/>
              <w:rPr>
                <w:rFonts w:ascii="宋体" w:hAnsi="宋体"/>
                <w:color w:val="auto"/>
                <w:szCs w:val="21"/>
                <w:highlight w:val="none"/>
              </w:rPr>
            </w:pPr>
            <w:r>
              <w:rPr>
                <w:rFonts w:hint="eastAsia" w:ascii="宋体" w:hAnsi="宋体" w:cs="宋体"/>
                <w:bCs/>
                <w:color w:val="auto"/>
                <w:kern w:val="0"/>
                <w:szCs w:val="21"/>
                <w:highlight w:val="none"/>
              </w:rPr>
              <w:t>政府采购支持中小企业发展</w:t>
            </w:r>
            <w:r>
              <w:rPr>
                <w:rFonts w:hint="eastAsia" w:ascii="宋体" w:hAnsi="宋体"/>
                <w:color w:val="auto"/>
                <w:szCs w:val="21"/>
                <w:highlight w:val="none"/>
              </w:rPr>
              <w:t>（货物类供应商和产品制造商应同时满足中小微企业的条件）</w:t>
            </w:r>
            <w:r>
              <w:rPr>
                <w:rFonts w:hint="eastAsia" w:ascii="宋体" w:hAnsi="宋体" w:cs="宋体"/>
                <w:bCs/>
                <w:color w:val="auto"/>
                <w:kern w:val="0"/>
                <w:szCs w:val="21"/>
                <w:highlight w:val="none"/>
              </w:rPr>
              <w:t>：</w:t>
            </w:r>
            <w:r>
              <w:rPr>
                <w:rFonts w:hint="eastAsia" w:ascii="宋体" w:hAnsi="宋体"/>
                <w:color w:val="auto"/>
                <w:szCs w:val="21"/>
                <w:highlight w:val="none"/>
              </w:rPr>
              <w:t>小型或微型企业，</w:t>
            </w:r>
            <w:r>
              <w:rPr>
                <w:rFonts w:hint="eastAsia" w:ascii="宋体" w:hAnsi="宋体" w:cs="宋体"/>
                <w:color w:val="auto"/>
                <w:kern w:val="0"/>
                <w:szCs w:val="21"/>
                <w:highlight w:val="none"/>
              </w:rPr>
              <w:t>最后报价</w:t>
            </w:r>
            <w:r>
              <w:rPr>
                <w:rFonts w:hint="eastAsia" w:ascii="宋体" w:hAnsi="宋体"/>
                <w:color w:val="auto"/>
                <w:szCs w:val="21"/>
                <w:highlight w:val="none"/>
              </w:rPr>
              <w:t>扣除比例为</w:t>
            </w:r>
            <w:r>
              <w:rPr>
                <w:rFonts w:ascii="宋体" w:hAnsi="宋体"/>
                <w:color w:val="auto"/>
                <w:szCs w:val="21"/>
                <w:highlight w:val="none"/>
              </w:rPr>
              <w:t xml:space="preserve"> </w:t>
            </w:r>
            <w:r>
              <w:rPr>
                <w:rFonts w:ascii="宋体" w:hAnsi="宋体"/>
                <w:color w:val="auto"/>
                <w:szCs w:val="21"/>
                <w:highlight w:val="none"/>
                <w:u w:val="single"/>
              </w:rPr>
              <w:t xml:space="preserve"> /  </w:t>
            </w:r>
            <w:r>
              <w:rPr>
                <w:rFonts w:hint="eastAsia" w:ascii="宋体" w:hAnsi="宋体"/>
                <w:color w:val="auto"/>
                <w:szCs w:val="21"/>
                <w:highlight w:val="none"/>
              </w:rPr>
              <w:t>％；联合体参与磋商的，最后报价扣除比例为</w:t>
            </w:r>
            <w:r>
              <w:rPr>
                <w:rFonts w:ascii="宋体" w:hAnsi="宋体"/>
                <w:color w:val="auto"/>
                <w:szCs w:val="21"/>
                <w:highlight w:val="none"/>
                <w:u w:val="single"/>
              </w:rPr>
              <w:t xml:space="preserve">  /  </w:t>
            </w:r>
            <w:r>
              <w:rPr>
                <w:rFonts w:ascii="宋体" w:hAnsi="宋体"/>
                <w:color w:val="auto"/>
                <w:szCs w:val="21"/>
                <w:highlight w:val="none"/>
              </w:rPr>
              <w:t xml:space="preserve"> %</w:t>
            </w:r>
            <w:r>
              <w:rPr>
                <w:rFonts w:hint="eastAsia" w:ascii="宋体" w:hAnsi="宋体"/>
                <w:color w:val="auto"/>
                <w:szCs w:val="21"/>
                <w:highlight w:val="none"/>
              </w:rPr>
              <w:t>。评审时，用扣除后的最后报价计算价格分。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31.5</w:t>
            </w:r>
            <w:r>
              <w:rPr>
                <w:rFonts w:hint="eastAsia" w:ascii="宋体" w:hAnsi="宋体"/>
                <w:color w:val="auto"/>
                <w:szCs w:val="21"/>
                <w:highlight w:val="none"/>
              </w:rPr>
              <w:t>款</w:t>
            </w:r>
          </w:p>
        </w:tc>
        <w:tc>
          <w:tcPr>
            <w:tcW w:w="1985" w:type="dxa"/>
            <w:vAlign w:val="center"/>
          </w:tcPr>
          <w:p>
            <w:pPr>
              <w:adjustRightInd w:val="0"/>
              <w:snapToGrid w:val="0"/>
              <w:spacing w:before="0" w:beforeLines="-2147483648" w:line="360" w:lineRule="auto"/>
              <w:jc w:val="center"/>
              <w:rPr>
                <w:rFonts w:ascii="宋体" w:hAnsi="宋体"/>
                <w:color w:val="auto"/>
                <w:szCs w:val="21"/>
                <w:highlight w:val="none"/>
              </w:rPr>
            </w:pPr>
            <w:r>
              <w:rPr>
                <w:rFonts w:hint="eastAsia" w:ascii="宋体" w:hAnsi="宋体"/>
                <w:color w:val="auto"/>
                <w:szCs w:val="21"/>
                <w:highlight w:val="none"/>
              </w:rPr>
              <w:t>技术、商务、价格</w:t>
            </w:r>
            <w:r>
              <w:rPr>
                <w:rFonts w:hint="eastAsia" w:ascii="宋体" w:hAnsi="宋体" w:cs="宋体"/>
                <w:color w:val="auto"/>
                <w:kern w:val="0"/>
                <w:szCs w:val="21"/>
                <w:highlight w:val="none"/>
              </w:rPr>
              <w:t>得分或总得分</w:t>
            </w:r>
            <w:r>
              <w:rPr>
                <w:rFonts w:hint="eastAsia" w:ascii="宋体" w:hAnsi="宋体"/>
                <w:color w:val="auto"/>
                <w:szCs w:val="21"/>
                <w:highlight w:val="none"/>
              </w:rPr>
              <w:t>调整</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31.6</w:t>
            </w:r>
            <w:r>
              <w:rPr>
                <w:rFonts w:hint="eastAsia" w:ascii="宋体" w:hAnsi="宋体"/>
                <w:color w:val="auto"/>
                <w:szCs w:val="21"/>
                <w:highlight w:val="none"/>
              </w:rPr>
              <w:t>款</w:t>
            </w:r>
          </w:p>
        </w:tc>
        <w:tc>
          <w:tcPr>
            <w:tcW w:w="1985" w:type="dxa"/>
            <w:vAlign w:val="center"/>
          </w:tcPr>
          <w:p>
            <w:pPr>
              <w:adjustRightInd w:val="0"/>
              <w:snapToGrid w:val="0"/>
              <w:spacing w:before="0" w:line="360" w:lineRule="auto"/>
              <w:jc w:val="center"/>
              <w:rPr>
                <w:rFonts w:ascii="宋体" w:hAnsi="宋体"/>
                <w:color w:val="auto"/>
                <w:szCs w:val="21"/>
                <w:highlight w:val="none"/>
              </w:rPr>
            </w:pPr>
            <w:r>
              <w:rPr>
                <w:rFonts w:hint="eastAsia" w:ascii="宋体" w:hAnsi="宋体"/>
                <w:color w:val="auto"/>
                <w:szCs w:val="21"/>
                <w:highlight w:val="none"/>
              </w:rPr>
              <w:t>多处或部分获得政府采购政策优惠的计算方法</w:t>
            </w:r>
          </w:p>
        </w:tc>
        <w:tc>
          <w:tcPr>
            <w:tcW w:w="5016" w:type="dxa"/>
            <w:vAlign w:val="center"/>
          </w:tcPr>
          <w:p>
            <w:pPr>
              <w:adjustRightInd w:val="0"/>
              <w:snapToGrid w:val="0"/>
              <w:spacing w:before="0" w:beforeLines="-2147483648" w:line="360" w:lineRule="auto"/>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color w:val="auto"/>
                <w:szCs w:val="21"/>
                <w:highlight w:val="none"/>
              </w:rPr>
            </w:pPr>
            <w:r>
              <w:rPr>
                <w:rFonts w:hint="eastAsia" w:ascii="宋体" w:hAnsi="宋体"/>
                <w:b/>
                <w:color w:val="auto"/>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37.1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财政部门指定的媒体</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长沙政府采购网</w:t>
            </w:r>
          </w:p>
          <w:p>
            <w:pPr>
              <w:adjustRightInd w:val="0"/>
              <w:snapToGrid w:val="0"/>
              <w:spacing w:line="360" w:lineRule="auto"/>
              <w:rPr>
                <w:rFonts w:ascii="宋体" w:hAnsi="宋体"/>
                <w:color w:val="auto"/>
                <w:szCs w:val="21"/>
                <w:highlight w:val="none"/>
              </w:rPr>
            </w:pPr>
            <w:r>
              <w:rPr>
                <w:rFonts w:hint="eastAsia"/>
                <w:color w:val="auto"/>
                <w:highlight w:val="none"/>
              </w:rPr>
              <w:fldChar w:fldCharType="begin"/>
            </w:r>
            <w:r>
              <w:rPr>
                <w:color w:val="auto"/>
                <w:highlight w:val="none"/>
              </w:rPr>
              <w:instrText xml:space="preserve"> HYPERLINK "http://changs.ccgp-hunan.gov.cn" </w:instrText>
            </w:r>
            <w:r>
              <w:rPr>
                <w:rFonts w:hint="eastAsia" w:ascii="Times New Roman" w:hAnsi="Times New Roman"/>
                <w:color w:val="auto"/>
                <w:szCs w:val="24"/>
                <w:highlight w:val="none"/>
              </w:rPr>
              <w:fldChar w:fldCharType="separate"/>
            </w:r>
            <w:r>
              <w:rPr>
                <w:rFonts w:ascii="宋体" w:hAnsi="宋体"/>
                <w:color w:val="auto"/>
                <w:szCs w:val="21"/>
                <w:highlight w:val="none"/>
              </w:rPr>
              <w:t>http://cha</w:t>
            </w:r>
            <w:bookmarkStart w:id="0" w:name="_Hlt130365076"/>
            <w:bookmarkStart w:id="1" w:name="_Hlt130365077"/>
            <w:r>
              <w:rPr>
                <w:rFonts w:ascii="宋体" w:hAnsi="宋体"/>
                <w:color w:val="auto"/>
                <w:szCs w:val="21"/>
                <w:highlight w:val="none"/>
              </w:rPr>
              <w:t>n</w:t>
            </w:r>
            <w:bookmarkEnd w:id="0"/>
            <w:bookmarkEnd w:id="1"/>
            <w:r>
              <w:rPr>
                <w:rFonts w:ascii="宋体" w:hAnsi="宋体"/>
                <w:color w:val="auto"/>
                <w:szCs w:val="21"/>
                <w:highlight w:val="none"/>
              </w:rPr>
              <w:t>gs.ccgp-hunan.gov.cn</w:t>
            </w:r>
            <w:r>
              <w:rPr>
                <w:rFonts w:hint="eastAsia" w:ascii="宋体" w:hAnsi="宋体"/>
                <w:color w:val="auto"/>
                <w:szCs w:val="21"/>
                <w:highlight w:val="none"/>
              </w:rPr>
              <w:fldChar w:fldCharType="end"/>
            </w:r>
          </w:p>
          <w:p>
            <w:pPr>
              <w:adjustRightInd w:val="0"/>
              <w:snapToGrid w:val="0"/>
              <w:spacing w:line="360" w:lineRule="auto"/>
              <w:rPr>
                <w:rFonts w:ascii="宋体" w:hAnsi="宋体"/>
                <w:color w:val="auto"/>
                <w:highlight w:val="none"/>
              </w:rPr>
            </w:pPr>
            <w:r>
              <w:rPr>
                <w:rFonts w:hint="eastAsia" w:ascii="宋体" w:hAnsi="宋体"/>
                <w:color w:val="auto"/>
                <w:szCs w:val="21"/>
                <w:highlight w:val="none"/>
              </w:rPr>
              <w:t>湖南智谷投资发展集团有限公司官网</w:t>
            </w:r>
            <w:r>
              <w:rPr>
                <w:rFonts w:ascii="宋体" w:hAnsi="宋体"/>
                <w:color w:val="auto"/>
                <w:szCs w:val="21"/>
                <w:highlight w:val="none"/>
              </w:rPr>
              <w:t>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39.3</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履约担保</w:t>
            </w:r>
          </w:p>
        </w:tc>
        <w:tc>
          <w:tcPr>
            <w:tcW w:w="5016"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不要求提供</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要求提供，履约担保的金额为：</w:t>
            </w:r>
            <w:r>
              <w:rPr>
                <w:rFonts w:ascii="宋体" w:hAnsi="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5" w:type="dxa"/>
            <w:gridSpan w:val="3"/>
            <w:vAlign w:val="center"/>
          </w:tcPr>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41.1</w:t>
            </w:r>
            <w:r>
              <w:rPr>
                <w:rFonts w:hint="eastAsia" w:ascii="宋体" w:hAnsi="宋体"/>
                <w:color w:val="auto"/>
                <w:szCs w:val="21"/>
                <w:highlight w:val="none"/>
              </w:rPr>
              <w:t>款</w:t>
            </w:r>
          </w:p>
        </w:tc>
        <w:tc>
          <w:tcPr>
            <w:tcW w:w="1985" w:type="dxa"/>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采购代理服务费</w:t>
            </w:r>
          </w:p>
        </w:tc>
        <w:tc>
          <w:tcPr>
            <w:tcW w:w="5016" w:type="dxa"/>
            <w:vAlign w:val="center"/>
          </w:tcPr>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经采购人同意，本项目采购代理服务费</w:t>
            </w:r>
            <w:r>
              <w:rPr>
                <w:rFonts w:hint="eastAsia" w:ascii="宋体" w:hAnsi="宋体" w:cs="Arial"/>
                <w:color w:val="auto"/>
                <w:szCs w:val="21"/>
                <w:highlight w:val="none"/>
              </w:rPr>
              <w:t>由中标人在领取中标通知书时按采购代理协议中的约定向采购代理机构一次性缴纳</w:t>
            </w:r>
            <w:r>
              <w:rPr>
                <w:rFonts w:ascii="宋体" w:hAnsi="宋体" w:cs="Arial"/>
                <w:color w:val="auto"/>
                <w:szCs w:val="21"/>
                <w:highlight w:val="none"/>
              </w:rPr>
              <w:t>。</w:t>
            </w:r>
            <w:bookmarkStart w:id="2" w:name="OLE_LINK2"/>
            <w:r>
              <w:rPr>
                <w:rFonts w:hint="eastAsia" w:ascii="宋体" w:hAnsi="宋体" w:cs="Arial"/>
                <w:color w:val="auto"/>
                <w:szCs w:val="21"/>
                <w:highlight w:val="none"/>
              </w:rPr>
              <w:t>参照《国家计委关于印发</w:t>
            </w:r>
            <w:r>
              <w:rPr>
                <w:rFonts w:ascii="宋体" w:hAnsi="宋体" w:cs="Arial"/>
                <w:color w:val="auto"/>
                <w:szCs w:val="21"/>
                <w:highlight w:val="none"/>
              </w:rPr>
              <w:t>&lt;招标代理服务收费管理暂行办法&gt;的通知》（计价格【2002】1980号文）标准收取，计费基数为投标总价。</w:t>
            </w:r>
            <w:bookmarkEnd w:id="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44" w:type="dxa"/>
            <w:tcBorders>
              <w:bottom w:val="double" w:color="auto" w:sz="4" w:space="0"/>
            </w:tcBorders>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第二章第</w:t>
            </w:r>
            <w:r>
              <w:rPr>
                <w:rFonts w:ascii="宋体" w:hAnsi="宋体"/>
                <w:color w:val="auto"/>
                <w:szCs w:val="21"/>
                <w:highlight w:val="none"/>
              </w:rPr>
              <w:t>42.1</w:t>
            </w:r>
            <w:r>
              <w:rPr>
                <w:rFonts w:hint="eastAsia" w:ascii="宋体" w:hAnsi="宋体"/>
                <w:color w:val="auto"/>
                <w:szCs w:val="21"/>
                <w:highlight w:val="none"/>
              </w:rPr>
              <w:t>款</w:t>
            </w:r>
          </w:p>
        </w:tc>
        <w:tc>
          <w:tcPr>
            <w:tcW w:w="1985" w:type="dxa"/>
            <w:tcBorders>
              <w:bottom w:val="double" w:color="auto" w:sz="4" w:space="0"/>
            </w:tcBorders>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其他规定</w:t>
            </w:r>
          </w:p>
        </w:tc>
        <w:tc>
          <w:tcPr>
            <w:tcW w:w="5016" w:type="dxa"/>
            <w:tcBorders>
              <w:bottom w:val="double" w:color="auto" w:sz="4" w:space="0"/>
            </w:tcBorders>
            <w:vAlign w:val="center"/>
          </w:tcPr>
          <w:p>
            <w:pPr>
              <w:adjustRightInd w:val="0"/>
              <w:snapToGrid w:val="0"/>
              <w:spacing w:before="0" w:beforeLines="-2147483648" w:line="360" w:lineRule="auto"/>
              <w:rPr>
                <w:rFonts w:ascii="宋体" w:hAns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0" w:beforeLines="-2147483648" w:line="360" w:lineRule="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、信用信息查询的查询渠道：“信用中国”网站（</w:t>
            </w:r>
            <w:r>
              <w:rPr>
                <w:rFonts w:ascii="宋体" w:hAnsi="宋体"/>
                <w:color w:val="auto"/>
                <w:szCs w:val="21"/>
                <w:highlight w:val="none"/>
              </w:rPr>
              <w:t>www.creditchina.gov.cn</w:t>
            </w:r>
            <w:r>
              <w:rPr>
                <w:rFonts w:hint="eastAsia" w:ascii="宋体" w:hAnsi="宋体"/>
                <w:color w:val="auto"/>
                <w:szCs w:val="21"/>
                <w:highlight w:val="none"/>
              </w:rPr>
              <w:t>）、中国政府采购网（</w:t>
            </w:r>
            <w:r>
              <w:rPr>
                <w:rFonts w:ascii="宋体" w:hAnsi="宋体"/>
                <w:color w:val="auto"/>
                <w:szCs w:val="21"/>
                <w:highlight w:val="none"/>
              </w:rPr>
              <w:t>www.ccgp.gov.cn</w:t>
            </w:r>
            <w:r>
              <w:rPr>
                <w:rFonts w:hint="eastAsia" w:ascii="宋体" w:hAnsi="宋体"/>
                <w:color w:val="auto"/>
                <w:szCs w:val="21"/>
                <w:highlight w:val="none"/>
              </w:rPr>
              <w:t>）。</w:t>
            </w:r>
          </w:p>
          <w:p>
            <w:pPr>
              <w:adjustRightInd w:val="0"/>
              <w:snapToGrid w:val="0"/>
              <w:spacing w:before="0" w:beforeLines="-2147483648" w:line="360" w:lineRule="auto"/>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、信用信息查询的截止时点：至本项目投标截止时间止。</w:t>
            </w:r>
          </w:p>
          <w:p>
            <w:pPr>
              <w:adjustRightInd w:val="0"/>
              <w:snapToGrid w:val="0"/>
              <w:spacing w:before="0" w:beforeLines="-2147483648" w:line="360"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、信用信息查询记录的具体方式：采购人或采购代理机构在开标后在规定的查询渠道进行查询。</w:t>
            </w:r>
          </w:p>
          <w:p>
            <w:pPr>
              <w:adjustRightInd w:val="0"/>
              <w:snapToGrid w:val="0"/>
              <w:spacing w:before="0" w:beforeLines="-2147483648" w:line="360"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、信用信息查询记录证据留存的具体方式：查询记录的网上打印件。</w:t>
            </w:r>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、信用信息的使用规则：查询后交由评标委员会评定。</w:t>
            </w:r>
          </w:p>
        </w:tc>
      </w:tr>
    </w:tbl>
    <w:p>
      <w:pPr>
        <w:adjustRightInd w:val="0"/>
        <w:snapToGrid w:val="0"/>
        <w:spacing w:line="520" w:lineRule="exact"/>
        <w:rPr>
          <w:rFonts w:ascii="宋体" w:hAnsi="宋体" w:cs="宋体"/>
          <w:color w:val="auto"/>
          <w:kern w:val="0"/>
          <w:szCs w:val="21"/>
          <w:highlight w:val="none"/>
        </w:rPr>
        <w:sectPr>
          <w:pgSz w:w="11906" w:h="16838"/>
          <w:pgMar w:top="1440" w:right="1531" w:bottom="1440" w:left="1531" w:header="851" w:footer="992" w:gutter="0"/>
          <w:cols w:space="720" w:num="1"/>
          <w:titlePg/>
          <w:docGrid w:type="lines" w:linePitch="312" w:charSpace="0"/>
        </w:sectPr>
      </w:pPr>
    </w:p>
    <w:p>
      <w:pPr>
        <w:spacing w:line="240" w:lineRule="auto"/>
        <w:rPr>
          <w:rFonts w:hint="eastAsia" w:ascii="宋体" w:hAnsi="宋体"/>
          <w:b/>
          <w:bCs/>
          <w:color w:val="auto"/>
          <w:szCs w:val="21"/>
          <w:highlight w:val="none"/>
        </w:rPr>
      </w:pPr>
      <w:r>
        <w:rPr>
          <w:rFonts w:hint="eastAsia" w:ascii="宋体" w:hAnsi="宋体"/>
          <w:b/>
          <w:bCs/>
          <w:color w:val="auto"/>
          <w:szCs w:val="21"/>
          <w:highlight w:val="none"/>
        </w:rPr>
        <w:br w:type="page"/>
      </w:r>
    </w:p>
    <w:p>
      <w:pPr>
        <w:spacing w:line="520" w:lineRule="exact"/>
        <w:rPr>
          <w:rFonts w:ascii="宋体" w:hAnsi="宋体"/>
          <w:b/>
          <w:color w:val="auto"/>
          <w:szCs w:val="21"/>
          <w:highlight w:val="none"/>
        </w:rPr>
      </w:pPr>
      <w:r>
        <w:rPr>
          <w:rFonts w:hint="eastAsia" w:ascii="宋体" w:hAnsi="宋体"/>
          <w:b/>
          <w:bCs/>
          <w:color w:val="auto"/>
          <w:szCs w:val="21"/>
          <w:highlight w:val="none"/>
        </w:rPr>
        <w:t>附页</w:t>
      </w:r>
      <w:r>
        <w:rPr>
          <w:rFonts w:ascii="宋体" w:hAnsi="宋体"/>
          <w:b/>
          <w:bCs/>
          <w:color w:val="auto"/>
          <w:szCs w:val="21"/>
          <w:highlight w:val="none"/>
        </w:rPr>
        <w:t>4</w:t>
      </w:r>
    </w:p>
    <w:p>
      <w:pPr>
        <w:spacing w:line="520" w:lineRule="exact"/>
        <w:jc w:val="center"/>
        <w:outlineLvl w:val="1"/>
        <w:rPr>
          <w:rFonts w:ascii="宋体" w:hAnsi="宋体"/>
          <w:b/>
          <w:color w:val="auto"/>
          <w:sz w:val="28"/>
          <w:szCs w:val="28"/>
          <w:highlight w:val="none"/>
        </w:rPr>
      </w:pPr>
      <w:r>
        <w:rPr>
          <w:rFonts w:hint="eastAsia" w:ascii="宋体" w:hAnsi="宋体"/>
          <w:b/>
          <w:color w:val="auto"/>
          <w:sz w:val="28"/>
          <w:szCs w:val="28"/>
          <w:highlight w:val="none"/>
        </w:rPr>
        <w:t>评审因素和标准</w:t>
      </w:r>
    </w:p>
    <w:tbl>
      <w:tblPr>
        <w:tblStyle w:val="26"/>
        <w:tblpPr w:leftFromText="180" w:rightFromText="180" w:vertAnchor="text" w:horzAnchor="page" w:tblpXSpec="center" w:tblpY="743"/>
        <w:tblOverlap w:val="never"/>
        <w:tblW w:w="53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073"/>
        <w:gridCol w:w="1218"/>
        <w:gridCol w:w="769"/>
        <w:gridCol w:w="592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71" w:type="pct"/>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序号</w:t>
            </w:r>
          </w:p>
        </w:tc>
        <w:tc>
          <w:tcPr>
            <w:tcW w:w="1178" w:type="pct"/>
            <w:gridSpan w:val="2"/>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评审因素</w:t>
            </w:r>
          </w:p>
        </w:tc>
        <w:tc>
          <w:tcPr>
            <w:tcW w:w="395" w:type="pct"/>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分值</w:t>
            </w:r>
          </w:p>
        </w:tc>
        <w:tc>
          <w:tcPr>
            <w:tcW w:w="3054" w:type="pct"/>
            <w:gridSpan w:val="2"/>
            <w:vAlign w:val="center"/>
          </w:tcPr>
          <w:p>
            <w:pPr>
              <w:adjustRightInd w:val="0"/>
              <w:snapToGrid w:val="0"/>
              <w:spacing w:line="288"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2" w:hRule="atLeast"/>
          <w:jc w:val="center"/>
        </w:trPr>
        <w:tc>
          <w:tcPr>
            <w:tcW w:w="371" w:type="pct"/>
            <w:vAlign w:val="center"/>
          </w:tcPr>
          <w:p>
            <w:pPr>
              <w:adjustRightInd w:val="0"/>
              <w:snapToGrid w:val="0"/>
              <w:spacing w:line="288" w:lineRule="auto"/>
              <w:jc w:val="center"/>
              <w:rPr>
                <w:rFonts w:ascii="宋体" w:hAnsi="宋体" w:cs="宋体"/>
                <w:color w:val="auto"/>
                <w:szCs w:val="21"/>
                <w:highlight w:val="none"/>
                <w:lang w:bidi="ar"/>
              </w:rPr>
            </w:pPr>
          </w:p>
          <w:p>
            <w:pPr>
              <w:adjustRightInd w:val="0"/>
              <w:snapToGrid w:val="0"/>
              <w:spacing w:line="288" w:lineRule="auto"/>
              <w:jc w:val="center"/>
              <w:rPr>
                <w:rFonts w:ascii="宋体" w:hAnsi="宋体" w:cs="宋体"/>
                <w:color w:val="auto"/>
                <w:szCs w:val="21"/>
                <w:highlight w:val="none"/>
              </w:rPr>
            </w:pPr>
            <w:r>
              <w:rPr>
                <w:rFonts w:ascii="宋体" w:hAnsi="宋体" w:cs="宋体"/>
                <w:color w:val="auto"/>
                <w:szCs w:val="21"/>
                <w:highlight w:val="none"/>
                <w:lang w:bidi="ar"/>
              </w:rPr>
              <w:t>1</w:t>
            </w:r>
          </w:p>
          <w:p>
            <w:pPr>
              <w:adjustRightInd w:val="0"/>
              <w:snapToGrid w:val="0"/>
              <w:spacing w:line="288" w:lineRule="auto"/>
              <w:jc w:val="center"/>
              <w:rPr>
                <w:rFonts w:ascii="宋体" w:hAnsi="宋体" w:cs="宋体"/>
                <w:color w:val="auto"/>
                <w:szCs w:val="21"/>
                <w:highlight w:val="none"/>
              </w:rPr>
            </w:pPr>
          </w:p>
        </w:tc>
        <w:tc>
          <w:tcPr>
            <w:tcW w:w="1178" w:type="pct"/>
            <w:gridSpan w:val="2"/>
            <w:vAlign w:val="center"/>
          </w:tcPr>
          <w:p>
            <w:pPr>
              <w:adjustRightInd w:val="0"/>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lang w:bidi="ar"/>
              </w:rPr>
              <w:t>价格部分（</w:t>
            </w:r>
            <w:r>
              <w:rPr>
                <w:rFonts w:hint="eastAsia" w:ascii="宋体" w:hAnsi="宋体" w:cs="宋体"/>
                <w:color w:val="auto"/>
                <w:szCs w:val="21"/>
                <w:highlight w:val="none"/>
                <w:lang w:val="en-US" w:eastAsia="zh-CN" w:bidi="ar"/>
              </w:rPr>
              <w:t>30</w:t>
            </w:r>
            <w:r>
              <w:rPr>
                <w:rFonts w:ascii="宋体" w:hAnsi="宋体" w:cs="宋体"/>
                <w:color w:val="auto"/>
                <w:szCs w:val="21"/>
                <w:highlight w:val="none"/>
                <w:lang w:bidi="ar"/>
              </w:rPr>
              <w:t>分）</w:t>
            </w:r>
          </w:p>
        </w:tc>
        <w:tc>
          <w:tcPr>
            <w:tcW w:w="395" w:type="pct"/>
            <w:vAlign w:val="center"/>
          </w:tcPr>
          <w:p>
            <w:pPr>
              <w:adjustRightInd w:val="0"/>
              <w:snapToGrid w:val="0"/>
              <w:spacing w:line="288"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bidi="ar"/>
              </w:rPr>
              <w:t>30</w:t>
            </w:r>
          </w:p>
        </w:tc>
        <w:tc>
          <w:tcPr>
            <w:tcW w:w="3054" w:type="pct"/>
            <w:gridSpan w:val="2"/>
            <w:vAlign w:val="center"/>
          </w:tcPr>
          <w:p>
            <w:pPr>
              <w:spacing w:line="288" w:lineRule="auto"/>
              <w:rPr>
                <w:rFonts w:ascii="宋体" w:hAnsi="宋体"/>
                <w:color w:val="auto"/>
                <w:szCs w:val="21"/>
                <w:highlight w:val="none"/>
              </w:rPr>
            </w:pPr>
            <w:r>
              <w:rPr>
                <w:rFonts w:hint="eastAsia" w:ascii="宋体" w:hAnsi="宋体"/>
                <w:color w:val="auto"/>
                <w:szCs w:val="21"/>
                <w:highlight w:val="none"/>
              </w:rPr>
              <w:t>满足磋商文件要求且最后报价最低的供应商价格为磋商基准价，其价格分为满分。其他供应商的价格分统一按照下列公式计算：</w:t>
            </w:r>
          </w:p>
          <w:p>
            <w:pPr>
              <w:spacing w:line="288" w:lineRule="auto"/>
              <w:rPr>
                <w:rFonts w:ascii="宋体" w:hAnsi="宋体"/>
                <w:color w:val="auto"/>
                <w:szCs w:val="21"/>
                <w:highlight w:val="none"/>
              </w:rPr>
            </w:pPr>
            <w:r>
              <w:rPr>
                <w:rFonts w:hint="eastAsia" w:ascii="宋体" w:hAnsi="宋体"/>
                <w:color w:val="auto"/>
                <w:szCs w:val="21"/>
                <w:highlight w:val="none"/>
              </w:rPr>
              <w:t>磋商报价得分</w:t>
            </w:r>
            <w:r>
              <w:rPr>
                <w:rFonts w:ascii="宋体" w:hAnsi="宋体"/>
                <w:color w:val="auto"/>
                <w:szCs w:val="21"/>
                <w:highlight w:val="none"/>
              </w:rPr>
              <w:t>=（磋商基准价/最后报价）×价格分值。</w:t>
            </w:r>
          </w:p>
          <w:p>
            <w:pPr>
              <w:spacing w:line="288" w:lineRule="auto"/>
              <w:rPr>
                <w:rFonts w:ascii="宋体" w:hAnsi="宋体"/>
                <w:color w:val="auto"/>
                <w:szCs w:val="21"/>
                <w:highlight w:val="none"/>
              </w:rPr>
            </w:pPr>
            <w:r>
              <w:rPr>
                <w:rFonts w:hint="eastAsia" w:ascii="宋体" w:hAnsi="宋体"/>
                <w:color w:val="auto"/>
                <w:szCs w:val="21"/>
                <w:highlight w:val="none"/>
                <w:lang w:val="en-US" w:eastAsia="zh-CN"/>
              </w:rPr>
              <w:t>注：</w:t>
            </w:r>
            <w:r>
              <w:rPr>
                <w:rFonts w:hint="eastAsia" w:ascii="宋体" w:hAnsi="宋体"/>
                <w:color w:val="auto"/>
                <w:szCs w:val="21"/>
                <w:highlight w:val="none"/>
              </w:rPr>
              <w:t>在评标过程中，评审小组发现供应商的报价明显低于其他投标报价的情况，使得其投标报价可能低于成本的，应当要求该供应商作出书面说明并提供相关证明材料。供应商不能合理说明或者不能提供相关证明材料的，由评审小组认定该供应商以低于成本报价竞标，其投标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371" w:type="pct"/>
            <w:vMerge w:val="restart"/>
            <w:shd w:val="clear" w:color="auto" w:fill="auto"/>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2</w:t>
            </w:r>
          </w:p>
        </w:tc>
        <w:tc>
          <w:tcPr>
            <w:tcW w:w="552" w:type="pct"/>
            <w:vMerge w:val="restart"/>
            <w:shd w:val="clear" w:color="auto" w:fill="auto"/>
            <w:vAlign w:val="center"/>
          </w:tcPr>
          <w:p>
            <w:pPr>
              <w:adjustRightInd w:val="0"/>
              <w:snapToGrid w:val="0"/>
              <w:spacing w:line="288" w:lineRule="auto"/>
              <w:jc w:val="center"/>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bidi="ar"/>
              </w:rPr>
              <w:t>技术</w:t>
            </w:r>
            <w:r>
              <w:rPr>
                <w:rFonts w:hint="eastAsia" w:ascii="宋体" w:hAnsi="宋体" w:eastAsia="宋体" w:cs="宋体"/>
                <w:color w:val="auto"/>
                <w:szCs w:val="21"/>
                <w:highlight w:val="none"/>
                <w:lang w:val="en-US" w:eastAsia="zh-CN" w:bidi="ar"/>
              </w:rPr>
              <w:t>部分</w:t>
            </w:r>
          </w:p>
          <w:p>
            <w:pPr>
              <w:adjustRightInd w:val="0"/>
              <w:snapToGrid w:val="0"/>
              <w:spacing w:line="288" w:lineRule="auto"/>
              <w:jc w:val="center"/>
              <w:rPr>
                <w:rFonts w:ascii="宋体" w:hAnsi="宋体" w:cs="宋体"/>
                <w:color w:val="auto"/>
                <w:szCs w:val="21"/>
                <w:highlight w:val="none"/>
                <w:lang w:bidi="ar"/>
              </w:rPr>
            </w:pPr>
            <w:r>
              <w:rPr>
                <w:rFonts w:hint="eastAsia" w:ascii="宋体" w:hAnsi="宋体" w:eastAsia="宋体" w:cs="宋体"/>
                <w:color w:val="auto"/>
                <w:szCs w:val="21"/>
                <w:highlight w:val="none"/>
                <w:lang w:bidi="ar"/>
              </w:rPr>
              <w:t>（</w:t>
            </w:r>
            <w:r>
              <w:rPr>
                <w:rFonts w:hint="eastAsia" w:ascii="宋体" w:hAnsi="宋体" w:cs="宋体"/>
                <w:color w:val="auto"/>
                <w:szCs w:val="21"/>
                <w:highlight w:val="none"/>
                <w:lang w:val="en-US" w:eastAsia="zh-CN" w:bidi="ar"/>
              </w:rPr>
              <w:t>45</w:t>
            </w:r>
            <w:r>
              <w:rPr>
                <w:rFonts w:hint="eastAsia" w:ascii="宋体" w:hAnsi="宋体" w:eastAsia="宋体" w:cs="宋体"/>
                <w:color w:val="auto"/>
                <w:szCs w:val="21"/>
                <w:highlight w:val="none"/>
                <w:lang w:bidi="ar"/>
              </w:rPr>
              <w:t>分）</w:t>
            </w:r>
          </w:p>
        </w:tc>
        <w:tc>
          <w:tcPr>
            <w:tcW w:w="626" w:type="pct"/>
            <w:shd w:val="clear" w:color="auto" w:fill="FFFFFF"/>
            <w:vAlign w:val="center"/>
          </w:tcPr>
          <w:p>
            <w:pPr>
              <w:widowControl/>
              <w:spacing w:line="360" w:lineRule="exact"/>
              <w:jc w:val="center"/>
              <w:rPr>
                <w:rFonts w:ascii="宋体" w:hAnsi="宋体" w:cs="宋体"/>
                <w:color w:val="auto"/>
                <w:szCs w:val="21"/>
                <w:highlight w:val="none"/>
              </w:rPr>
            </w:pPr>
            <w:r>
              <w:rPr>
                <w:rFonts w:hint="eastAsia" w:ascii="宋体" w:hAnsi="宋体" w:cs="宋体"/>
                <w:color w:val="auto"/>
                <w:sz w:val="21"/>
                <w:szCs w:val="21"/>
                <w:highlight w:val="none"/>
              </w:rPr>
              <w:t>项目理解</w:t>
            </w:r>
          </w:p>
        </w:tc>
        <w:tc>
          <w:tcPr>
            <w:tcW w:w="395" w:type="pct"/>
            <w:shd w:val="clear" w:color="auto" w:fill="FFFFFF"/>
            <w:vAlign w:val="center"/>
          </w:tcPr>
          <w:p>
            <w:pPr>
              <w:snapToGrid w:val="0"/>
              <w:spacing w:line="288" w:lineRule="auto"/>
              <w:jc w:val="center"/>
              <w:rPr>
                <w:rFonts w:hint="default" w:ascii="宋体" w:hAnsi="宋体" w:cs="宋体"/>
                <w:color w:val="auto"/>
                <w:szCs w:val="21"/>
                <w:highlight w:val="none"/>
              </w:rPr>
            </w:pP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0</w:t>
            </w:r>
          </w:p>
        </w:tc>
        <w:tc>
          <w:tcPr>
            <w:tcW w:w="3054" w:type="pct"/>
            <w:gridSpan w:val="2"/>
            <w:shd w:val="clear" w:color="auto" w:fill="FFFFFF"/>
            <w:vAlign w:val="center"/>
          </w:tcPr>
          <w:p>
            <w:pPr>
              <w:widowControl/>
              <w:spacing w:line="288" w:lineRule="auto"/>
              <w:jc w:val="left"/>
              <w:rPr>
                <w:rFonts w:ascii="宋体" w:hAnsi="宋体" w:cs="宋体"/>
                <w:color w:val="auto"/>
                <w:szCs w:val="21"/>
                <w:highlight w:val="none"/>
              </w:rPr>
            </w:pPr>
            <w:r>
              <w:rPr>
                <w:rFonts w:hint="eastAsia" w:ascii="宋体" w:hAnsi="宋体" w:cs="宋体"/>
                <w:color w:val="auto"/>
                <w:sz w:val="21"/>
                <w:szCs w:val="21"/>
                <w:highlight w:val="none"/>
              </w:rPr>
              <w:t>投标供应商基于项目背景、实施目标、需求</w:t>
            </w:r>
            <w:r>
              <w:rPr>
                <w:rFonts w:hint="eastAsia" w:ascii="宋体" w:hAnsi="宋体" w:cs="宋体"/>
                <w:color w:val="auto"/>
                <w:sz w:val="21"/>
                <w:szCs w:val="21"/>
                <w:highlight w:val="none"/>
                <w:lang w:val="en-US" w:eastAsia="zh-CN"/>
              </w:rPr>
              <w:t>理解和</w:t>
            </w:r>
            <w:r>
              <w:rPr>
                <w:rFonts w:hint="eastAsia" w:ascii="宋体" w:hAnsi="宋体" w:cs="宋体"/>
                <w:color w:val="auto"/>
                <w:sz w:val="21"/>
                <w:szCs w:val="21"/>
                <w:highlight w:val="none"/>
              </w:rPr>
              <w:t>分析、实施内容等，提供方案，详细阐述对项目需求的理解和分析：分析透彻、思路清晰、内容完整、针对性强且符合项目要求的计</w:t>
            </w:r>
            <w:r>
              <w:rPr>
                <w:rFonts w:hint="eastAsia" w:ascii="宋体" w:hAnsi="宋体" w:cs="宋体"/>
                <w:color w:val="auto"/>
                <w:sz w:val="21"/>
                <w:szCs w:val="21"/>
                <w:highlight w:val="none"/>
                <w:lang w:eastAsia="zh-CN"/>
              </w:rPr>
              <w:t>1</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分；缺漏项或内容不够完整或欠合理的或不实用的每处扣</w:t>
            </w:r>
            <w:r>
              <w:rPr>
                <w:rFonts w:hint="eastAsia" w:ascii="宋体" w:hAnsi="宋体" w:cs="宋体"/>
                <w:color w:val="auto"/>
                <w:sz w:val="21"/>
                <w:szCs w:val="21"/>
                <w:highlight w:val="none"/>
                <w:lang w:eastAsia="zh-CN"/>
              </w:rPr>
              <w:t>2</w:t>
            </w:r>
            <w:r>
              <w:rPr>
                <w:rFonts w:hint="eastAsia" w:ascii="宋体" w:hAnsi="宋体" w:cs="宋体"/>
                <w:color w:val="auto"/>
                <w:sz w:val="21"/>
                <w:szCs w:val="21"/>
                <w:highlight w:val="none"/>
              </w:rPr>
              <w:t>分，扣完为止。未提供方案的不计分。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1" w:type="pct"/>
            <w:vMerge w:val="continue"/>
            <w:shd w:val="clear" w:color="auto" w:fill="auto"/>
            <w:vAlign w:val="center"/>
          </w:tcPr>
          <w:p>
            <w:pPr>
              <w:adjustRightInd w:val="0"/>
              <w:snapToGrid w:val="0"/>
              <w:spacing w:line="288" w:lineRule="auto"/>
              <w:rPr>
                <w:rFonts w:ascii="宋体" w:hAnsi="宋体" w:cs="宋体"/>
                <w:color w:val="auto"/>
                <w:highlight w:val="none"/>
              </w:rPr>
            </w:pPr>
          </w:p>
        </w:tc>
        <w:tc>
          <w:tcPr>
            <w:tcW w:w="552" w:type="pct"/>
            <w:vMerge w:val="continue"/>
            <w:shd w:val="clear" w:color="auto" w:fill="auto"/>
            <w:vAlign w:val="center"/>
          </w:tcPr>
          <w:p>
            <w:pPr>
              <w:adjustRightInd w:val="0"/>
              <w:snapToGrid w:val="0"/>
              <w:spacing w:line="288" w:lineRule="auto"/>
              <w:rPr>
                <w:rFonts w:ascii="宋体" w:hAnsi="宋体" w:cs="宋体"/>
                <w:color w:val="auto"/>
                <w:highlight w:val="none"/>
              </w:rPr>
            </w:pPr>
          </w:p>
        </w:tc>
        <w:tc>
          <w:tcPr>
            <w:tcW w:w="626" w:type="pct"/>
            <w:shd w:val="clear" w:color="auto" w:fill="FFFFFF"/>
            <w:vAlign w:val="center"/>
          </w:tcPr>
          <w:p>
            <w:pPr>
              <w:widowControl/>
              <w:spacing w:line="360" w:lineRule="exact"/>
              <w:jc w:val="center"/>
              <w:rPr>
                <w:rFonts w:ascii="宋体" w:hAnsi="宋体" w:cs="宋体"/>
                <w:color w:val="auto"/>
                <w:szCs w:val="21"/>
                <w:highlight w:val="none"/>
              </w:rPr>
            </w:pPr>
            <w:r>
              <w:rPr>
                <w:rFonts w:hint="eastAsia" w:ascii="宋体" w:hAnsi="宋体" w:cs="宋体"/>
                <w:color w:val="auto"/>
                <w:sz w:val="21"/>
                <w:szCs w:val="21"/>
                <w:highlight w:val="none"/>
              </w:rPr>
              <w:t>实施方案</w:t>
            </w:r>
          </w:p>
        </w:tc>
        <w:tc>
          <w:tcPr>
            <w:tcW w:w="395" w:type="pct"/>
            <w:shd w:val="clear" w:color="auto" w:fill="FFFFFF"/>
            <w:vAlign w:val="center"/>
          </w:tcPr>
          <w:p>
            <w:pPr>
              <w:snapToGrid w:val="0"/>
              <w:spacing w:line="288" w:lineRule="auto"/>
              <w:jc w:val="center"/>
              <w:rPr>
                <w:rFonts w:hint="default" w:ascii="宋体" w:hAnsi="宋体" w:cs="宋体"/>
                <w:color w:val="auto"/>
                <w:szCs w:val="21"/>
                <w:highlight w:val="none"/>
                <w:lang w:val="en-US"/>
              </w:rPr>
            </w:pPr>
            <w:r>
              <w:rPr>
                <w:rFonts w:hint="eastAsia" w:ascii="宋体" w:hAnsi="宋体" w:cs="宋体"/>
                <w:color w:val="auto"/>
                <w:szCs w:val="21"/>
                <w:highlight w:val="none"/>
                <w:lang w:val="en-US" w:eastAsia="zh-CN"/>
              </w:rPr>
              <w:t>15</w:t>
            </w:r>
          </w:p>
        </w:tc>
        <w:tc>
          <w:tcPr>
            <w:tcW w:w="3054" w:type="pct"/>
            <w:gridSpan w:val="2"/>
            <w:shd w:val="clear" w:color="auto" w:fill="FFFFFF"/>
            <w:vAlign w:val="center"/>
          </w:tcPr>
          <w:p>
            <w:pPr>
              <w:widowControl/>
              <w:spacing w:line="288" w:lineRule="auto"/>
              <w:jc w:val="left"/>
              <w:rPr>
                <w:rFonts w:ascii="宋体" w:hAnsi="宋体" w:cs="宋体"/>
                <w:color w:val="auto"/>
                <w:szCs w:val="21"/>
                <w:highlight w:val="none"/>
              </w:rPr>
            </w:pPr>
            <w:r>
              <w:rPr>
                <w:rFonts w:hint="eastAsia" w:ascii="宋体" w:hAnsi="宋体" w:cs="宋体"/>
                <w:color w:val="auto"/>
                <w:sz w:val="21"/>
                <w:szCs w:val="21"/>
                <w:highlight w:val="none"/>
              </w:rPr>
              <w:t>投标供应商针对本项目提供详细的实施方案，方案</w:t>
            </w:r>
            <w:r>
              <w:rPr>
                <w:rFonts w:hint="eastAsia" w:ascii="宋体" w:hAnsi="宋体" w:cs="宋体"/>
                <w:color w:val="auto"/>
                <w:sz w:val="21"/>
                <w:szCs w:val="21"/>
                <w:highlight w:val="none"/>
                <w:lang w:val="en-US" w:eastAsia="zh-CN"/>
              </w:rPr>
              <w:t>包含但不限于</w:t>
            </w:r>
            <w:r>
              <w:rPr>
                <w:rFonts w:hint="eastAsia" w:ascii="宋体" w:hAnsi="宋体" w:cs="宋体"/>
                <w:color w:val="auto"/>
                <w:sz w:val="21"/>
                <w:szCs w:val="21"/>
                <w:highlight w:val="none"/>
              </w:rPr>
              <w:t>总体方案、调查方法、工作流程、时间及人员安排计划、项目实施进度表等内容，磋商小组根据投标供应商提供的实施方案进行综合评审：方案内容完整、符合实际要求且科学合理、实用性强的计</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分；缺漏项或内容不够完整或欠合理的或不实用的每处扣</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分，扣完为止。未提供方案的不计分。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371" w:type="pct"/>
            <w:vMerge w:val="continue"/>
            <w:shd w:val="clear" w:color="auto" w:fill="auto"/>
            <w:vAlign w:val="center"/>
          </w:tcPr>
          <w:p>
            <w:pPr>
              <w:widowControl/>
              <w:spacing w:line="288" w:lineRule="auto"/>
              <w:jc w:val="left"/>
              <w:rPr>
                <w:rFonts w:ascii="宋体" w:hAnsi="宋体" w:cs="宋体"/>
                <w:color w:val="auto"/>
                <w:szCs w:val="21"/>
                <w:highlight w:val="none"/>
              </w:rPr>
            </w:pPr>
          </w:p>
        </w:tc>
        <w:tc>
          <w:tcPr>
            <w:tcW w:w="552" w:type="pct"/>
            <w:vMerge w:val="continue"/>
            <w:shd w:val="clear" w:color="auto" w:fill="auto"/>
            <w:vAlign w:val="center"/>
          </w:tcPr>
          <w:p>
            <w:pPr>
              <w:adjustRightInd w:val="0"/>
              <w:snapToGrid w:val="0"/>
              <w:spacing w:line="288" w:lineRule="auto"/>
              <w:rPr>
                <w:rFonts w:ascii="宋体" w:hAnsi="宋体" w:cs="宋体"/>
                <w:color w:val="auto"/>
                <w:szCs w:val="21"/>
                <w:highlight w:val="none"/>
                <w:lang w:bidi="ar"/>
              </w:rPr>
            </w:pPr>
          </w:p>
        </w:tc>
        <w:tc>
          <w:tcPr>
            <w:tcW w:w="626" w:type="pct"/>
            <w:shd w:val="clear" w:color="auto" w:fill="FFFFFF"/>
            <w:vAlign w:val="center"/>
          </w:tcPr>
          <w:p>
            <w:pPr>
              <w:widowControl/>
              <w:spacing w:line="288" w:lineRule="auto"/>
              <w:jc w:val="center"/>
              <w:rPr>
                <w:rFonts w:ascii="宋体" w:hAnsi="宋体" w:cs="宋体"/>
                <w:color w:val="auto"/>
                <w:szCs w:val="21"/>
                <w:highlight w:val="none"/>
              </w:rPr>
            </w:pPr>
            <w:r>
              <w:rPr>
                <w:rFonts w:hint="eastAsia" w:ascii="宋体" w:hAnsi="宋体" w:cs="宋体"/>
                <w:color w:val="auto"/>
                <w:sz w:val="21"/>
                <w:szCs w:val="21"/>
                <w:highlight w:val="none"/>
              </w:rPr>
              <w:t>技术路线方案</w:t>
            </w:r>
          </w:p>
        </w:tc>
        <w:tc>
          <w:tcPr>
            <w:tcW w:w="395" w:type="pct"/>
            <w:shd w:val="clear" w:color="auto" w:fill="FFFFFF"/>
            <w:vAlign w:val="center"/>
          </w:tcPr>
          <w:p>
            <w:pPr>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p>
        </w:tc>
        <w:tc>
          <w:tcPr>
            <w:tcW w:w="3054" w:type="pct"/>
            <w:gridSpan w:val="2"/>
            <w:shd w:val="clear" w:color="auto" w:fill="FFFFFF"/>
            <w:vAlign w:val="center"/>
          </w:tcPr>
          <w:p>
            <w:pPr>
              <w:spacing w:line="288"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投标供应商针对本项目制定技术路线方案，磋商小组根据投标供应商提供的技术路线方案进行综合评审：技术路线方案设计、具体步骤及解决关键性问题的研究途径详尽，</w:t>
            </w:r>
            <w:r>
              <w:rPr>
                <w:rFonts w:hint="eastAsia" w:ascii="宋体" w:hAnsi="宋体" w:cs="宋体"/>
                <w:color w:val="auto"/>
                <w:szCs w:val="21"/>
                <w:highlight w:val="none"/>
              </w:rPr>
              <w:t>对项目所选择技术路线符合现状和发展需要，能满足项目特有条件，技术路线整体清晰、全面、符合项目实际，技术方法清晰可行</w:t>
            </w:r>
            <w:r>
              <w:rPr>
                <w:rFonts w:hint="eastAsia" w:ascii="宋体" w:hAnsi="宋体" w:cs="宋体"/>
                <w:color w:val="auto"/>
                <w:szCs w:val="21"/>
                <w:highlight w:val="none"/>
                <w:lang w:eastAsia="zh-CN"/>
              </w:rPr>
              <w:t>，</w:t>
            </w:r>
            <w:r>
              <w:rPr>
                <w:rFonts w:hint="eastAsia" w:ascii="宋体" w:hAnsi="宋体" w:cs="宋体"/>
                <w:color w:val="auto"/>
                <w:sz w:val="21"/>
                <w:szCs w:val="21"/>
                <w:highlight w:val="none"/>
              </w:rPr>
              <w:t>每一步骤的关键点阐述清晰并具有可操作性的计</w:t>
            </w:r>
            <w:r>
              <w:rPr>
                <w:rFonts w:hint="eastAsia" w:ascii="宋体" w:hAnsi="宋体" w:cs="宋体"/>
                <w:color w:val="auto"/>
                <w:sz w:val="21"/>
                <w:szCs w:val="21"/>
                <w:highlight w:val="none"/>
                <w:lang w:eastAsia="zh-CN"/>
              </w:rPr>
              <w:t>1</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分；缺漏项或内容不够完整或欠合理的或不实用的每处扣</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分，扣完为止。未提供方案的不计分。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371" w:type="pct"/>
            <w:vMerge w:val="continue"/>
            <w:shd w:val="clear" w:color="auto" w:fill="auto"/>
            <w:vAlign w:val="center"/>
          </w:tcPr>
          <w:p>
            <w:pPr>
              <w:widowControl/>
              <w:spacing w:line="288" w:lineRule="auto"/>
              <w:jc w:val="left"/>
              <w:rPr>
                <w:rFonts w:ascii="宋体" w:hAnsi="宋体" w:cs="宋体"/>
                <w:color w:val="auto"/>
                <w:szCs w:val="21"/>
                <w:highlight w:val="none"/>
              </w:rPr>
            </w:pPr>
          </w:p>
        </w:tc>
        <w:tc>
          <w:tcPr>
            <w:tcW w:w="552" w:type="pct"/>
            <w:vMerge w:val="continue"/>
            <w:shd w:val="clear" w:color="auto" w:fill="auto"/>
            <w:vAlign w:val="center"/>
          </w:tcPr>
          <w:p>
            <w:pPr>
              <w:adjustRightInd w:val="0"/>
              <w:snapToGrid w:val="0"/>
              <w:spacing w:line="288" w:lineRule="auto"/>
              <w:rPr>
                <w:rFonts w:ascii="宋体" w:hAnsi="宋体" w:cs="宋体"/>
                <w:color w:val="auto"/>
                <w:szCs w:val="21"/>
                <w:highlight w:val="none"/>
                <w:lang w:bidi="ar"/>
              </w:rPr>
            </w:pPr>
          </w:p>
        </w:tc>
        <w:tc>
          <w:tcPr>
            <w:tcW w:w="626" w:type="pct"/>
            <w:shd w:val="clear" w:color="auto" w:fill="FFFFFF"/>
            <w:vAlign w:val="center"/>
          </w:tcPr>
          <w:p>
            <w:pPr>
              <w:widowControl/>
              <w:spacing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质量保障方案</w:t>
            </w:r>
          </w:p>
        </w:tc>
        <w:tc>
          <w:tcPr>
            <w:tcW w:w="395" w:type="pct"/>
            <w:shd w:val="clear" w:color="auto" w:fill="FFFFFF"/>
            <w:vAlign w:val="center"/>
          </w:tcPr>
          <w:p>
            <w:pPr>
              <w:snapToGrid w:val="0"/>
              <w:spacing w:line="288" w:lineRule="auto"/>
              <w:jc w:val="center"/>
              <w:rPr>
                <w:rFonts w:hint="eastAsia" w:ascii="宋体" w:hAnsi="宋体" w:cs="宋体"/>
                <w:color w:val="auto"/>
                <w:szCs w:val="21"/>
                <w:highlight w:val="none"/>
                <w:lang w:val="en-US" w:eastAsia="zh-CN"/>
              </w:rPr>
            </w:pPr>
            <w:r>
              <w:rPr>
                <w:rFonts w:hint="eastAsia" w:ascii="宋体" w:hAnsi="宋体" w:cs="宋体"/>
                <w:color w:val="auto"/>
                <w:sz w:val="21"/>
                <w:szCs w:val="21"/>
                <w:highlight w:val="none"/>
                <w:lang w:val="en-US" w:eastAsia="zh-CN"/>
              </w:rPr>
              <w:t>10</w:t>
            </w:r>
          </w:p>
        </w:tc>
        <w:tc>
          <w:tcPr>
            <w:tcW w:w="3054" w:type="pct"/>
            <w:gridSpan w:val="2"/>
            <w:shd w:val="clear" w:color="auto" w:fill="FFFFFF"/>
            <w:vAlign w:val="center"/>
          </w:tcPr>
          <w:p>
            <w:pPr>
              <w:spacing w:line="288"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投标供应商针对本项目制定质量保障方案</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含执行标准、规范、质检措施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质量保障措施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质量保障措施</w:t>
            </w:r>
            <w:r>
              <w:rPr>
                <w:rFonts w:hint="eastAsia" w:ascii="宋体" w:hAnsi="宋体" w:cs="宋体"/>
                <w:color w:val="auto"/>
                <w:szCs w:val="21"/>
                <w:highlight w:val="none"/>
              </w:rPr>
              <w:t>包含设备保障、质量控制、数据保密措施等方面</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以上</w:t>
            </w:r>
            <w:r>
              <w:rPr>
                <w:rFonts w:hint="eastAsia" w:ascii="宋体" w:hAnsi="宋体" w:cs="宋体"/>
                <w:color w:val="auto"/>
                <w:sz w:val="21"/>
                <w:szCs w:val="21"/>
                <w:highlight w:val="none"/>
              </w:rPr>
              <w:t>方案内容详细、标准严格、程序规范、质检措施详细、符合实际要求且科学合理、实用性强的计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分，缺漏项或内容不够完整或欠合理的或不实用的每处扣</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分，扣完为止。未提供质量保障方案的不计分。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71" w:type="pct"/>
            <w:vMerge w:val="restart"/>
            <w:shd w:val="clear" w:color="auto" w:fill="auto"/>
            <w:vAlign w:val="center"/>
          </w:tcPr>
          <w:p>
            <w:pPr>
              <w:widowControl/>
              <w:spacing w:line="288" w:lineRule="auto"/>
              <w:jc w:val="center"/>
              <w:rPr>
                <w:rFonts w:ascii="宋体" w:hAnsi="宋体" w:cs="宋体"/>
                <w:color w:val="auto"/>
                <w:szCs w:val="21"/>
                <w:highlight w:val="none"/>
              </w:rPr>
            </w:pPr>
            <w:r>
              <w:rPr>
                <w:rFonts w:ascii="宋体" w:hAnsi="宋体" w:cs="宋体"/>
                <w:color w:val="auto"/>
                <w:szCs w:val="21"/>
                <w:highlight w:val="none"/>
              </w:rPr>
              <w:t>3</w:t>
            </w:r>
          </w:p>
        </w:tc>
        <w:tc>
          <w:tcPr>
            <w:tcW w:w="552" w:type="pct"/>
            <w:vMerge w:val="restart"/>
            <w:shd w:val="clear" w:color="auto" w:fill="auto"/>
            <w:vAlign w:val="center"/>
          </w:tcPr>
          <w:p>
            <w:pPr>
              <w:spacing w:line="288" w:lineRule="auto"/>
              <w:jc w:val="left"/>
              <w:rPr>
                <w:rFonts w:ascii="宋体" w:hAnsi="宋体" w:cs="宋体"/>
                <w:color w:val="auto"/>
                <w:szCs w:val="21"/>
                <w:highlight w:val="none"/>
              </w:rPr>
            </w:pPr>
            <w:r>
              <w:rPr>
                <w:rFonts w:hint="eastAsia" w:ascii="宋体" w:hAnsi="宋体" w:cs="宋体"/>
                <w:color w:val="auto"/>
                <w:szCs w:val="21"/>
                <w:highlight w:val="none"/>
              </w:rPr>
              <w:t>商务</w:t>
            </w:r>
            <w:r>
              <w:rPr>
                <w:rFonts w:hint="eastAsia" w:ascii="宋体" w:hAnsi="宋体" w:cs="宋体"/>
                <w:color w:val="auto"/>
                <w:szCs w:val="21"/>
                <w:highlight w:val="none"/>
                <w:lang w:val="en-US" w:eastAsia="zh-CN"/>
              </w:rPr>
              <w:t>部分</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25</w:t>
            </w:r>
            <w:r>
              <w:rPr>
                <w:rFonts w:ascii="宋体" w:hAnsi="宋体" w:cs="宋体"/>
                <w:color w:val="auto"/>
                <w:szCs w:val="21"/>
                <w:highlight w:val="none"/>
              </w:rPr>
              <w:t>分）</w:t>
            </w:r>
          </w:p>
        </w:tc>
        <w:tc>
          <w:tcPr>
            <w:tcW w:w="626" w:type="pct"/>
            <w:shd w:val="clear" w:color="auto" w:fill="FFFFFF"/>
            <w:vAlign w:val="center"/>
          </w:tcPr>
          <w:p>
            <w:pPr>
              <w:spacing w:line="288" w:lineRule="auto"/>
              <w:jc w:val="center"/>
              <w:rPr>
                <w:rFonts w:ascii="宋体" w:hAnsi="宋体" w:cs="宋体"/>
                <w:color w:val="auto"/>
                <w:highlight w:val="none"/>
              </w:rPr>
            </w:pPr>
            <w:r>
              <w:rPr>
                <w:rFonts w:hint="eastAsia" w:ascii="宋体" w:hAnsi="宋体" w:cs="宋体"/>
                <w:color w:val="auto"/>
                <w:highlight w:val="none"/>
                <w:lang w:val="en-US" w:eastAsia="zh-CN"/>
              </w:rPr>
              <w:t>类似业绩</w:t>
            </w:r>
          </w:p>
        </w:tc>
        <w:tc>
          <w:tcPr>
            <w:tcW w:w="395" w:type="pct"/>
            <w:shd w:val="clear" w:color="auto" w:fill="FFFFFF"/>
            <w:vAlign w:val="center"/>
          </w:tcPr>
          <w:p>
            <w:pPr>
              <w:widowControl/>
              <w:spacing w:line="288" w:lineRule="auto"/>
              <w:jc w:val="center"/>
              <w:rPr>
                <w:rFonts w:hint="default" w:ascii="宋体" w:hAnsi="宋体" w:cs="宋体"/>
                <w:color w:val="auto"/>
                <w:highlight w:val="none"/>
                <w:lang w:val="en-US"/>
              </w:rPr>
            </w:pPr>
            <w:r>
              <w:rPr>
                <w:rFonts w:hint="eastAsia" w:ascii="宋体" w:hAnsi="宋体" w:cs="宋体"/>
                <w:color w:val="auto"/>
                <w:highlight w:val="none"/>
                <w:lang w:val="en-US" w:eastAsia="zh-CN"/>
              </w:rPr>
              <w:t>15</w:t>
            </w:r>
          </w:p>
        </w:tc>
        <w:tc>
          <w:tcPr>
            <w:tcW w:w="3054" w:type="pct"/>
            <w:gridSpan w:val="2"/>
            <w:shd w:val="clear" w:color="auto" w:fill="FFFFFF"/>
            <w:vAlign w:val="center"/>
          </w:tcPr>
          <w:p>
            <w:pPr>
              <w:spacing w:line="360" w:lineRule="exact"/>
              <w:rPr>
                <w:rFonts w:hint="eastAsia" w:ascii="宋体" w:hAnsi="宋体" w:cs="宋体"/>
                <w:color w:val="auto"/>
                <w:sz w:val="21"/>
                <w:szCs w:val="21"/>
                <w:highlight w:val="none"/>
                <w:lang w:val="ru-RU"/>
              </w:rPr>
            </w:pPr>
            <w:r>
              <w:rPr>
                <w:rFonts w:hint="eastAsia" w:ascii="宋体" w:hAnsi="宋体" w:cs="宋体"/>
                <w:color w:val="auto"/>
                <w:sz w:val="21"/>
                <w:szCs w:val="21"/>
                <w:highlight w:val="none"/>
                <w:lang w:val="ru-RU"/>
              </w:rPr>
              <w:t>供应商自2020年1月1日以来具有类似包含农林用地或河流水域的公园规划类或公园设计类业绩的，每提供1个计 3分，计满15分为止。</w:t>
            </w:r>
          </w:p>
          <w:p>
            <w:pPr>
              <w:adjustRightInd/>
              <w:spacing w:line="240" w:lineRule="auto"/>
              <w:jc w:val="left"/>
              <w:rPr>
                <w:rFonts w:ascii="宋体" w:hAnsi="宋体" w:cs="宋体"/>
                <w:color w:val="auto"/>
                <w:szCs w:val="22"/>
                <w:highlight w:val="none"/>
              </w:rPr>
            </w:pPr>
            <w:r>
              <w:rPr>
                <w:rFonts w:hint="eastAsia" w:ascii="宋体" w:hAnsi="宋体" w:cs="宋体"/>
                <w:color w:val="auto"/>
                <w:sz w:val="21"/>
                <w:szCs w:val="21"/>
                <w:highlight w:val="none"/>
                <w:lang w:val="ru-RU"/>
              </w:rPr>
              <w:t>（提供合同复印件并加盖投标人公章，</w:t>
            </w:r>
            <w:r>
              <w:rPr>
                <w:rFonts w:hint="eastAsia" w:ascii="宋体" w:hAnsi="宋体" w:cs="宋体"/>
                <w:color w:val="auto"/>
                <w:sz w:val="21"/>
                <w:szCs w:val="21"/>
                <w:highlight w:val="none"/>
                <w:lang w:val="en-US" w:eastAsia="zh-CN"/>
              </w:rPr>
              <w:t>时间以</w:t>
            </w:r>
            <w:r>
              <w:rPr>
                <w:rFonts w:hint="eastAsia" w:ascii="宋体" w:hAnsi="宋体" w:cs="宋体"/>
                <w:color w:val="auto"/>
                <w:highlight w:val="none"/>
              </w:rPr>
              <w:t>合同中甲方签订时间</w:t>
            </w:r>
            <w:r>
              <w:rPr>
                <w:rFonts w:hint="eastAsia" w:ascii="宋体" w:hAnsi="宋体" w:cs="宋体"/>
                <w:color w:val="auto"/>
                <w:highlight w:val="none"/>
                <w:lang w:val="en-US" w:eastAsia="zh-CN"/>
              </w:rPr>
              <w:t>为准，</w:t>
            </w:r>
            <w:r>
              <w:rPr>
                <w:rFonts w:hint="eastAsia" w:ascii="宋体" w:hAnsi="宋体" w:cs="宋体"/>
                <w:color w:val="auto"/>
                <w:sz w:val="21"/>
                <w:szCs w:val="21"/>
                <w:highlight w:val="none"/>
                <w:lang w:val="ru-RU"/>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371" w:type="pct"/>
            <w:vMerge w:val="continue"/>
            <w:shd w:val="clear" w:color="auto" w:fill="auto"/>
            <w:vAlign w:val="center"/>
          </w:tcPr>
          <w:p>
            <w:pPr>
              <w:widowControl/>
              <w:spacing w:line="288" w:lineRule="auto"/>
              <w:jc w:val="left"/>
              <w:rPr>
                <w:rFonts w:ascii="宋体" w:hAnsi="宋体" w:cs="宋体"/>
                <w:color w:val="auto"/>
                <w:szCs w:val="21"/>
                <w:highlight w:val="none"/>
              </w:rPr>
            </w:pPr>
          </w:p>
        </w:tc>
        <w:tc>
          <w:tcPr>
            <w:tcW w:w="552" w:type="pct"/>
            <w:vMerge w:val="continue"/>
            <w:shd w:val="clear" w:color="auto" w:fill="auto"/>
            <w:vAlign w:val="center"/>
          </w:tcPr>
          <w:p>
            <w:pPr>
              <w:adjustRightInd w:val="0"/>
              <w:snapToGrid w:val="0"/>
              <w:spacing w:line="288" w:lineRule="auto"/>
              <w:rPr>
                <w:rFonts w:ascii="宋体" w:hAnsi="宋体" w:cs="宋体"/>
                <w:color w:val="auto"/>
                <w:szCs w:val="21"/>
                <w:highlight w:val="none"/>
              </w:rPr>
            </w:pPr>
          </w:p>
        </w:tc>
        <w:tc>
          <w:tcPr>
            <w:tcW w:w="626" w:type="pct"/>
            <w:shd w:val="clear" w:color="auto" w:fill="auto"/>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团队</w:t>
            </w:r>
          </w:p>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能力</w:t>
            </w:r>
          </w:p>
          <w:p>
            <w:pPr>
              <w:spacing w:line="288" w:lineRule="auto"/>
              <w:jc w:val="center"/>
              <w:rPr>
                <w:rFonts w:ascii="宋体" w:hAnsi="宋体"/>
                <w:bCs/>
                <w:color w:val="auto"/>
                <w:szCs w:val="21"/>
                <w:highlight w:val="none"/>
              </w:rPr>
            </w:pPr>
          </w:p>
        </w:tc>
        <w:tc>
          <w:tcPr>
            <w:tcW w:w="395" w:type="pct"/>
            <w:shd w:val="clear" w:color="auto" w:fill="FFFFFF"/>
            <w:vAlign w:val="center"/>
          </w:tcPr>
          <w:p>
            <w:pPr>
              <w:widowControl/>
              <w:jc w:val="center"/>
              <w:rPr>
                <w:rFonts w:ascii="宋体" w:hAnsi="宋体" w:cs="宋体"/>
                <w:color w:val="auto"/>
                <w:highlight w:val="none"/>
              </w:rPr>
            </w:pPr>
            <w:r>
              <w:rPr>
                <w:rFonts w:hint="eastAsia" w:ascii="宋体" w:hAnsi="宋体" w:cs="宋体"/>
                <w:color w:val="auto"/>
                <w:sz w:val="21"/>
                <w:szCs w:val="21"/>
                <w:highlight w:val="none"/>
                <w:lang w:val="en-US" w:eastAsia="zh-CN"/>
              </w:rPr>
              <w:t>6</w:t>
            </w:r>
          </w:p>
        </w:tc>
        <w:tc>
          <w:tcPr>
            <w:tcW w:w="3054" w:type="pct"/>
            <w:gridSpan w:val="2"/>
            <w:shd w:val="clear" w:color="auto" w:fill="FFFFFF"/>
            <w:vAlign w:val="center"/>
          </w:tcPr>
          <w:p>
            <w:pPr>
              <w:widowControl/>
              <w:spacing w:line="360" w:lineRule="exact"/>
              <w:jc w:val="both"/>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1、拟任项目负责人</w:t>
            </w:r>
            <w:r>
              <w:rPr>
                <w:rFonts w:hint="eastAsia" w:ascii="宋体" w:hAnsi="宋体" w:cs="宋体"/>
                <w:color w:val="auto"/>
                <w:sz w:val="21"/>
                <w:szCs w:val="21"/>
                <w:highlight w:val="none"/>
                <w:lang w:val="en-US" w:eastAsia="zh-CN"/>
              </w:rPr>
              <w:t>(限1人)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具有注册规划师证书的，计 1分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具备城乡规划专业高级的计1分，具备城乡规划专业正高级及以上技术职称的计 2分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此项满分为 3分。</w:t>
            </w:r>
          </w:p>
          <w:p>
            <w:pPr>
              <w:widowControl/>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2、除项目负责人外，项目团队每增加一名城乡规划或园林景观设计或工程造价专业高级及以上技术职称人员的计 1分，计满3分为止。</w:t>
            </w:r>
          </w:p>
          <w:p>
            <w:pPr>
              <w:widowControl/>
              <w:spacing w:line="360" w:lineRule="exact"/>
              <w:jc w:val="both"/>
              <w:rPr>
                <w:rFonts w:ascii="宋体" w:hAnsi="宋体" w:cs="宋体"/>
                <w:color w:val="auto"/>
                <w:highlight w:val="none"/>
              </w:rPr>
            </w:pPr>
            <w:r>
              <w:rPr>
                <w:rFonts w:hint="eastAsia" w:hAnsi="宋体" w:cs="宋体"/>
                <w:color w:val="auto"/>
                <w:sz w:val="21"/>
                <w:szCs w:val="24"/>
                <w:highlight w:val="none"/>
                <w:lang w:val="en-US" w:eastAsia="zh-CN"/>
              </w:rPr>
              <w:t>（提供相关证书扫描件加盖投标人公章，否则不予计分。）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371" w:type="pct"/>
            <w:vMerge w:val="continue"/>
            <w:shd w:val="clear" w:color="auto" w:fill="auto"/>
            <w:vAlign w:val="center"/>
          </w:tcPr>
          <w:p>
            <w:pPr>
              <w:widowControl/>
              <w:spacing w:line="288" w:lineRule="auto"/>
              <w:jc w:val="left"/>
              <w:rPr>
                <w:rFonts w:ascii="宋体" w:hAnsi="宋体" w:cs="宋体"/>
                <w:color w:val="auto"/>
                <w:szCs w:val="21"/>
                <w:highlight w:val="none"/>
              </w:rPr>
            </w:pPr>
          </w:p>
        </w:tc>
        <w:tc>
          <w:tcPr>
            <w:tcW w:w="552" w:type="pct"/>
            <w:vMerge w:val="continue"/>
            <w:shd w:val="clear" w:color="auto" w:fill="auto"/>
            <w:vAlign w:val="center"/>
          </w:tcPr>
          <w:p>
            <w:pPr>
              <w:widowControl/>
              <w:spacing w:line="288" w:lineRule="auto"/>
              <w:jc w:val="left"/>
              <w:rPr>
                <w:rFonts w:ascii="宋体" w:hAnsi="宋体" w:cs="宋体"/>
                <w:color w:val="auto"/>
                <w:szCs w:val="21"/>
                <w:highlight w:val="none"/>
              </w:rPr>
            </w:pPr>
          </w:p>
        </w:tc>
        <w:tc>
          <w:tcPr>
            <w:tcW w:w="626" w:type="pct"/>
            <w:shd w:val="clear" w:color="auto" w:fill="auto"/>
            <w:vAlign w:val="center"/>
          </w:tcPr>
          <w:p>
            <w:pPr>
              <w:snapToGrid w:val="0"/>
              <w:spacing w:line="288" w:lineRule="auto"/>
              <w:jc w:val="center"/>
              <w:rPr>
                <w:rFonts w:ascii="宋体" w:hAnsi="宋体" w:cs="宋体"/>
                <w:color w:val="auto"/>
                <w:szCs w:val="21"/>
                <w:highlight w:val="none"/>
              </w:rPr>
            </w:pPr>
            <w:r>
              <w:rPr>
                <w:rFonts w:hint="eastAsia"/>
                <w:color w:val="auto"/>
                <w:highlight w:val="none"/>
                <w:lang w:val="en-US" w:eastAsia="zh-CN"/>
              </w:rPr>
              <w:t>综合实力</w:t>
            </w:r>
          </w:p>
        </w:tc>
        <w:tc>
          <w:tcPr>
            <w:tcW w:w="395" w:type="pct"/>
            <w:shd w:val="clear" w:color="auto" w:fill="FFFFFF"/>
            <w:vAlign w:val="center"/>
          </w:tcPr>
          <w:p>
            <w:pPr>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4</w:t>
            </w:r>
          </w:p>
        </w:tc>
        <w:tc>
          <w:tcPr>
            <w:tcW w:w="3054" w:type="pct"/>
            <w:gridSpan w:val="2"/>
            <w:shd w:val="clear" w:color="auto" w:fill="FFFFFF"/>
            <w:vAlign w:val="center"/>
          </w:tcPr>
          <w:p>
            <w:pPr>
              <w:pStyle w:val="50"/>
              <w:widowControl/>
              <w:numPr>
                <w:ilvl w:val="0"/>
                <w:numId w:val="0"/>
              </w:numPr>
              <w:snapToGrid/>
              <w:spacing w:line="400" w:lineRule="exact"/>
              <w:jc w:val="left"/>
              <w:rPr>
                <w:rFonts w:ascii="宋体" w:hAnsi="宋体" w:cs="宋体"/>
                <w:color w:val="auto"/>
                <w:szCs w:val="21"/>
                <w:highlight w:val="none"/>
              </w:rPr>
            </w:pPr>
            <w:r>
              <w:rPr>
                <w:rFonts w:hint="eastAsia" w:ascii="宋体" w:hAnsi="宋体" w:eastAsia="宋体" w:cs="宋体"/>
                <w:color w:val="auto"/>
                <w:sz w:val="21"/>
                <w:szCs w:val="24"/>
                <w:highlight w:val="none"/>
              </w:rPr>
              <w:t>供应商自2020年1月1日以来</w:t>
            </w: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lang w:val="en-US" w:eastAsia="zh-CN"/>
              </w:rPr>
              <w:t>获得省部级（含）以上行政部门或相关协会、学会颁发的公园</w:t>
            </w:r>
            <w:r>
              <w:rPr>
                <w:rFonts w:hint="eastAsia" w:hAnsi="宋体" w:cs="宋体"/>
                <w:color w:val="auto"/>
                <w:sz w:val="21"/>
                <w:szCs w:val="24"/>
                <w:highlight w:val="none"/>
                <w:lang w:val="en-US" w:eastAsia="zh-CN"/>
              </w:rPr>
              <w:t>（</w:t>
            </w:r>
            <w:r>
              <w:rPr>
                <w:rFonts w:hint="eastAsia" w:ascii="宋体" w:hAnsi="宋体" w:eastAsia="宋体" w:cs="宋体"/>
                <w:color w:val="auto"/>
                <w:sz w:val="21"/>
                <w:szCs w:val="24"/>
                <w:highlight w:val="none"/>
                <w:lang w:val="en-US" w:eastAsia="zh-CN"/>
              </w:rPr>
              <w:t>或流域治理</w:t>
            </w:r>
            <w:r>
              <w:rPr>
                <w:rFonts w:hint="eastAsia" w:hAnsi="宋体" w:cs="宋体"/>
                <w:color w:val="auto"/>
                <w:sz w:val="21"/>
                <w:szCs w:val="24"/>
                <w:highlight w:val="none"/>
                <w:lang w:val="en-US" w:eastAsia="zh-CN"/>
              </w:rPr>
              <w:t>）</w:t>
            </w:r>
            <w:r>
              <w:rPr>
                <w:rFonts w:hint="eastAsia" w:ascii="宋体" w:hAnsi="宋体" w:eastAsia="宋体" w:cs="宋体"/>
                <w:color w:val="auto"/>
                <w:sz w:val="21"/>
                <w:szCs w:val="24"/>
                <w:highlight w:val="none"/>
                <w:lang w:val="en-US" w:eastAsia="zh-CN"/>
              </w:rPr>
              <w:t>规划类、勘察设计类荣誉奖项的，每个计 1分，本项最高计 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63" w:hRule="atLeast"/>
          <w:jc w:val="center"/>
        </w:trPr>
        <w:tc>
          <w:tcPr>
            <w:tcW w:w="1550" w:type="pct"/>
            <w:gridSpan w:val="3"/>
            <w:shd w:val="clear" w:color="auto" w:fill="auto"/>
            <w:vAlign w:val="center"/>
          </w:tcPr>
          <w:p>
            <w:pPr>
              <w:snapToGrid w:val="0"/>
              <w:spacing w:line="288" w:lineRule="auto"/>
              <w:jc w:val="center"/>
              <w:rPr>
                <w:rFonts w:ascii="宋体" w:hAnsi="宋体" w:cs="宋体"/>
                <w:color w:val="auto"/>
                <w:szCs w:val="21"/>
                <w:highlight w:val="none"/>
              </w:rPr>
            </w:pPr>
            <w:r>
              <w:rPr>
                <w:rFonts w:hint="eastAsia" w:ascii="宋体" w:hAnsi="宋体" w:cs="宋体"/>
                <w:color w:val="auto"/>
                <w:szCs w:val="21"/>
                <w:highlight w:val="none"/>
              </w:rPr>
              <w:t>合计</w:t>
            </w:r>
          </w:p>
        </w:tc>
        <w:tc>
          <w:tcPr>
            <w:tcW w:w="395" w:type="pct"/>
            <w:shd w:val="clear" w:color="auto" w:fill="FFFFFF"/>
            <w:vAlign w:val="center"/>
          </w:tcPr>
          <w:p>
            <w:pPr>
              <w:snapToGrid w:val="0"/>
              <w:spacing w:line="288" w:lineRule="auto"/>
              <w:jc w:val="center"/>
              <w:rPr>
                <w:rFonts w:ascii="宋体" w:hAnsi="宋体" w:cs="宋体"/>
                <w:color w:val="auto"/>
                <w:szCs w:val="21"/>
                <w:highlight w:val="none"/>
              </w:rPr>
            </w:pPr>
            <w:r>
              <w:rPr>
                <w:rFonts w:ascii="宋体" w:hAnsi="宋体" w:cs="宋体"/>
                <w:color w:val="auto"/>
                <w:szCs w:val="21"/>
                <w:highlight w:val="none"/>
              </w:rPr>
              <w:t>100</w:t>
            </w:r>
          </w:p>
        </w:tc>
        <w:tc>
          <w:tcPr>
            <w:tcW w:w="3046" w:type="pct"/>
            <w:shd w:val="clear" w:color="auto" w:fill="FFFFFF"/>
            <w:vAlign w:val="center"/>
          </w:tcPr>
          <w:p>
            <w:pPr>
              <w:snapToGrid w:val="0"/>
              <w:spacing w:line="288" w:lineRule="auto"/>
              <w:rPr>
                <w:rFonts w:ascii="宋体" w:hAnsi="宋体" w:cs="宋体"/>
                <w:color w:val="auto"/>
                <w:szCs w:val="21"/>
                <w:highlight w:val="none"/>
              </w:rPr>
            </w:pPr>
          </w:p>
        </w:tc>
      </w:tr>
    </w:tbl>
    <w:p>
      <w:pPr>
        <w:spacing w:line="520" w:lineRule="exact"/>
        <w:jc w:val="center"/>
        <w:rPr>
          <w:rFonts w:ascii="宋体" w:hAnsi="宋体"/>
          <w:b/>
          <w:color w:val="auto"/>
          <w:sz w:val="28"/>
          <w:szCs w:val="28"/>
          <w:highlight w:val="none"/>
        </w:rPr>
      </w:pPr>
    </w:p>
    <w:p>
      <w:pPr>
        <w:adjustRightInd w:val="0"/>
        <w:snapToGrid w:val="0"/>
        <w:spacing w:line="520" w:lineRule="exact"/>
        <w:jc w:val="center"/>
        <w:outlineLvl w:val="1"/>
        <w:rPr>
          <w:rFonts w:ascii="宋体" w:hAnsi="宋体"/>
          <w:color w:val="auto"/>
          <w:sz w:val="28"/>
          <w:szCs w:val="28"/>
          <w:highlight w:val="none"/>
        </w:rPr>
      </w:pPr>
      <w:r>
        <w:rPr>
          <w:rFonts w:ascii="宋体" w:hAnsi="宋体"/>
          <w:b/>
          <w:color w:val="auto"/>
          <w:szCs w:val="21"/>
          <w:highlight w:val="none"/>
        </w:rPr>
        <w:br w:type="page"/>
      </w:r>
      <w:r>
        <w:rPr>
          <w:rFonts w:hint="eastAsia" w:ascii="宋体" w:hAnsi="宋体"/>
          <w:b/>
          <w:bCs/>
          <w:color w:val="auto"/>
          <w:sz w:val="24"/>
          <w:highlight w:val="none"/>
        </w:rPr>
        <w:t>磋商须知正文</w:t>
      </w:r>
    </w:p>
    <w:p>
      <w:pPr>
        <w:adjustRightInd w:val="0"/>
        <w:snapToGrid w:val="0"/>
        <w:spacing w:line="520" w:lineRule="exact"/>
        <w:rPr>
          <w:rFonts w:ascii="宋体" w:hAnsi="宋体"/>
          <w:color w:val="auto"/>
          <w:sz w:val="24"/>
          <w:highlight w:val="none"/>
        </w:rPr>
      </w:pPr>
      <w:r>
        <w:rPr>
          <w:rFonts w:hint="eastAsia" w:ascii="宋体" w:hAnsi="宋体"/>
          <w:color w:val="auto"/>
          <w:sz w:val="24"/>
          <w:highlight w:val="none"/>
        </w:rPr>
        <w:t>一、说明</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适用范围</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1.1 </w:t>
      </w:r>
      <w:r>
        <w:rPr>
          <w:rFonts w:hint="eastAsia" w:ascii="宋体" w:hAnsi="宋体"/>
          <w:color w:val="auto"/>
          <w:szCs w:val="21"/>
          <w:highlight w:val="none"/>
        </w:rPr>
        <w:t>本磋商文件仅适用于磋商须知前附表</w:t>
      </w:r>
      <w:r>
        <w:rPr>
          <w:rFonts w:ascii="宋体" w:hAnsi="宋体"/>
          <w:color w:val="auto"/>
          <w:szCs w:val="21"/>
          <w:highlight w:val="none"/>
        </w:rPr>
        <w:t>(</w:t>
      </w:r>
      <w:r>
        <w:rPr>
          <w:rFonts w:hint="eastAsia" w:ascii="宋体" w:hAnsi="宋体"/>
          <w:color w:val="auto"/>
          <w:szCs w:val="21"/>
          <w:highlight w:val="none"/>
        </w:rPr>
        <w:t>以下简称</w:t>
      </w:r>
      <w:r>
        <w:rPr>
          <w:rFonts w:hint="eastAsia" w:ascii="宋体" w:hAnsi="宋体"/>
          <w:b/>
          <w:color w:val="auto"/>
          <w:szCs w:val="21"/>
          <w:highlight w:val="none"/>
        </w:rPr>
        <w:t>磋商须知前附表</w:t>
      </w:r>
      <w:r>
        <w:rPr>
          <w:rFonts w:ascii="宋体" w:hAnsi="宋体"/>
          <w:b/>
          <w:color w:val="auto"/>
          <w:szCs w:val="21"/>
          <w:highlight w:val="none"/>
        </w:rPr>
        <w:t>)</w:t>
      </w:r>
      <w:r>
        <w:rPr>
          <w:rFonts w:hint="eastAsia" w:ascii="宋体" w:hAnsi="宋体"/>
          <w:color w:val="auto"/>
          <w:szCs w:val="21"/>
          <w:highlight w:val="none"/>
        </w:rPr>
        <w:t>中所叙述的采购项目。</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定义</w:t>
      </w:r>
    </w:p>
    <w:p>
      <w:pPr>
        <w:adjustRightInd w:val="0"/>
        <w:snapToGrid w:val="0"/>
        <w:spacing w:line="520" w:lineRule="exact"/>
        <w:ind w:firstLine="420" w:firstLineChars="200"/>
        <w:rPr>
          <w:rFonts w:ascii="宋体" w:hAnsi="宋体"/>
          <w:b/>
          <w:color w:val="auto"/>
          <w:szCs w:val="21"/>
          <w:highlight w:val="none"/>
        </w:rPr>
      </w:pPr>
      <w:r>
        <w:rPr>
          <w:rFonts w:ascii="宋体" w:hAnsi="宋体"/>
          <w:color w:val="auto"/>
          <w:szCs w:val="21"/>
          <w:highlight w:val="none"/>
        </w:rPr>
        <w:t xml:space="preserve">2.1 </w:t>
      </w:r>
      <w:r>
        <w:rPr>
          <w:rFonts w:hint="eastAsia" w:ascii="宋体" w:hAnsi="宋体"/>
          <w:color w:val="auto"/>
          <w:szCs w:val="21"/>
          <w:highlight w:val="none"/>
        </w:rPr>
        <w:t>“采购人”是指依法进行政府采购的国家机关、事业单位、团体组织。本次政府采购的采购人名称、地址、电话、联系人见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b/>
          <w:color w:val="auto"/>
          <w:szCs w:val="21"/>
          <w:highlight w:val="none"/>
        </w:rPr>
      </w:pPr>
      <w:r>
        <w:rPr>
          <w:rFonts w:ascii="宋体" w:hAnsi="宋体"/>
          <w:color w:val="auto"/>
          <w:szCs w:val="21"/>
          <w:highlight w:val="none"/>
        </w:rPr>
        <w:t xml:space="preserve">2.2 </w:t>
      </w:r>
      <w:r>
        <w:rPr>
          <w:rFonts w:hint="eastAsia" w:ascii="宋体" w:hAnsi="宋体"/>
          <w:color w:val="auto"/>
          <w:szCs w:val="21"/>
          <w:highlight w:val="none"/>
        </w:rPr>
        <w:t>“采购代理机构”是指接受采购人委托，代理采购项目的集中采购机构和其他采购代理机构。本次政府采购的采购代理机构名称、地址、电话、联系人见</w:t>
      </w:r>
      <w:r>
        <w:rPr>
          <w:rFonts w:hint="eastAsia" w:ascii="宋体" w:hAnsi="宋体"/>
          <w:b/>
          <w:color w:val="auto"/>
          <w:szCs w:val="21"/>
          <w:highlight w:val="none"/>
        </w:rPr>
        <w:t>磋商须知前附表。</w:t>
      </w:r>
    </w:p>
    <w:p>
      <w:pPr>
        <w:adjustRightInd w:val="0"/>
        <w:snapToGrid w:val="0"/>
        <w:spacing w:line="520" w:lineRule="exact"/>
        <w:ind w:firstLine="420" w:firstLineChars="200"/>
        <w:rPr>
          <w:rFonts w:ascii="宋体" w:hAnsi="宋体" w:cs="宋体"/>
          <w:bCs/>
          <w:color w:val="auto"/>
          <w:kern w:val="36"/>
          <w:szCs w:val="21"/>
          <w:highlight w:val="none"/>
        </w:rPr>
      </w:pPr>
      <w:r>
        <w:rPr>
          <w:rFonts w:ascii="宋体" w:hAnsi="宋体"/>
          <w:color w:val="auto"/>
          <w:szCs w:val="21"/>
          <w:highlight w:val="none"/>
        </w:rPr>
        <w:t xml:space="preserve">2.3 </w:t>
      </w:r>
      <w:r>
        <w:rPr>
          <w:rFonts w:hint="eastAsia" w:ascii="宋体" w:hAnsi="宋体"/>
          <w:color w:val="auto"/>
          <w:szCs w:val="21"/>
          <w:highlight w:val="none"/>
        </w:rPr>
        <w:t>“供应商”是指响应磋商文件要求、参加竞争性磋商采购的法人、其他组织或者自然人。本次政府采购项目</w:t>
      </w:r>
      <w:r>
        <w:rPr>
          <w:rFonts w:hint="eastAsia" w:ascii="宋体" w:hAnsi="宋体" w:cs="宋体"/>
          <w:color w:val="auto"/>
          <w:kern w:val="0"/>
          <w:szCs w:val="21"/>
          <w:highlight w:val="none"/>
        </w:rPr>
        <w:t>邀请</w:t>
      </w:r>
      <w:r>
        <w:rPr>
          <w:rFonts w:hint="eastAsia" w:ascii="宋体" w:hAnsi="宋体"/>
          <w:color w:val="auto"/>
          <w:szCs w:val="21"/>
          <w:highlight w:val="none"/>
        </w:rPr>
        <w:t>的</w:t>
      </w:r>
      <w:r>
        <w:rPr>
          <w:rFonts w:hint="eastAsia" w:ascii="宋体" w:hAnsi="宋体" w:cs="宋体"/>
          <w:color w:val="auto"/>
          <w:kern w:val="0"/>
          <w:szCs w:val="21"/>
          <w:highlight w:val="none"/>
        </w:rPr>
        <w:t>供应商通过</w:t>
      </w:r>
      <w:r>
        <w:rPr>
          <w:rFonts w:hint="eastAsia" w:ascii="宋体" w:hAnsi="宋体"/>
          <w:b/>
          <w:color w:val="auto"/>
          <w:szCs w:val="21"/>
          <w:highlight w:val="none"/>
        </w:rPr>
        <w:t>磋商须知前附表</w:t>
      </w:r>
      <w:r>
        <w:rPr>
          <w:rFonts w:hint="eastAsia" w:ascii="宋体" w:hAnsi="宋体"/>
          <w:color w:val="auto"/>
          <w:szCs w:val="21"/>
          <w:highlight w:val="none"/>
        </w:rPr>
        <w:t>所述方式</w:t>
      </w:r>
      <w:r>
        <w:rPr>
          <w:rFonts w:hint="eastAsia" w:ascii="宋体" w:hAnsi="宋体" w:cs="宋体"/>
          <w:color w:val="auto"/>
          <w:kern w:val="0"/>
          <w:szCs w:val="21"/>
          <w:highlight w:val="none"/>
        </w:rPr>
        <w:t>，邀请符合资格条件的供应商提交响应文件（含资格证明资料），参与竞争性磋商采购活动。</w:t>
      </w:r>
    </w:p>
    <w:p>
      <w:pPr>
        <w:adjustRightInd w:val="0"/>
        <w:snapToGrid w:val="0"/>
        <w:spacing w:line="520" w:lineRule="exact"/>
        <w:ind w:firstLine="420" w:firstLineChars="200"/>
        <w:rPr>
          <w:rFonts w:ascii="宋体" w:hAnsi="宋体" w:cs="宋体"/>
          <w:color w:val="auto"/>
          <w:kern w:val="0"/>
          <w:szCs w:val="21"/>
          <w:highlight w:val="none"/>
        </w:rPr>
      </w:pPr>
      <w:r>
        <w:rPr>
          <w:rFonts w:ascii="宋体" w:hAnsi="宋体"/>
          <w:color w:val="auto"/>
          <w:szCs w:val="21"/>
          <w:highlight w:val="none"/>
        </w:rPr>
        <w:t xml:space="preserve">2.4 </w:t>
      </w:r>
      <w:r>
        <w:rPr>
          <w:rFonts w:hint="eastAsia" w:ascii="宋体" w:hAnsi="宋体"/>
          <w:color w:val="auto"/>
          <w:szCs w:val="21"/>
          <w:highlight w:val="none"/>
        </w:rPr>
        <w:t>“磋商小组”是指</w:t>
      </w:r>
      <w:r>
        <w:rPr>
          <w:rFonts w:hint="eastAsia" w:ascii="宋体" w:hAnsi="宋体" w:cs="宋体"/>
          <w:color w:val="auto"/>
          <w:kern w:val="0"/>
          <w:szCs w:val="21"/>
          <w:highlight w:val="none"/>
        </w:rPr>
        <w:t>依据财政部</w:t>
      </w:r>
      <w:r>
        <w:rPr>
          <w:rFonts w:hint="eastAsia" w:ascii="宋体" w:hAnsi="宋体" w:cs="宋体"/>
          <w:bCs/>
          <w:color w:val="auto"/>
          <w:kern w:val="36"/>
          <w:szCs w:val="21"/>
          <w:highlight w:val="none"/>
        </w:rPr>
        <w:t>《政府采购竞争性磋商采购方式管理暂行办法》有关规定组建，依法依规</w:t>
      </w:r>
      <w:r>
        <w:rPr>
          <w:rFonts w:hint="eastAsia" w:ascii="宋体" w:hAnsi="宋体" w:cs="宋体"/>
          <w:color w:val="auto"/>
          <w:kern w:val="0"/>
          <w:szCs w:val="21"/>
          <w:highlight w:val="none"/>
        </w:rPr>
        <w:t>履行其职责和义务的机构。</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2.5 </w:t>
      </w:r>
      <w:r>
        <w:rPr>
          <w:rFonts w:hint="eastAsia" w:ascii="宋体" w:hAnsi="宋体"/>
          <w:color w:val="auto"/>
          <w:szCs w:val="21"/>
          <w:highlight w:val="none"/>
        </w:rPr>
        <w:t>“货物”是指各种形态和种类的物品，包括原资料、燃料、设备、产品等，详见《政府采购品目分类目录》</w:t>
      </w:r>
      <w:r>
        <w:rPr>
          <w:rFonts w:ascii="宋体" w:hAnsi="宋体"/>
          <w:color w:val="auto"/>
          <w:szCs w:val="21"/>
          <w:highlight w:val="none"/>
        </w:rPr>
        <w:t>(</w:t>
      </w:r>
      <w:r>
        <w:rPr>
          <w:rFonts w:hint="eastAsia" w:ascii="宋体" w:hAnsi="宋体"/>
          <w:b/>
          <w:bCs/>
          <w:color w:val="auto"/>
          <w:highlight w:val="none"/>
        </w:rPr>
        <w:t>财库</w:t>
      </w:r>
      <w:r>
        <w:rPr>
          <w:rFonts w:ascii="宋体" w:hAnsi="宋体"/>
          <w:b/>
          <w:bCs/>
          <w:color w:val="auto"/>
          <w:highlight w:val="none"/>
        </w:rPr>
        <w:t>[2013]189</w:t>
      </w:r>
      <w:r>
        <w:rPr>
          <w:rFonts w:hint="eastAsia" w:ascii="宋体" w:hAnsi="宋体"/>
          <w:b/>
          <w:bCs/>
          <w:color w:val="auto"/>
          <w:highlight w:val="none"/>
        </w:rPr>
        <w:t>号</w:t>
      </w:r>
      <w:r>
        <w:rPr>
          <w:rFonts w:ascii="宋体" w:hAnsi="宋体"/>
          <w:color w:val="auto"/>
          <w:szCs w:val="21"/>
          <w:highlight w:val="none"/>
        </w:rPr>
        <w:t>)</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2.6 </w:t>
      </w:r>
      <w:r>
        <w:rPr>
          <w:rFonts w:hint="eastAsia" w:ascii="宋体" w:hAnsi="宋体"/>
          <w:color w:val="auto"/>
          <w:szCs w:val="21"/>
          <w:highlight w:val="none"/>
        </w:rPr>
        <w:t>“工程”是指建设工程，包括建筑物和构筑物的新建、改建、扩建、装修、拆除、修缮等，详见《政府采购品目分类目录》</w:t>
      </w:r>
      <w:r>
        <w:rPr>
          <w:rFonts w:ascii="宋体" w:hAnsi="宋体"/>
          <w:color w:val="auto"/>
          <w:szCs w:val="21"/>
          <w:highlight w:val="none"/>
        </w:rPr>
        <w:t>(</w:t>
      </w:r>
      <w:r>
        <w:rPr>
          <w:rFonts w:hint="eastAsia" w:ascii="宋体" w:hAnsi="宋体"/>
          <w:b/>
          <w:bCs/>
          <w:color w:val="auto"/>
          <w:highlight w:val="none"/>
        </w:rPr>
        <w:t>财库</w:t>
      </w:r>
      <w:r>
        <w:rPr>
          <w:rFonts w:ascii="宋体" w:hAnsi="宋体"/>
          <w:b/>
          <w:bCs/>
          <w:color w:val="auto"/>
          <w:highlight w:val="none"/>
        </w:rPr>
        <w:t>[2013]189</w:t>
      </w:r>
      <w:r>
        <w:rPr>
          <w:rFonts w:hint="eastAsia" w:ascii="宋体" w:hAnsi="宋体"/>
          <w:b/>
          <w:bCs/>
          <w:color w:val="auto"/>
          <w:highlight w:val="none"/>
        </w:rPr>
        <w:t>号</w:t>
      </w:r>
      <w:r>
        <w:rPr>
          <w:rFonts w:ascii="宋体" w:hAnsi="宋体"/>
          <w:color w:val="auto"/>
          <w:szCs w:val="21"/>
          <w:highlight w:val="none"/>
        </w:rPr>
        <w:t>)</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2.7 </w:t>
      </w:r>
      <w:r>
        <w:rPr>
          <w:rFonts w:hint="eastAsia" w:ascii="宋体" w:hAnsi="宋体"/>
          <w:color w:val="auto"/>
          <w:szCs w:val="21"/>
          <w:highlight w:val="none"/>
        </w:rPr>
        <w:t>“服务”是指除货物和工程以外的其他政府采购对象，详见《政府采购品目分类目录》</w:t>
      </w:r>
      <w:r>
        <w:rPr>
          <w:rFonts w:ascii="宋体" w:hAnsi="宋体"/>
          <w:color w:val="auto"/>
          <w:szCs w:val="21"/>
          <w:highlight w:val="none"/>
        </w:rPr>
        <w:t>(</w:t>
      </w:r>
      <w:r>
        <w:rPr>
          <w:rFonts w:hint="eastAsia" w:ascii="宋体" w:hAnsi="宋体"/>
          <w:b/>
          <w:bCs/>
          <w:color w:val="auto"/>
          <w:highlight w:val="none"/>
        </w:rPr>
        <w:t>财库</w:t>
      </w:r>
      <w:r>
        <w:rPr>
          <w:rFonts w:ascii="宋体" w:hAnsi="宋体"/>
          <w:b/>
          <w:bCs/>
          <w:color w:val="auto"/>
          <w:highlight w:val="none"/>
        </w:rPr>
        <w:t>[2013]189</w:t>
      </w:r>
      <w:r>
        <w:rPr>
          <w:rFonts w:hint="eastAsia" w:ascii="宋体" w:hAnsi="宋体"/>
          <w:b/>
          <w:bCs/>
          <w:color w:val="auto"/>
          <w:highlight w:val="none"/>
        </w:rPr>
        <w:t>号</w:t>
      </w:r>
      <w:r>
        <w:rPr>
          <w:rFonts w:ascii="宋体" w:hAnsi="宋体"/>
          <w:color w:val="auto"/>
          <w:szCs w:val="21"/>
          <w:highlight w:val="none"/>
        </w:rPr>
        <w:t>)</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color w:val="auto"/>
          <w:szCs w:val="21"/>
          <w:highlight w:val="none"/>
        </w:rPr>
      </w:pPr>
      <w:r>
        <w:rPr>
          <w:rFonts w:ascii="宋体" w:hAnsi="宋体" w:cs="宋体"/>
          <w:color w:val="auto"/>
          <w:kern w:val="0"/>
          <w:szCs w:val="21"/>
          <w:highlight w:val="none"/>
        </w:rPr>
        <w:t>2.8</w:t>
      </w:r>
      <w:r>
        <w:rPr>
          <w:rFonts w:ascii="宋体" w:hAnsi="宋体"/>
          <w:color w:val="auto"/>
          <w:szCs w:val="21"/>
          <w:highlight w:val="none"/>
        </w:rPr>
        <w:t xml:space="preserve"> </w:t>
      </w:r>
      <w:r>
        <w:rPr>
          <w:rFonts w:hint="eastAsia" w:ascii="宋体" w:hAnsi="宋体"/>
          <w:color w:val="auto"/>
          <w:szCs w:val="21"/>
          <w:highlight w:val="none"/>
        </w:rPr>
        <w:t>“节能产品”或者“环保产品”是指财政部发布的《节能产品政府采购清单》或者《环境标志产品政府采购清单》的产品，“两型产品”是指湖南省财政厅发布的《湖南省两型产品政府采购目录》的产品。</w:t>
      </w:r>
    </w:p>
    <w:p>
      <w:pPr>
        <w:adjustRightInd w:val="0"/>
        <w:snapToGrid w:val="0"/>
        <w:spacing w:line="520" w:lineRule="exact"/>
        <w:ind w:firstLine="420" w:firstLineChars="200"/>
        <w:rPr>
          <w:rFonts w:ascii="宋体" w:hAnsi="宋体" w:cs="宋体"/>
          <w:color w:val="auto"/>
          <w:kern w:val="0"/>
          <w:szCs w:val="21"/>
          <w:highlight w:val="none"/>
        </w:rPr>
      </w:pPr>
      <w:r>
        <w:rPr>
          <w:rFonts w:ascii="宋体" w:hAnsi="宋体"/>
          <w:color w:val="auto"/>
          <w:szCs w:val="21"/>
          <w:highlight w:val="none"/>
        </w:rPr>
        <w:t>2.9</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“进口产品”是指通过中国海关报关验放进入中国境内且产自关境外的产品，详见《关于政府采购进口产品管理有关问题的通知》</w:t>
      </w:r>
      <w:r>
        <w:rPr>
          <w:rFonts w:ascii="宋体" w:hAnsi="宋体" w:cs="宋体"/>
          <w:color w:val="auto"/>
          <w:kern w:val="0"/>
          <w:szCs w:val="21"/>
          <w:highlight w:val="none"/>
        </w:rPr>
        <w:t>(</w:t>
      </w:r>
      <w:r>
        <w:rPr>
          <w:rFonts w:hint="eastAsia" w:ascii="宋体" w:hAnsi="宋体" w:cs="宋体"/>
          <w:color w:val="auto"/>
          <w:kern w:val="0"/>
          <w:szCs w:val="21"/>
          <w:highlight w:val="none"/>
        </w:rPr>
        <w:t>财库</w:t>
      </w:r>
      <w:r>
        <w:rPr>
          <w:rFonts w:ascii="宋体" w:hAnsi="宋体" w:cs="宋体"/>
          <w:color w:val="auto"/>
          <w:kern w:val="0"/>
          <w:szCs w:val="21"/>
          <w:highlight w:val="none"/>
        </w:rPr>
        <w:t>[2007]119</w:t>
      </w:r>
      <w:r>
        <w:rPr>
          <w:rFonts w:hint="eastAsia" w:ascii="宋体" w:hAnsi="宋体" w:cs="宋体"/>
          <w:color w:val="auto"/>
          <w:kern w:val="0"/>
          <w:szCs w:val="21"/>
          <w:highlight w:val="none"/>
        </w:rPr>
        <w:t>号</w:t>
      </w:r>
      <w:r>
        <w:rPr>
          <w:rFonts w:ascii="宋体" w:hAnsi="宋体" w:cs="宋体"/>
          <w:color w:val="auto"/>
          <w:kern w:val="0"/>
          <w:szCs w:val="21"/>
          <w:highlight w:val="none"/>
        </w:rPr>
        <w:t>)</w:t>
      </w:r>
      <w:r>
        <w:rPr>
          <w:rFonts w:hint="eastAsia" w:ascii="宋体" w:hAnsi="宋体" w:cs="宋体"/>
          <w:color w:val="auto"/>
          <w:kern w:val="0"/>
          <w:szCs w:val="21"/>
          <w:highlight w:val="none"/>
        </w:rPr>
        <w:t>。</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w:t>
      </w:r>
      <w:r>
        <w:rPr>
          <w:rFonts w:hint="eastAsia" w:ascii="宋体" w:hAnsi="宋体"/>
          <w:b/>
          <w:bCs/>
          <w:color w:val="auto"/>
          <w:szCs w:val="21"/>
          <w:highlight w:val="none"/>
        </w:rPr>
        <w:t>供应商的资格要求</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3.1 </w:t>
      </w:r>
      <w:r>
        <w:rPr>
          <w:rFonts w:hint="eastAsia" w:ascii="宋体" w:hAnsi="宋体"/>
          <w:color w:val="auto"/>
          <w:szCs w:val="21"/>
          <w:highlight w:val="none"/>
        </w:rPr>
        <w:t>供应商应当符合</w:t>
      </w:r>
      <w:r>
        <w:rPr>
          <w:rFonts w:hint="eastAsia" w:ascii="宋体" w:hAnsi="宋体"/>
          <w:b/>
          <w:color w:val="auto"/>
          <w:szCs w:val="21"/>
          <w:highlight w:val="none"/>
        </w:rPr>
        <w:t>磋商须知前附表</w:t>
      </w:r>
      <w:r>
        <w:rPr>
          <w:rFonts w:hint="eastAsia" w:ascii="宋体" w:hAnsi="宋体"/>
          <w:color w:val="auto"/>
          <w:szCs w:val="21"/>
          <w:highlight w:val="none"/>
        </w:rPr>
        <w:t>中规定的资格条件要求。</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3.2</w:t>
      </w:r>
      <w:r>
        <w:rPr>
          <w:rFonts w:hint="eastAsia" w:ascii="宋体" w:hAnsi="宋体"/>
          <w:color w:val="auto"/>
          <w:szCs w:val="21"/>
          <w:highlight w:val="none"/>
        </w:rPr>
        <w:t>供应商</w:t>
      </w:r>
      <w:r>
        <w:rPr>
          <w:rFonts w:hint="eastAsia" w:ascii="宋体" w:hAnsi="宋体"/>
          <w:color w:val="auto"/>
          <w:highlight w:val="none"/>
        </w:rPr>
        <w:t>为联合体形式的</w:t>
      </w:r>
      <w:r>
        <w:rPr>
          <w:rFonts w:hint="eastAsia" w:ascii="宋体" w:hAnsi="宋体"/>
          <w:color w:val="auto"/>
          <w:szCs w:val="21"/>
          <w:highlight w:val="none"/>
        </w:rPr>
        <w:t>，除应满足本章第</w:t>
      </w:r>
      <w:r>
        <w:rPr>
          <w:rFonts w:ascii="宋体" w:hAnsi="宋体"/>
          <w:color w:val="auto"/>
          <w:szCs w:val="21"/>
          <w:highlight w:val="none"/>
        </w:rPr>
        <w:t>3.1</w:t>
      </w:r>
      <w:r>
        <w:rPr>
          <w:rFonts w:hint="eastAsia" w:ascii="宋体" w:hAnsi="宋体"/>
          <w:color w:val="auto"/>
          <w:szCs w:val="21"/>
          <w:highlight w:val="none"/>
        </w:rPr>
        <w:t>款资格条件要求及第</w:t>
      </w:r>
      <w:r>
        <w:rPr>
          <w:rFonts w:ascii="宋体" w:hAnsi="宋体"/>
          <w:color w:val="auto"/>
          <w:szCs w:val="21"/>
          <w:highlight w:val="none"/>
        </w:rPr>
        <w:t>3.3</w:t>
      </w:r>
      <w:r>
        <w:rPr>
          <w:rFonts w:hint="eastAsia" w:ascii="宋体" w:hAnsi="宋体"/>
          <w:color w:val="auto"/>
          <w:szCs w:val="21"/>
          <w:highlight w:val="none"/>
        </w:rPr>
        <w:t>款规定外，还应遵守以下规定：</w:t>
      </w:r>
      <w:r>
        <w:rPr>
          <w:rFonts w:ascii="宋体" w:hAnsi="宋体"/>
          <w:color w:val="auto"/>
          <w:szCs w:val="21"/>
          <w:highlight w:val="none"/>
        </w:rPr>
        <w:t xml:space="preserve"> </w:t>
      </w:r>
    </w:p>
    <w:p>
      <w:pPr>
        <w:adjustRightInd w:val="0"/>
        <w:snapToGrid w:val="0"/>
        <w:spacing w:line="52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w:t>
      </w: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）联合体各方应按磋商文件提供的格式签订联合体协议书，明确联合体牵头人和各方权利义务</w:t>
      </w:r>
      <w:r>
        <w:rPr>
          <w:rFonts w:ascii="宋体" w:hAnsi="宋体" w:cs="宋体"/>
          <w:color w:val="auto"/>
          <w:kern w:val="0"/>
          <w:szCs w:val="21"/>
          <w:highlight w:val="none"/>
          <w:lang w:val="zh-CN"/>
        </w:rPr>
        <w:t>(</w:t>
      </w:r>
      <w:r>
        <w:rPr>
          <w:rFonts w:hint="eastAsia" w:ascii="宋体" w:hAnsi="宋体" w:cs="宋体"/>
          <w:color w:val="auto"/>
          <w:kern w:val="0"/>
          <w:szCs w:val="21"/>
          <w:highlight w:val="none"/>
          <w:lang w:val="zh-CN"/>
        </w:rPr>
        <w:t>含承担工作及工作量比例</w:t>
      </w:r>
      <w:r>
        <w:rPr>
          <w:rFonts w:ascii="宋体" w:hAnsi="宋体" w:cs="宋体"/>
          <w:color w:val="auto"/>
          <w:kern w:val="0"/>
          <w:szCs w:val="21"/>
          <w:highlight w:val="none"/>
          <w:lang w:val="zh-CN"/>
        </w:rPr>
        <w:t>)</w:t>
      </w:r>
      <w:r>
        <w:rPr>
          <w:rFonts w:hint="eastAsia" w:ascii="宋体" w:hAnsi="宋体" w:cs="宋体"/>
          <w:color w:val="auto"/>
          <w:kern w:val="0"/>
          <w:szCs w:val="21"/>
          <w:highlight w:val="none"/>
          <w:lang w:val="zh-CN"/>
        </w:rPr>
        <w:t>；</w:t>
      </w:r>
    </w:p>
    <w:p>
      <w:pPr>
        <w:adjustRightInd w:val="0"/>
        <w:snapToGrid w:val="0"/>
        <w:spacing w:line="52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w:t>
      </w:r>
      <w:r>
        <w:rPr>
          <w:rFonts w:ascii="宋体" w:hAnsi="宋体" w:cs="宋体"/>
          <w:color w:val="auto"/>
          <w:kern w:val="0"/>
          <w:szCs w:val="21"/>
          <w:highlight w:val="none"/>
          <w:lang w:val="zh-CN"/>
        </w:rPr>
        <w:t>2</w:t>
      </w:r>
      <w:r>
        <w:rPr>
          <w:rFonts w:hint="eastAsia" w:ascii="宋体" w:hAnsi="宋体" w:cs="宋体"/>
          <w:color w:val="auto"/>
          <w:kern w:val="0"/>
          <w:szCs w:val="21"/>
          <w:highlight w:val="none"/>
          <w:lang w:val="zh-CN"/>
        </w:rPr>
        <w:t>）联合体中有同类资质的供应商按照联合体分工承担相同工作的，应当按照资质等级较低的供应商确定资质等级；</w:t>
      </w:r>
    </w:p>
    <w:p>
      <w:pPr>
        <w:adjustRightInd w:val="0"/>
        <w:snapToGrid w:val="0"/>
        <w:spacing w:line="52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w:t>
      </w: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）以联合体形式参加政府采购活动的，联合体各方不得再单独参加或者与其他供应商另外组成联合体参加同一合同项下的政府采购活动。</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3.3 </w:t>
      </w:r>
      <w:r>
        <w:rPr>
          <w:rFonts w:hint="eastAsia" w:ascii="宋体" w:hAnsi="宋体"/>
          <w:color w:val="auto"/>
          <w:szCs w:val="21"/>
          <w:highlight w:val="none"/>
        </w:rPr>
        <w:t>供应商不得存在下列情形之一：</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l</w:t>
      </w:r>
      <w:r>
        <w:rPr>
          <w:rFonts w:hint="eastAsia" w:ascii="宋体" w:hAnsi="宋体"/>
          <w:color w:val="auto"/>
          <w:szCs w:val="21"/>
          <w:highlight w:val="none"/>
        </w:rPr>
        <w:t>）与采购人、采购代理机构存在</w:t>
      </w:r>
      <w:r>
        <w:rPr>
          <w:rFonts w:hint="eastAsia" w:ascii="宋体" w:hAnsi="宋体"/>
          <w:bCs/>
          <w:color w:val="auto"/>
          <w:szCs w:val="21"/>
          <w:highlight w:val="none"/>
        </w:rPr>
        <w:t>隶属关系或者其他利害关系</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）与其他供应商的法定代表人（或者负责人）为同一人，或者与其他供应商存在控股、关联关系。</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bCs/>
          <w:color w:val="auto"/>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Cs w:val="21"/>
          <w:highlight w:val="none"/>
        </w:rPr>
        <w:t>财政部门认定的其他重大违法记录。</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4.</w:t>
      </w:r>
      <w:r>
        <w:rPr>
          <w:rFonts w:hint="eastAsia" w:ascii="宋体" w:hAnsi="宋体"/>
          <w:b/>
          <w:bCs/>
          <w:color w:val="auto"/>
          <w:szCs w:val="21"/>
          <w:highlight w:val="none"/>
        </w:rPr>
        <w:t>参与磋商的费用</w:t>
      </w:r>
      <w:r>
        <w:rPr>
          <w:rFonts w:ascii="宋体" w:hAnsi="宋体"/>
          <w:b/>
          <w:bCs/>
          <w:color w:val="auto"/>
          <w:szCs w:val="21"/>
          <w:highlight w:val="none"/>
        </w:rPr>
        <w:t xml:space="preserve"> </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4.1 </w:t>
      </w:r>
      <w:r>
        <w:rPr>
          <w:rFonts w:hint="eastAsia" w:ascii="宋体" w:hAnsi="宋体"/>
          <w:color w:val="auto"/>
          <w:szCs w:val="21"/>
          <w:highlight w:val="none"/>
        </w:rPr>
        <w:t>无论磋商的结果如何，供应商应自行承担所有与竞争性磋商采购活动有关的全部费用。</w:t>
      </w:r>
    </w:p>
    <w:p>
      <w:pPr>
        <w:adjustRightInd w:val="0"/>
        <w:snapToGrid w:val="0"/>
        <w:spacing w:line="520" w:lineRule="exact"/>
        <w:rPr>
          <w:rFonts w:ascii="宋体" w:hAnsi="宋体"/>
          <w:b/>
          <w:bCs/>
          <w:color w:val="auto"/>
          <w:highlight w:val="none"/>
        </w:rPr>
      </w:pPr>
      <w:r>
        <w:rPr>
          <w:rFonts w:ascii="宋体" w:hAnsi="宋体"/>
          <w:b/>
          <w:color w:val="auto"/>
          <w:highlight w:val="none"/>
        </w:rPr>
        <w:t>5</w:t>
      </w:r>
      <w:r>
        <w:rPr>
          <w:rFonts w:hint="eastAsia" w:ascii="宋体" w:hAnsi="宋体"/>
          <w:b/>
          <w:color w:val="auto"/>
          <w:highlight w:val="none"/>
        </w:rPr>
        <w:t>．</w:t>
      </w:r>
      <w:r>
        <w:rPr>
          <w:rFonts w:hint="eastAsia" w:ascii="宋体" w:hAnsi="宋体"/>
          <w:b/>
          <w:bCs/>
          <w:color w:val="auto"/>
          <w:highlight w:val="none"/>
        </w:rPr>
        <w:t>授权委托</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5.1</w:t>
      </w:r>
      <w:r>
        <w:rPr>
          <w:rFonts w:hint="eastAsia" w:ascii="宋体" w:hAnsi="宋体"/>
          <w:color w:val="auto"/>
          <w:highlight w:val="none"/>
        </w:rPr>
        <w:t>供应商代表为供应商法定代表人的，应持有法定代表人身份证明。供应商代表不是供应商法定代表人的，应持有法定代表人授权书，并附法定代表人身份证明。</w:t>
      </w:r>
    </w:p>
    <w:p>
      <w:pPr>
        <w:adjustRightInd w:val="0"/>
        <w:snapToGrid w:val="0"/>
        <w:spacing w:line="520" w:lineRule="exact"/>
        <w:rPr>
          <w:rFonts w:ascii="宋体" w:hAnsi="宋体"/>
          <w:b/>
          <w:color w:val="auto"/>
          <w:highlight w:val="none"/>
        </w:rPr>
      </w:pPr>
      <w:r>
        <w:rPr>
          <w:rFonts w:ascii="宋体" w:hAnsi="宋体"/>
          <w:b/>
          <w:color w:val="auto"/>
          <w:highlight w:val="none"/>
        </w:rPr>
        <w:t>6</w:t>
      </w:r>
      <w:r>
        <w:rPr>
          <w:rFonts w:hint="eastAsia" w:ascii="宋体" w:hAnsi="宋体"/>
          <w:b/>
          <w:color w:val="auto"/>
          <w:highlight w:val="none"/>
        </w:rPr>
        <w:t>．联合体形式</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6.1</w:t>
      </w:r>
      <w:r>
        <w:rPr>
          <w:rFonts w:hint="eastAsia" w:ascii="宋体" w:hAnsi="宋体"/>
          <w:color w:val="auto"/>
          <w:highlight w:val="none"/>
        </w:rPr>
        <w:t>除</w:t>
      </w:r>
      <w:r>
        <w:rPr>
          <w:rFonts w:hint="eastAsia" w:ascii="宋体" w:hAnsi="宋体"/>
          <w:b/>
          <w:color w:val="auto"/>
          <w:highlight w:val="none"/>
        </w:rPr>
        <w:t>磋商须知前附表</w:t>
      </w:r>
      <w:r>
        <w:rPr>
          <w:rFonts w:hint="eastAsia" w:ascii="宋体" w:hAnsi="宋体"/>
          <w:color w:val="auto"/>
          <w:highlight w:val="none"/>
        </w:rPr>
        <w:t>中另有规定，本次谈判采购不接受为联合体形式的供应商。</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6.2</w:t>
      </w:r>
      <w:r>
        <w:rPr>
          <w:rFonts w:hint="eastAsia" w:ascii="宋体" w:hAnsi="宋体"/>
          <w:color w:val="auto"/>
          <w:szCs w:val="21"/>
          <w:highlight w:val="none"/>
        </w:rPr>
        <w:t>供应商</w:t>
      </w:r>
      <w:r>
        <w:rPr>
          <w:rFonts w:hint="eastAsia" w:ascii="宋体" w:hAnsi="宋体"/>
          <w:color w:val="auto"/>
          <w:highlight w:val="none"/>
        </w:rPr>
        <w:t>为联合体形式的</w:t>
      </w:r>
      <w:r>
        <w:rPr>
          <w:rFonts w:hint="eastAsia" w:ascii="宋体" w:hAnsi="宋体"/>
          <w:color w:val="auto"/>
          <w:szCs w:val="21"/>
          <w:highlight w:val="none"/>
        </w:rPr>
        <w:t>，除应符合本章第</w:t>
      </w:r>
      <w:r>
        <w:rPr>
          <w:rFonts w:ascii="宋体" w:hAnsi="宋体"/>
          <w:color w:val="auto"/>
          <w:szCs w:val="21"/>
          <w:highlight w:val="none"/>
        </w:rPr>
        <w:t>3</w:t>
      </w:r>
      <w:r>
        <w:rPr>
          <w:rFonts w:hint="eastAsia" w:ascii="宋体" w:hAnsi="宋体"/>
          <w:color w:val="auto"/>
          <w:szCs w:val="21"/>
          <w:highlight w:val="none"/>
        </w:rPr>
        <w:t>条规定外，还应遵守以下规定：</w:t>
      </w:r>
    </w:p>
    <w:p>
      <w:pPr>
        <w:adjustRightInd w:val="0"/>
        <w:snapToGrid w:val="0"/>
        <w:spacing w:line="52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l</w:t>
      </w:r>
      <w:r>
        <w:rPr>
          <w:rFonts w:hint="eastAsia" w:ascii="宋体" w:hAnsi="宋体"/>
          <w:color w:val="auto"/>
          <w:szCs w:val="21"/>
          <w:highlight w:val="none"/>
        </w:rPr>
        <w:t>）联合体各方必须签订联合体协议书，明确联合体牵头人和各方的义务、工作、合同工作量比例；</w:t>
      </w:r>
    </w:p>
    <w:p>
      <w:pPr>
        <w:adjustRightInd w:val="0"/>
        <w:snapToGrid w:val="0"/>
        <w:spacing w:line="52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）联合体各方均应当符合本章第</w:t>
      </w:r>
      <w:r>
        <w:rPr>
          <w:rFonts w:ascii="宋体" w:hAnsi="宋体"/>
          <w:color w:val="auto"/>
          <w:szCs w:val="21"/>
          <w:highlight w:val="none"/>
        </w:rPr>
        <w:t>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规定的供应商基本资格条件；</w:t>
      </w:r>
    </w:p>
    <w:p>
      <w:pPr>
        <w:adjustRightInd w:val="0"/>
        <w:snapToGrid w:val="0"/>
        <w:spacing w:line="52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color w:val="auto"/>
          <w:highlight w:val="none"/>
        </w:rPr>
        <w:t>除</w:t>
      </w:r>
      <w:r>
        <w:rPr>
          <w:rFonts w:hint="eastAsia" w:ascii="宋体" w:hAnsi="宋体"/>
          <w:b/>
          <w:color w:val="auto"/>
          <w:highlight w:val="none"/>
        </w:rPr>
        <w:t>磋商须知前附表</w:t>
      </w:r>
      <w:r>
        <w:rPr>
          <w:rFonts w:hint="eastAsia" w:ascii="宋体" w:hAnsi="宋体"/>
          <w:color w:val="auto"/>
          <w:highlight w:val="none"/>
        </w:rPr>
        <w:t>中另有规定，</w:t>
      </w:r>
      <w:r>
        <w:rPr>
          <w:rFonts w:hint="eastAsia" w:ascii="宋体" w:hAnsi="宋体"/>
          <w:color w:val="auto"/>
          <w:szCs w:val="21"/>
          <w:highlight w:val="none"/>
        </w:rPr>
        <w:t>联合体各方中至少有一方应当符合本章第</w:t>
      </w:r>
      <w:r>
        <w:rPr>
          <w:rFonts w:ascii="宋体" w:hAnsi="宋体"/>
          <w:color w:val="auto"/>
          <w:szCs w:val="21"/>
          <w:highlight w:val="none"/>
        </w:rPr>
        <w:t>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规定的供应商特定资格条件；</w:t>
      </w:r>
    </w:p>
    <w:p>
      <w:pPr>
        <w:adjustRightInd w:val="0"/>
        <w:snapToGrid w:val="0"/>
        <w:spacing w:line="520" w:lineRule="exact"/>
        <w:ind w:firstLine="420" w:firstLineChars="200"/>
        <w:jc w:val="left"/>
        <w:rPr>
          <w:rFonts w:ascii="宋体" w:hAnsi="宋体" w:cs="宋体"/>
          <w:color w:val="auto"/>
          <w:kern w:val="0"/>
          <w:szCs w:val="21"/>
          <w:highlight w:val="none"/>
          <w:lang w:val="zh-CN"/>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w:t>
      </w:r>
      <w:r>
        <w:rPr>
          <w:rFonts w:hint="eastAsia" w:ascii="宋体" w:hAnsi="宋体" w:cs="宋体"/>
          <w:color w:val="auto"/>
          <w:kern w:val="0"/>
          <w:szCs w:val="21"/>
          <w:highlight w:val="none"/>
          <w:lang w:val="zh-CN"/>
        </w:rPr>
        <w:t>联合体各方不得再单独或与其他供应商组成新的联合体参加同一项目的采购活动。</w:t>
      </w:r>
    </w:p>
    <w:p>
      <w:pPr>
        <w:adjustRightInd w:val="0"/>
        <w:snapToGrid w:val="0"/>
        <w:spacing w:line="520" w:lineRule="exact"/>
        <w:rPr>
          <w:rFonts w:ascii="宋体" w:hAnsi="宋体"/>
          <w:b/>
          <w:color w:val="auto"/>
          <w:szCs w:val="21"/>
          <w:highlight w:val="none"/>
        </w:rPr>
      </w:pPr>
      <w:r>
        <w:rPr>
          <w:rFonts w:ascii="宋体" w:hAnsi="宋体"/>
          <w:b/>
          <w:color w:val="auto"/>
          <w:szCs w:val="21"/>
          <w:highlight w:val="none"/>
        </w:rPr>
        <w:t>7.</w:t>
      </w:r>
      <w:r>
        <w:rPr>
          <w:rFonts w:hint="eastAsia" w:ascii="宋体" w:hAnsi="宋体"/>
          <w:b/>
          <w:color w:val="auto"/>
          <w:szCs w:val="21"/>
          <w:highlight w:val="none"/>
        </w:rPr>
        <w:t>现场勘察</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供应商应按</w:t>
      </w:r>
      <w:r>
        <w:rPr>
          <w:rFonts w:hint="eastAsia" w:ascii="宋体" w:hAnsi="宋体"/>
          <w:b/>
          <w:color w:val="auto"/>
          <w:highlight w:val="none"/>
        </w:rPr>
        <w:t>磋商须知前附表</w:t>
      </w:r>
      <w:r>
        <w:rPr>
          <w:rFonts w:hint="eastAsia" w:ascii="宋体" w:hAnsi="宋体"/>
          <w:color w:val="auto"/>
          <w:highlight w:val="none"/>
        </w:rPr>
        <w:t>中规定</w:t>
      </w:r>
      <w:r>
        <w:rPr>
          <w:rFonts w:hint="eastAsia" w:ascii="宋体" w:hAnsi="宋体"/>
          <w:color w:val="auto"/>
          <w:szCs w:val="21"/>
          <w:highlight w:val="none"/>
        </w:rPr>
        <w:t>对采购项目现场和周围环境的现场考察。</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7.2</w:t>
      </w:r>
      <w:r>
        <w:rPr>
          <w:rFonts w:hint="eastAsia" w:ascii="宋体" w:hAnsi="宋体"/>
          <w:color w:val="auto"/>
          <w:szCs w:val="21"/>
          <w:highlight w:val="none"/>
        </w:rPr>
        <w:t>勘察现场的费用由供应商自己承担，勘察期间所发生的人身伤害及财产损失由供应商自己负责。</w:t>
      </w:r>
    </w:p>
    <w:p>
      <w:pPr>
        <w:adjustRightInd w:val="0"/>
        <w:snapToGrid w:val="0"/>
        <w:spacing w:line="520" w:lineRule="exact"/>
        <w:ind w:firstLine="420" w:firstLineChars="200"/>
        <w:jc w:val="left"/>
        <w:rPr>
          <w:rFonts w:ascii="宋体" w:hAnsi="宋体"/>
          <w:b/>
          <w:color w:val="auto"/>
          <w:szCs w:val="21"/>
          <w:highlight w:val="none"/>
        </w:rPr>
      </w:pPr>
      <w:r>
        <w:rPr>
          <w:rFonts w:ascii="宋体" w:hAnsi="宋体"/>
          <w:color w:val="auto"/>
          <w:szCs w:val="21"/>
          <w:highlight w:val="none"/>
        </w:rPr>
        <w:t>7.3</w:t>
      </w:r>
      <w:r>
        <w:rPr>
          <w:rFonts w:hint="eastAsia" w:ascii="宋体" w:hAnsi="宋体"/>
          <w:color w:val="auto"/>
          <w:szCs w:val="21"/>
          <w:highlight w:val="none"/>
        </w:rPr>
        <w:t>采购人不对供应商据此而做出的推论、理解和结论负责。一旦成交，供应商不得以任何借口，提出额外补偿，或延长合同期限的要求。</w:t>
      </w:r>
    </w:p>
    <w:p>
      <w:pPr>
        <w:adjustRightInd w:val="0"/>
        <w:snapToGrid w:val="0"/>
        <w:spacing w:line="520" w:lineRule="exact"/>
        <w:jc w:val="left"/>
        <w:rPr>
          <w:rFonts w:ascii="宋体" w:hAnsi="宋体"/>
          <w:b/>
          <w:color w:val="auto"/>
          <w:szCs w:val="21"/>
          <w:highlight w:val="none"/>
        </w:rPr>
      </w:pPr>
      <w:r>
        <w:rPr>
          <w:rFonts w:ascii="宋体" w:hAnsi="宋体"/>
          <w:b/>
          <w:color w:val="auto"/>
          <w:szCs w:val="21"/>
          <w:highlight w:val="none"/>
        </w:rPr>
        <w:t>8.</w:t>
      </w:r>
      <w:r>
        <w:rPr>
          <w:rFonts w:hint="eastAsia" w:ascii="宋体" w:hAnsi="宋体"/>
          <w:b/>
          <w:color w:val="auto"/>
          <w:szCs w:val="21"/>
          <w:highlight w:val="none"/>
        </w:rPr>
        <w:t>采购进口产品</w:t>
      </w:r>
    </w:p>
    <w:p>
      <w:pPr>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color w:val="auto"/>
          <w:szCs w:val="21"/>
          <w:highlight w:val="none"/>
        </w:rPr>
        <w:t>8.1</w:t>
      </w:r>
      <w:r>
        <w:rPr>
          <w:rFonts w:hint="eastAsia" w:ascii="宋体" w:hAnsi="宋体"/>
          <w:color w:val="auto"/>
          <w:szCs w:val="21"/>
          <w:highlight w:val="none"/>
        </w:rPr>
        <w:t>除</w:t>
      </w:r>
      <w:r>
        <w:rPr>
          <w:rFonts w:hint="eastAsia" w:ascii="宋体" w:hAnsi="宋体"/>
          <w:b/>
          <w:color w:val="auto"/>
          <w:szCs w:val="21"/>
          <w:highlight w:val="none"/>
        </w:rPr>
        <w:t>磋商文件前附表</w:t>
      </w:r>
      <w:r>
        <w:rPr>
          <w:rFonts w:hint="eastAsia" w:ascii="宋体" w:hAnsi="宋体"/>
          <w:color w:val="auto"/>
          <w:szCs w:val="21"/>
          <w:highlight w:val="none"/>
        </w:rPr>
        <w:t>另有规定外，本项目</w:t>
      </w:r>
      <w:r>
        <w:rPr>
          <w:rFonts w:hint="eastAsia" w:ascii="宋体" w:hAnsi="宋体" w:cs="宋体"/>
          <w:color w:val="auto"/>
          <w:kern w:val="0"/>
          <w:szCs w:val="21"/>
          <w:highlight w:val="none"/>
        </w:rPr>
        <w:t>拒绝进口产品参加</w:t>
      </w:r>
      <w:r>
        <w:rPr>
          <w:rFonts w:hint="eastAsia" w:ascii="宋体" w:hAnsi="宋体"/>
          <w:color w:val="auto"/>
          <w:szCs w:val="21"/>
          <w:highlight w:val="none"/>
        </w:rPr>
        <w:t>竞争性磋商采购活动</w:t>
      </w:r>
      <w:r>
        <w:rPr>
          <w:rFonts w:hint="eastAsia" w:ascii="宋体" w:hAnsi="宋体" w:cs="宋体"/>
          <w:color w:val="auto"/>
          <w:kern w:val="0"/>
          <w:szCs w:val="21"/>
          <w:highlight w:val="none"/>
        </w:rPr>
        <w:t>。</w:t>
      </w:r>
    </w:p>
    <w:p>
      <w:pPr>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8.2</w:t>
      </w:r>
      <w:r>
        <w:rPr>
          <w:rFonts w:hint="eastAsia" w:ascii="宋体" w:hAnsi="宋体"/>
          <w:color w:val="auto"/>
          <w:szCs w:val="21"/>
          <w:highlight w:val="none"/>
        </w:rPr>
        <w:t>本章第</w:t>
      </w:r>
      <w:r>
        <w:rPr>
          <w:rFonts w:ascii="宋体" w:hAnsi="宋体"/>
          <w:color w:val="auto"/>
          <w:szCs w:val="21"/>
          <w:highlight w:val="none"/>
        </w:rPr>
        <w:t>7.1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hint="eastAsia" w:ascii="宋体" w:hAnsi="宋体" w:cs="宋体"/>
          <w:color w:val="auto"/>
          <w:kern w:val="0"/>
          <w:szCs w:val="21"/>
          <w:highlight w:val="none"/>
        </w:rPr>
        <w:t>同意购买进口产品的，</w:t>
      </w:r>
      <w:r>
        <w:rPr>
          <w:rFonts w:hint="eastAsia" w:ascii="宋体" w:hAnsi="宋体"/>
          <w:color w:val="auto"/>
          <w:szCs w:val="21"/>
          <w:highlight w:val="none"/>
        </w:rPr>
        <w:t>本项目</w:t>
      </w:r>
      <w:r>
        <w:rPr>
          <w:rFonts w:hint="eastAsia" w:ascii="宋体" w:hAnsi="宋体" w:cs="宋体"/>
          <w:color w:val="auto"/>
          <w:kern w:val="0"/>
          <w:szCs w:val="21"/>
          <w:highlight w:val="none"/>
          <w:lang w:val="zh-CN"/>
        </w:rPr>
        <w:t>采购活动</w:t>
      </w:r>
      <w:r>
        <w:rPr>
          <w:rFonts w:hint="eastAsia" w:ascii="宋体" w:hAnsi="宋体" w:cs="宋体"/>
          <w:color w:val="auto"/>
          <w:kern w:val="0"/>
          <w:szCs w:val="21"/>
          <w:highlight w:val="none"/>
        </w:rPr>
        <w:t>不限制满足</w:t>
      </w:r>
      <w:r>
        <w:rPr>
          <w:rFonts w:hint="eastAsia" w:ascii="宋体" w:hAnsi="宋体"/>
          <w:color w:val="auto"/>
          <w:szCs w:val="21"/>
          <w:highlight w:val="none"/>
        </w:rPr>
        <w:t>磋商文件要求</w:t>
      </w:r>
      <w:r>
        <w:rPr>
          <w:rFonts w:hint="eastAsia" w:ascii="宋体" w:hAnsi="宋体" w:cs="宋体"/>
          <w:color w:val="auto"/>
          <w:kern w:val="0"/>
          <w:szCs w:val="21"/>
          <w:highlight w:val="none"/>
        </w:rPr>
        <w:t>的国内产品参与</w:t>
      </w:r>
      <w:r>
        <w:rPr>
          <w:rFonts w:hint="eastAsia" w:ascii="宋体" w:hAnsi="宋体"/>
          <w:color w:val="auto"/>
          <w:szCs w:val="21"/>
          <w:highlight w:val="none"/>
        </w:rPr>
        <w:t>竞争性磋商</w:t>
      </w:r>
      <w:r>
        <w:rPr>
          <w:rFonts w:hint="eastAsia" w:ascii="宋体" w:hAnsi="宋体" w:cs="宋体"/>
          <w:color w:val="auto"/>
          <w:kern w:val="0"/>
          <w:szCs w:val="21"/>
          <w:highlight w:val="none"/>
        </w:rPr>
        <w:t>。</w:t>
      </w:r>
    </w:p>
    <w:p>
      <w:pPr>
        <w:adjustRightInd w:val="0"/>
        <w:snapToGrid w:val="0"/>
        <w:spacing w:line="520" w:lineRule="exact"/>
        <w:jc w:val="left"/>
        <w:rPr>
          <w:rFonts w:ascii="宋体" w:hAnsi="宋体"/>
          <w:b/>
          <w:color w:val="auto"/>
          <w:szCs w:val="21"/>
          <w:highlight w:val="none"/>
        </w:rPr>
      </w:pPr>
      <w:r>
        <w:rPr>
          <w:rFonts w:ascii="宋体" w:hAnsi="宋体"/>
          <w:b/>
          <w:bCs/>
          <w:color w:val="auto"/>
          <w:szCs w:val="21"/>
          <w:highlight w:val="none"/>
        </w:rPr>
        <w:t>9.</w:t>
      </w:r>
      <w:r>
        <w:rPr>
          <w:rFonts w:ascii="宋体" w:hAnsi="宋体"/>
          <w:b/>
          <w:color w:val="auto"/>
          <w:szCs w:val="21"/>
          <w:highlight w:val="none"/>
        </w:rPr>
        <w:t xml:space="preserve"> </w:t>
      </w:r>
      <w:r>
        <w:rPr>
          <w:rFonts w:hint="eastAsia" w:ascii="宋体" w:hAnsi="宋体"/>
          <w:b/>
          <w:color w:val="auto"/>
          <w:szCs w:val="21"/>
          <w:highlight w:val="none"/>
        </w:rPr>
        <w:t>政府采购政策支持</w:t>
      </w:r>
    </w:p>
    <w:p>
      <w:pPr>
        <w:adjustRightInd w:val="0"/>
        <w:snapToGrid w:val="0"/>
        <w:spacing w:line="520" w:lineRule="exact"/>
        <w:ind w:firstLine="420" w:firstLineChars="200"/>
        <w:rPr>
          <w:rFonts w:ascii="宋体" w:hAnsi="宋体" w:cs="宋体"/>
          <w:color w:val="auto"/>
          <w:kern w:val="0"/>
          <w:szCs w:val="21"/>
          <w:highlight w:val="none"/>
        </w:rPr>
      </w:pPr>
      <w:r>
        <w:rPr>
          <w:rFonts w:ascii="宋体" w:hAnsi="宋体" w:cs="宋体"/>
          <w:color w:val="auto"/>
          <w:kern w:val="0"/>
          <w:szCs w:val="21"/>
          <w:highlight w:val="none"/>
        </w:rPr>
        <w:t>9.1</w:t>
      </w:r>
      <w:r>
        <w:rPr>
          <w:rFonts w:hint="eastAsia" w:ascii="宋体" w:hAnsi="宋体" w:cs="宋体"/>
          <w:color w:val="auto"/>
          <w:kern w:val="0"/>
          <w:szCs w:val="21"/>
          <w:highlight w:val="none"/>
        </w:rPr>
        <w:t>对列入财政部、国家发展改革委发布的《节能产品政府采购清单》且属于应当“强制采购的节能产品”，按照规定实行强制采购。实行政府采购强制采购的节能产品见</w:t>
      </w:r>
      <w:r>
        <w:rPr>
          <w:rFonts w:hint="eastAsia" w:ascii="宋体" w:hAnsi="宋体" w:cs="宋体"/>
          <w:b/>
          <w:color w:val="auto"/>
          <w:kern w:val="0"/>
          <w:szCs w:val="21"/>
          <w:highlight w:val="none"/>
        </w:rPr>
        <w:t>磋商文件前附表。</w:t>
      </w:r>
    </w:p>
    <w:p>
      <w:pPr>
        <w:adjustRightInd w:val="0"/>
        <w:snapToGrid w:val="0"/>
        <w:spacing w:line="520" w:lineRule="exact"/>
        <w:ind w:firstLine="420" w:firstLineChars="200"/>
        <w:rPr>
          <w:rFonts w:ascii="宋体" w:hAnsi="宋体"/>
          <w:color w:val="auto"/>
          <w:highlight w:val="none"/>
        </w:rPr>
      </w:pPr>
      <w:r>
        <w:rPr>
          <w:rFonts w:ascii="宋体" w:hAnsi="宋体" w:cs="宋体"/>
          <w:color w:val="auto"/>
          <w:highlight w:val="none"/>
        </w:rPr>
        <w:t>9.2</w:t>
      </w:r>
      <w:r>
        <w:rPr>
          <w:rFonts w:hint="eastAsia" w:ascii="宋体" w:hAnsi="宋体" w:cs="宋体"/>
          <w:color w:val="auto"/>
          <w:highlight w:val="none"/>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的“两型产品”以及中小企业、</w:t>
      </w:r>
      <w:r>
        <w:rPr>
          <w:rFonts w:hint="eastAsia" w:ascii="宋体" w:hAnsi="宋体"/>
          <w:color w:val="auto"/>
          <w:highlight w:val="none"/>
        </w:rPr>
        <w:t>监狱企业、残疾人福利性单位</w:t>
      </w:r>
      <w:r>
        <w:rPr>
          <w:rFonts w:hint="eastAsia" w:ascii="宋体" w:hAnsi="宋体" w:cs="宋体"/>
          <w:color w:val="auto"/>
          <w:highlight w:val="none"/>
        </w:rPr>
        <w:t>，实行优先采购，按照省级以上财政部门有关政策规定，评审时进行价格扣除或加分。实行政府采购优先采购的优惠率见</w:t>
      </w:r>
      <w:r>
        <w:rPr>
          <w:rFonts w:hint="eastAsia" w:ascii="宋体" w:hAnsi="宋体" w:cs="宋体"/>
          <w:b/>
          <w:color w:val="auto"/>
          <w:highlight w:val="none"/>
        </w:rPr>
        <w:t>磋商文件前附表。</w:t>
      </w:r>
    </w:p>
    <w:p>
      <w:pPr>
        <w:adjustRightInd w:val="0"/>
        <w:snapToGrid w:val="0"/>
        <w:spacing w:line="520" w:lineRule="exact"/>
        <w:ind w:firstLine="420" w:firstLineChars="200"/>
        <w:rPr>
          <w:rFonts w:ascii="宋体" w:hAnsi="宋体" w:cs="宋体"/>
          <w:color w:val="auto"/>
          <w:kern w:val="0"/>
          <w:szCs w:val="21"/>
          <w:highlight w:val="none"/>
        </w:rPr>
      </w:pPr>
      <w:r>
        <w:rPr>
          <w:rFonts w:ascii="宋体" w:hAnsi="宋体" w:cs="宋体"/>
          <w:color w:val="auto"/>
          <w:kern w:val="0"/>
          <w:szCs w:val="21"/>
          <w:highlight w:val="none"/>
        </w:rPr>
        <w:t>9.3</w:t>
      </w:r>
      <w:r>
        <w:rPr>
          <w:rFonts w:hint="eastAsia" w:ascii="宋体" w:hAnsi="宋体" w:cs="宋体"/>
          <w:color w:val="auto"/>
          <w:kern w:val="0"/>
          <w:szCs w:val="21"/>
          <w:highlight w:val="none"/>
        </w:rPr>
        <w:t>产品同时属于“非强制采购节能产品”、“环境标志产品”及“两型产品”的，评审时只有其中一项能享受优先待遇</w:t>
      </w:r>
      <w:r>
        <w:rPr>
          <w:rFonts w:ascii="宋体" w:hAnsi="宋体" w:cs="宋体"/>
          <w:color w:val="auto"/>
          <w:kern w:val="0"/>
          <w:szCs w:val="21"/>
          <w:highlight w:val="none"/>
        </w:rPr>
        <w:t>(</w:t>
      </w:r>
      <w:r>
        <w:rPr>
          <w:rFonts w:hint="eastAsia" w:ascii="宋体" w:hAnsi="宋体" w:cs="宋体"/>
          <w:color w:val="auto"/>
          <w:kern w:val="0"/>
          <w:szCs w:val="21"/>
          <w:highlight w:val="none"/>
        </w:rPr>
        <w:t>供应商自行选择，并在报价文件中并填报相关信息及数据</w:t>
      </w:r>
      <w:r>
        <w:rPr>
          <w:rFonts w:ascii="宋体" w:hAnsi="宋体" w:cs="宋体"/>
          <w:color w:val="auto"/>
          <w:kern w:val="0"/>
          <w:szCs w:val="21"/>
          <w:highlight w:val="none"/>
        </w:rPr>
        <w:t>)</w:t>
      </w:r>
      <w:r>
        <w:rPr>
          <w:rFonts w:hint="eastAsia" w:ascii="宋体" w:hAnsi="宋体" w:cs="宋体"/>
          <w:color w:val="auto"/>
          <w:kern w:val="0"/>
          <w:szCs w:val="21"/>
          <w:highlight w:val="none"/>
        </w:rPr>
        <w:t>；中小企业可以与同时属于“非强制采购节能产品”、“环境标志产品”及“两型产品”中的一项重复计算。</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9.4</w:t>
      </w:r>
      <w:r>
        <w:rPr>
          <w:rFonts w:hint="eastAsia" w:ascii="宋体" w:hAnsi="宋体"/>
          <w:color w:val="auto"/>
          <w:szCs w:val="21"/>
          <w:highlight w:val="none"/>
        </w:rPr>
        <w:t>同一项目中部分产品属于优先采购政策的，评审时只对该部分产品的报价实行价格扣除及加分。</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9.5</w:t>
      </w:r>
      <w:r>
        <w:rPr>
          <w:rFonts w:hint="eastAsia" w:ascii="宋体" w:hAnsi="宋体"/>
          <w:color w:val="auto"/>
          <w:szCs w:val="21"/>
          <w:highlight w:val="none"/>
        </w:rPr>
        <w:t>符合本章第</w:t>
      </w:r>
      <w:r>
        <w:rPr>
          <w:rFonts w:ascii="宋体" w:hAnsi="宋体"/>
          <w:color w:val="auto"/>
          <w:szCs w:val="21"/>
          <w:highlight w:val="none"/>
        </w:rPr>
        <w:t>9.1</w:t>
      </w:r>
      <w:r>
        <w:rPr>
          <w:rFonts w:hint="eastAsia" w:ascii="宋体" w:hAnsi="宋体" w:cs="宋体"/>
          <w:color w:val="auto"/>
          <w:kern w:val="0"/>
          <w:szCs w:val="21"/>
          <w:highlight w:val="none"/>
          <w:lang w:val="zh-CN"/>
        </w:rPr>
        <w:t>款、</w:t>
      </w:r>
      <w:r>
        <w:rPr>
          <w:rFonts w:hint="eastAsia" w:ascii="宋体" w:hAnsi="宋体"/>
          <w:color w:val="auto"/>
          <w:szCs w:val="21"/>
          <w:highlight w:val="none"/>
        </w:rPr>
        <w:t>第</w:t>
      </w:r>
      <w:r>
        <w:rPr>
          <w:rFonts w:ascii="宋体" w:hAnsi="宋体"/>
          <w:color w:val="auto"/>
          <w:szCs w:val="21"/>
          <w:highlight w:val="none"/>
        </w:rPr>
        <w:t>9.2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规定的，应提供相关证明资料。</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9.6</w:t>
      </w:r>
      <w:r>
        <w:rPr>
          <w:rFonts w:hint="eastAsia" w:ascii="宋体" w:hAnsi="宋体"/>
          <w:color w:val="auto"/>
          <w:szCs w:val="21"/>
          <w:highlight w:val="none"/>
        </w:rPr>
        <w:t>供应商有融资、担保需求的，具体办理流程可向</w:t>
      </w:r>
      <w:r>
        <w:rPr>
          <w:rFonts w:hint="eastAsia" w:ascii="宋体" w:hAnsi="宋体"/>
          <w:b/>
          <w:color w:val="auto"/>
          <w:szCs w:val="21"/>
          <w:highlight w:val="none"/>
        </w:rPr>
        <w:t>磋商须知前附表</w:t>
      </w:r>
      <w:r>
        <w:rPr>
          <w:rFonts w:hint="eastAsia" w:ascii="宋体" w:hAnsi="宋体"/>
          <w:color w:val="auto"/>
          <w:szCs w:val="21"/>
          <w:highlight w:val="none"/>
        </w:rPr>
        <w:t>所列金融机构和担保机构询问。</w:t>
      </w:r>
    </w:p>
    <w:p>
      <w:pPr>
        <w:adjustRightInd w:val="0"/>
        <w:snapToGrid w:val="0"/>
        <w:spacing w:line="520" w:lineRule="exact"/>
        <w:ind w:left="902" w:hanging="902" w:hangingChars="376"/>
        <w:rPr>
          <w:rFonts w:ascii="宋体" w:hAnsi="宋体"/>
          <w:color w:val="auto"/>
          <w:sz w:val="24"/>
          <w:highlight w:val="none"/>
        </w:rPr>
      </w:pPr>
      <w:r>
        <w:rPr>
          <w:rFonts w:hint="eastAsia" w:ascii="宋体" w:hAnsi="宋体"/>
          <w:color w:val="auto"/>
          <w:sz w:val="24"/>
          <w:highlight w:val="none"/>
        </w:rPr>
        <w:t>二、磋商文件</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10</w:t>
      </w:r>
      <w:r>
        <w:rPr>
          <w:rFonts w:hint="eastAsia" w:ascii="宋体" w:hAnsi="宋体"/>
          <w:b/>
          <w:bCs/>
          <w:color w:val="auto"/>
          <w:szCs w:val="21"/>
          <w:highlight w:val="none"/>
        </w:rPr>
        <w:t>．磋商文件的组成</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10.1 </w:t>
      </w:r>
      <w:r>
        <w:rPr>
          <w:rFonts w:hint="eastAsia" w:ascii="宋体" w:hAnsi="宋体"/>
          <w:color w:val="auto"/>
          <w:highlight w:val="none"/>
        </w:rPr>
        <w:t>磋商文件由下列文件组成：</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rPr>
        <w:t>磋商邀请</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xml:space="preserve"> </w:t>
      </w:r>
      <w:r>
        <w:rPr>
          <w:rFonts w:hint="eastAsia" w:ascii="宋体" w:hAnsi="宋体"/>
          <w:color w:val="auto"/>
          <w:highlight w:val="none"/>
        </w:rPr>
        <w:t>磋商须知</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xml:space="preserve"> </w:t>
      </w:r>
      <w:r>
        <w:rPr>
          <w:rFonts w:hint="eastAsia" w:ascii="宋体" w:hAnsi="宋体"/>
          <w:color w:val="auto"/>
          <w:highlight w:val="none"/>
        </w:rPr>
        <w:t>政府采购合同格式条款</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第四章</w:t>
      </w:r>
      <w:r>
        <w:rPr>
          <w:rFonts w:ascii="宋体" w:hAnsi="宋体"/>
          <w:color w:val="auto"/>
          <w:highlight w:val="none"/>
        </w:rPr>
        <w:t xml:space="preserve"> </w:t>
      </w:r>
      <w:r>
        <w:rPr>
          <w:rFonts w:hint="eastAsia" w:ascii="宋体" w:hAnsi="宋体"/>
          <w:color w:val="auto"/>
          <w:highlight w:val="none"/>
        </w:rPr>
        <w:t>采购需求</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响应文件组成</w:t>
      </w:r>
    </w:p>
    <w:p>
      <w:pPr>
        <w:adjustRightInd w:val="0"/>
        <w:snapToGrid w:val="0"/>
        <w:spacing w:line="520" w:lineRule="exact"/>
        <w:ind w:firstLine="420" w:firstLineChars="200"/>
        <w:rPr>
          <w:rFonts w:ascii="宋体" w:hAnsi="宋体" w:cs="宋体"/>
          <w:color w:val="auto"/>
          <w:highlight w:val="none"/>
        </w:rPr>
      </w:pPr>
      <w:r>
        <w:rPr>
          <w:rFonts w:ascii="宋体" w:hAnsi="宋体"/>
          <w:color w:val="auto"/>
          <w:highlight w:val="none"/>
        </w:rPr>
        <w:t>10.2</w:t>
      </w:r>
      <w:r>
        <w:rPr>
          <w:rFonts w:hint="eastAsia" w:ascii="宋体" w:hAnsi="宋体" w:cs="宋体"/>
          <w:color w:val="auto"/>
          <w:highlight w:val="none"/>
        </w:rPr>
        <w:t>磋商小组根据与供应商磋商情况可能实质性变动的内容，包括采购需求中的技术、服务要求以及合同条款，</w:t>
      </w:r>
      <w:r>
        <w:rPr>
          <w:rFonts w:hint="eastAsia" w:ascii="宋体" w:hAnsi="宋体"/>
          <w:color w:val="auto"/>
          <w:highlight w:val="none"/>
        </w:rPr>
        <w:t>在</w:t>
      </w:r>
      <w:r>
        <w:rPr>
          <w:rFonts w:hint="eastAsia" w:ascii="宋体" w:hAnsi="宋体"/>
          <w:b/>
          <w:color w:val="auto"/>
          <w:highlight w:val="none"/>
        </w:rPr>
        <w:t>磋商须知前附表</w:t>
      </w:r>
      <w:r>
        <w:rPr>
          <w:rFonts w:hint="eastAsia" w:ascii="宋体" w:hAnsi="宋体"/>
          <w:color w:val="auto"/>
          <w:highlight w:val="none"/>
        </w:rPr>
        <w:t>中明确。</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highlight w:val="none"/>
        </w:rPr>
        <w:t>10.3</w:t>
      </w:r>
      <w:r>
        <w:rPr>
          <w:rFonts w:hint="eastAsia" w:ascii="宋体" w:hAnsi="宋体"/>
          <w:color w:val="auto"/>
          <w:szCs w:val="21"/>
          <w:highlight w:val="none"/>
        </w:rPr>
        <w:t>供应商应仔细阅读</w:t>
      </w:r>
      <w:r>
        <w:rPr>
          <w:rFonts w:hint="eastAsia" w:ascii="宋体" w:hAnsi="宋体"/>
          <w:bCs/>
          <w:color w:val="auto"/>
          <w:szCs w:val="21"/>
          <w:highlight w:val="none"/>
        </w:rPr>
        <w:t>磋商</w:t>
      </w:r>
      <w:r>
        <w:rPr>
          <w:rFonts w:hint="eastAsia" w:ascii="宋体" w:hAnsi="宋体"/>
          <w:color w:val="auto"/>
          <w:szCs w:val="21"/>
          <w:highlight w:val="none"/>
        </w:rPr>
        <w:t>文件的全部内容，按照</w:t>
      </w:r>
      <w:r>
        <w:rPr>
          <w:rFonts w:hint="eastAsia" w:ascii="宋体" w:hAnsi="宋体"/>
          <w:bCs/>
          <w:color w:val="auto"/>
          <w:szCs w:val="21"/>
          <w:highlight w:val="none"/>
        </w:rPr>
        <w:t>磋商</w:t>
      </w:r>
      <w:r>
        <w:rPr>
          <w:rFonts w:hint="eastAsia" w:ascii="宋体" w:hAnsi="宋体"/>
          <w:color w:val="auto"/>
          <w:szCs w:val="21"/>
          <w:highlight w:val="none"/>
        </w:rPr>
        <w:t>文件要求编制响应文件。任何对</w:t>
      </w:r>
      <w:r>
        <w:rPr>
          <w:rFonts w:hint="eastAsia" w:ascii="宋体" w:hAnsi="宋体"/>
          <w:bCs/>
          <w:color w:val="auto"/>
          <w:szCs w:val="21"/>
          <w:highlight w:val="none"/>
        </w:rPr>
        <w:t>磋商</w:t>
      </w:r>
      <w:r>
        <w:rPr>
          <w:rFonts w:hint="eastAsia" w:ascii="宋体" w:hAnsi="宋体"/>
          <w:color w:val="auto"/>
          <w:szCs w:val="21"/>
          <w:highlight w:val="none"/>
        </w:rPr>
        <w:t>文件的忽略或误解不能作为响应文件存在缺陷或瑕疵的理由，其风险由供应商承担。</w:t>
      </w:r>
    </w:p>
    <w:p>
      <w:pPr>
        <w:adjustRightInd w:val="0"/>
        <w:snapToGrid w:val="0"/>
        <w:spacing w:line="520" w:lineRule="exact"/>
        <w:rPr>
          <w:rFonts w:ascii="宋体" w:hAnsi="宋体"/>
          <w:b/>
          <w:color w:val="auto"/>
          <w:szCs w:val="21"/>
          <w:highlight w:val="none"/>
        </w:rPr>
      </w:pPr>
      <w:r>
        <w:rPr>
          <w:rFonts w:ascii="宋体" w:hAnsi="宋体"/>
          <w:b/>
          <w:color w:val="auto"/>
          <w:szCs w:val="21"/>
          <w:highlight w:val="none"/>
        </w:rPr>
        <w:t>11.</w:t>
      </w:r>
      <w:r>
        <w:rPr>
          <w:rFonts w:ascii="宋体" w:hAnsi="宋体"/>
          <w:b/>
          <w:color w:val="auto"/>
          <w:highlight w:val="none"/>
        </w:rPr>
        <w:t xml:space="preserve"> </w:t>
      </w:r>
      <w:r>
        <w:rPr>
          <w:rFonts w:hint="eastAsia" w:ascii="宋体" w:hAnsi="宋体"/>
          <w:b/>
          <w:color w:val="auto"/>
          <w:szCs w:val="21"/>
          <w:highlight w:val="none"/>
        </w:rPr>
        <w:t>磋商文件的提供期限</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磋商文件的提供期限自开始发出之日起不得少于五个工作日。具体提供期限见</w:t>
      </w:r>
      <w:r>
        <w:rPr>
          <w:rFonts w:hint="eastAsia" w:ascii="宋体" w:hAnsi="宋体"/>
          <w:b/>
          <w:color w:val="auto"/>
          <w:szCs w:val="21"/>
          <w:highlight w:val="none"/>
        </w:rPr>
        <w:t>磋商文件前附表</w:t>
      </w:r>
      <w:r>
        <w:rPr>
          <w:rFonts w:hint="eastAsia" w:ascii="宋体" w:hAnsi="宋体"/>
          <w:color w:val="auto"/>
          <w:szCs w:val="21"/>
          <w:highlight w:val="none"/>
        </w:rPr>
        <w:t>。</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11.2</w:t>
      </w:r>
      <w:r>
        <w:rPr>
          <w:rFonts w:hint="eastAsia" w:ascii="宋体" w:hAnsi="宋体"/>
          <w:color w:val="auto"/>
          <w:szCs w:val="21"/>
          <w:highlight w:val="none"/>
        </w:rPr>
        <w:t>供应商应持</w:t>
      </w:r>
      <w:r>
        <w:rPr>
          <w:rFonts w:hint="eastAsia" w:ascii="宋体" w:hAnsi="宋体"/>
          <w:b/>
          <w:color w:val="auto"/>
          <w:szCs w:val="21"/>
          <w:highlight w:val="none"/>
        </w:rPr>
        <w:t>磋商文件前附表</w:t>
      </w:r>
      <w:r>
        <w:rPr>
          <w:rFonts w:hint="eastAsia" w:ascii="宋体" w:hAnsi="宋体"/>
          <w:color w:val="auto"/>
          <w:szCs w:val="21"/>
          <w:highlight w:val="none"/>
        </w:rPr>
        <w:t>规定的资料领取或购买磋商文件。</w:t>
      </w:r>
    </w:p>
    <w:p>
      <w:pPr>
        <w:adjustRightInd w:val="0"/>
        <w:snapToGrid w:val="0"/>
        <w:spacing w:line="520" w:lineRule="exact"/>
        <w:rPr>
          <w:rFonts w:ascii="宋体" w:hAnsi="宋体"/>
          <w:color w:val="auto"/>
          <w:highlight w:val="none"/>
        </w:rPr>
      </w:pPr>
      <w:r>
        <w:rPr>
          <w:rFonts w:ascii="宋体" w:hAnsi="宋体"/>
          <w:b/>
          <w:color w:val="auto"/>
          <w:highlight w:val="none"/>
        </w:rPr>
        <w:t>12.</w:t>
      </w:r>
      <w:r>
        <w:rPr>
          <w:rFonts w:hint="eastAsia" w:ascii="宋体" w:hAnsi="宋体" w:cs="宋体"/>
          <w:b/>
          <w:color w:val="auto"/>
          <w:highlight w:val="none"/>
        </w:rPr>
        <w:t>提交首次响应文件</w:t>
      </w:r>
      <w:r>
        <w:rPr>
          <w:rFonts w:hint="eastAsia" w:ascii="宋体" w:hAnsi="宋体"/>
          <w:b/>
          <w:color w:val="auto"/>
          <w:highlight w:val="none"/>
        </w:rPr>
        <w:t>的</w:t>
      </w:r>
      <w:r>
        <w:rPr>
          <w:rFonts w:hint="eastAsia" w:ascii="宋体" w:hAnsi="宋体" w:cs="宋体"/>
          <w:b/>
          <w:color w:val="auto"/>
          <w:highlight w:val="none"/>
        </w:rPr>
        <w:t>截止</w:t>
      </w:r>
      <w:r>
        <w:rPr>
          <w:rFonts w:hint="eastAsia" w:ascii="宋体" w:hAnsi="宋体"/>
          <w:b/>
          <w:color w:val="auto"/>
          <w:highlight w:val="none"/>
        </w:rPr>
        <w:t>时间</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12.1</w:t>
      </w:r>
      <w:r>
        <w:rPr>
          <w:rFonts w:hint="eastAsia" w:ascii="宋体" w:hAnsi="宋体" w:cs="宋体"/>
          <w:color w:val="auto"/>
          <w:highlight w:val="none"/>
        </w:rPr>
        <w:t>供应商提交首次响应文件截止</w:t>
      </w:r>
      <w:r>
        <w:rPr>
          <w:rFonts w:hint="eastAsia" w:ascii="宋体" w:hAnsi="宋体"/>
          <w:color w:val="auto"/>
          <w:highlight w:val="none"/>
        </w:rPr>
        <w:t>时间见</w:t>
      </w:r>
      <w:r>
        <w:rPr>
          <w:rFonts w:hint="eastAsia" w:ascii="宋体" w:hAnsi="宋体"/>
          <w:b/>
          <w:color w:val="auto"/>
          <w:highlight w:val="none"/>
        </w:rPr>
        <w:t>磋商须知前附表</w:t>
      </w:r>
      <w:r>
        <w:rPr>
          <w:rFonts w:hint="eastAsia" w:ascii="宋体" w:hAnsi="宋体"/>
          <w:color w:val="auto"/>
          <w:highlight w:val="none"/>
        </w:rPr>
        <w:t>。</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13.</w:t>
      </w:r>
      <w:r>
        <w:rPr>
          <w:rFonts w:hint="eastAsia" w:ascii="宋体" w:hAnsi="宋体"/>
          <w:b/>
          <w:bCs/>
          <w:color w:val="auto"/>
          <w:szCs w:val="21"/>
          <w:highlight w:val="none"/>
        </w:rPr>
        <w:t>磋商文件的澄清</w:t>
      </w:r>
      <w:r>
        <w:rPr>
          <w:rFonts w:hint="eastAsia" w:ascii="宋体" w:hAnsi="宋体"/>
          <w:b/>
          <w:color w:val="auto"/>
          <w:kern w:val="0"/>
          <w:szCs w:val="21"/>
          <w:highlight w:val="none"/>
          <w:lang w:val="zh-CN"/>
        </w:rPr>
        <w:t>或者</w:t>
      </w:r>
      <w:r>
        <w:rPr>
          <w:rFonts w:hint="eastAsia" w:ascii="宋体" w:hAnsi="宋体"/>
          <w:b/>
          <w:bCs/>
          <w:color w:val="auto"/>
          <w:szCs w:val="21"/>
          <w:highlight w:val="none"/>
        </w:rPr>
        <w:t>修改</w:t>
      </w:r>
    </w:p>
    <w:p>
      <w:pPr>
        <w:adjustRightInd w:val="0"/>
        <w:snapToGrid w:val="0"/>
        <w:spacing w:line="520" w:lineRule="exact"/>
        <w:ind w:right="-105" w:rightChars="-50" w:firstLine="420" w:firstLineChars="200"/>
        <w:rPr>
          <w:rFonts w:ascii="宋体" w:hAnsi="宋体" w:cs="宋体"/>
          <w:color w:val="auto"/>
          <w:kern w:val="0"/>
          <w:szCs w:val="21"/>
          <w:highlight w:val="none"/>
        </w:rPr>
      </w:pPr>
      <w:r>
        <w:rPr>
          <w:rFonts w:ascii="宋体" w:hAnsi="宋体"/>
          <w:color w:val="auto"/>
          <w:szCs w:val="21"/>
          <w:highlight w:val="none"/>
        </w:rPr>
        <w:t>13.1</w:t>
      </w:r>
      <w:r>
        <w:rPr>
          <w:rFonts w:hint="eastAsia" w:ascii="宋体" w:hAnsi="宋体"/>
          <w:color w:val="auto"/>
          <w:szCs w:val="21"/>
          <w:highlight w:val="none"/>
        </w:rPr>
        <w:t>在</w:t>
      </w:r>
      <w:r>
        <w:rPr>
          <w:rFonts w:hint="eastAsia" w:ascii="宋体" w:hAnsi="宋体" w:cs="宋体"/>
          <w:color w:val="auto"/>
          <w:kern w:val="0"/>
          <w:szCs w:val="21"/>
          <w:highlight w:val="none"/>
        </w:rPr>
        <w:t>提交首次响应文件截止之日前，采购人、采购代理机构可以对已发出的磋商文件进行必要的澄清或者修改。</w:t>
      </w:r>
      <w:r>
        <w:rPr>
          <w:rFonts w:ascii="宋体" w:hAnsi="宋体" w:cs="宋体"/>
          <w:color w:val="auto"/>
          <w:kern w:val="0"/>
          <w:szCs w:val="21"/>
          <w:highlight w:val="none"/>
        </w:rPr>
        <w:t xml:space="preserve"> </w:t>
      </w:r>
    </w:p>
    <w:p>
      <w:pPr>
        <w:adjustRightInd w:val="0"/>
        <w:snapToGrid w:val="0"/>
        <w:spacing w:line="520" w:lineRule="exact"/>
        <w:ind w:right="-105" w:rightChars="-50" w:firstLine="420" w:firstLineChars="200"/>
        <w:rPr>
          <w:rFonts w:ascii="宋体" w:hAnsi="宋体" w:cs="宋体"/>
          <w:color w:val="auto"/>
          <w:kern w:val="0"/>
          <w:szCs w:val="21"/>
          <w:highlight w:val="none"/>
        </w:rPr>
      </w:pPr>
      <w:r>
        <w:rPr>
          <w:rFonts w:ascii="宋体" w:hAnsi="宋体"/>
          <w:color w:val="auto"/>
          <w:szCs w:val="21"/>
          <w:highlight w:val="none"/>
        </w:rPr>
        <w:t>13.2</w:t>
      </w:r>
      <w:r>
        <w:rPr>
          <w:rFonts w:hint="eastAsia" w:ascii="宋体" w:hAnsi="宋体" w:cs="宋体"/>
          <w:color w:val="auto"/>
          <w:kern w:val="0"/>
          <w:szCs w:val="21"/>
          <w:highlight w:val="none"/>
        </w:rPr>
        <w:t>澄清或者修改的内容可能影响响应文件编制的，采购人、采购代理机构应当在提交首次响应文件截止之日</w:t>
      </w:r>
      <w:r>
        <w:rPr>
          <w:rFonts w:ascii="宋体" w:hAnsi="宋体" w:cs="宋体"/>
          <w:color w:val="auto"/>
          <w:kern w:val="0"/>
          <w:szCs w:val="21"/>
          <w:highlight w:val="none"/>
        </w:rPr>
        <w:t>3</w:t>
      </w:r>
      <w:r>
        <w:rPr>
          <w:rFonts w:hint="eastAsia" w:ascii="宋体" w:hAnsi="宋体" w:cs="宋体"/>
          <w:color w:val="auto"/>
          <w:kern w:val="0"/>
          <w:szCs w:val="21"/>
          <w:highlight w:val="none"/>
        </w:rPr>
        <w:t>个工作日前，以书面形式通知所有接收磋商文件的供应商，不足</w:t>
      </w:r>
      <w:r>
        <w:rPr>
          <w:rFonts w:ascii="宋体" w:hAnsi="宋体" w:cs="宋体"/>
          <w:color w:val="auto"/>
          <w:kern w:val="0"/>
          <w:szCs w:val="21"/>
          <w:highlight w:val="none"/>
        </w:rPr>
        <w:t>3</w:t>
      </w:r>
      <w:r>
        <w:rPr>
          <w:rFonts w:hint="eastAsia" w:ascii="宋体" w:hAnsi="宋体" w:cs="宋体"/>
          <w:color w:val="auto"/>
          <w:kern w:val="0"/>
          <w:szCs w:val="21"/>
          <w:highlight w:val="none"/>
        </w:rPr>
        <w:t>个工作日的，顺延供应商提交首次响应文件截止时间。</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13.2</w:t>
      </w:r>
      <w:r>
        <w:rPr>
          <w:rFonts w:hint="eastAsia" w:ascii="宋体" w:hAnsi="宋体" w:cs="宋体"/>
          <w:color w:val="auto"/>
          <w:highlight w:val="none"/>
        </w:rPr>
        <w:t>提交首次响应文件截止时间前对磋商文件澄清或者修改内容，为磋商文件的组成部分。</w:t>
      </w:r>
    </w:p>
    <w:p>
      <w:pPr>
        <w:adjustRightInd w:val="0"/>
        <w:snapToGrid w:val="0"/>
        <w:spacing w:line="520" w:lineRule="exact"/>
        <w:ind w:left="902" w:hanging="902" w:hangingChars="376"/>
        <w:rPr>
          <w:rFonts w:ascii="宋体" w:hAnsi="宋体"/>
          <w:color w:val="auto"/>
          <w:sz w:val="24"/>
          <w:highlight w:val="none"/>
        </w:rPr>
      </w:pPr>
      <w:r>
        <w:rPr>
          <w:rFonts w:hint="eastAsia" w:ascii="宋体" w:hAnsi="宋体"/>
          <w:color w:val="auto"/>
          <w:sz w:val="24"/>
          <w:highlight w:val="none"/>
        </w:rPr>
        <w:t>三、响应文件</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14.</w:t>
      </w:r>
      <w:r>
        <w:rPr>
          <w:rFonts w:hint="eastAsia" w:ascii="宋体" w:hAnsi="宋体"/>
          <w:b/>
          <w:bCs/>
          <w:color w:val="auto"/>
          <w:szCs w:val="21"/>
          <w:highlight w:val="none"/>
        </w:rPr>
        <w:t>一般要求</w:t>
      </w:r>
    </w:p>
    <w:p>
      <w:pPr>
        <w:adjustRightInd w:val="0"/>
        <w:snapToGrid w:val="0"/>
        <w:spacing w:line="520" w:lineRule="exact"/>
        <w:ind w:firstLine="420" w:firstLineChars="200"/>
        <w:rPr>
          <w:rFonts w:ascii="宋体" w:hAnsi="宋体"/>
          <w:bCs/>
          <w:color w:val="auto"/>
          <w:szCs w:val="21"/>
          <w:highlight w:val="none"/>
        </w:rPr>
      </w:pPr>
      <w:r>
        <w:rPr>
          <w:rFonts w:ascii="宋体" w:hAnsi="宋体"/>
          <w:bCs/>
          <w:color w:val="auto"/>
          <w:szCs w:val="21"/>
          <w:highlight w:val="none"/>
        </w:rPr>
        <w:t xml:space="preserve">14.1 </w:t>
      </w:r>
      <w:r>
        <w:rPr>
          <w:rFonts w:hint="eastAsia" w:ascii="宋体" w:hAnsi="宋体"/>
          <w:bCs/>
          <w:color w:val="auto"/>
          <w:szCs w:val="21"/>
          <w:highlight w:val="none"/>
        </w:rPr>
        <w:t>供应商应仔细阅读磋商文件的所有内容，按磋商文件的要求编制响应文件，并保证所提供的全部资料的真实性，以使其响应文件对磋商文件做出实质性的响应。</w:t>
      </w:r>
    </w:p>
    <w:p>
      <w:pPr>
        <w:adjustRightInd w:val="0"/>
        <w:snapToGrid w:val="0"/>
        <w:spacing w:line="520" w:lineRule="exact"/>
        <w:ind w:firstLine="420" w:firstLineChars="200"/>
        <w:rPr>
          <w:rFonts w:ascii="宋体" w:hAnsi="宋体"/>
          <w:bCs/>
          <w:color w:val="auto"/>
          <w:szCs w:val="21"/>
          <w:highlight w:val="none"/>
        </w:rPr>
      </w:pPr>
      <w:r>
        <w:rPr>
          <w:rFonts w:ascii="宋体" w:hAnsi="宋体"/>
          <w:bCs/>
          <w:color w:val="auto"/>
          <w:szCs w:val="21"/>
          <w:highlight w:val="none"/>
        </w:rPr>
        <w:t xml:space="preserve">14.2 </w:t>
      </w:r>
      <w:r>
        <w:rPr>
          <w:rFonts w:hint="eastAsia" w:ascii="宋体" w:hAnsi="宋体"/>
          <w:color w:val="auto"/>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adjustRightInd w:val="0"/>
        <w:snapToGrid w:val="0"/>
        <w:spacing w:line="520" w:lineRule="exact"/>
        <w:ind w:firstLine="420" w:firstLineChars="200"/>
        <w:rPr>
          <w:rFonts w:ascii="宋体" w:hAnsi="宋体"/>
          <w:color w:val="auto"/>
          <w:highlight w:val="none"/>
        </w:rPr>
      </w:pPr>
      <w:r>
        <w:rPr>
          <w:rFonts w:ascii="宋体" w:hAnsi="宋体"/>
          <w:bCs/>
          <w:color w:val="auto"/>
          <w:highlight w:val="none"/>
        </w:rPr>
        <w:t xml:space="preserve">14.3 </w:t>
      </w:r>
      <w:r>
        <w:rPr>
          <w:rFonts w:hint="eastAsia" w:ascii="宋体" w:hAnsi="宋体"/>
          <w:color w:val="auto"/>
          <w:highlight w:val="none"/>
        </w:rPr>
        <w:t>计量单位应使用我国法定计量单位，未列明时应默认为我国法定计量单位。</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14.4 </w:t>
      </w:r>
      <w:r>
        <w:rPr>
          <w:rFonts w:hint="eastAsia" w:ascii="宋体" w:hAnsi="宋体"/>
          <w:color w:val="auto"/>
          <w:highlight w:val="none"/>
        </w:rPr>
        <w:t>响应文件应采用书面形式，电报、传真、电子邮件形式的响应文件概不接受。</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14.5 </w:t>
      </w:r>
      <w:r>
        <w:rPr>
          <w:rFonts w:hint="eastAsia" w:ascii="宋体" w:hAnsi="宋体"/>
          <w:color w:val="auto"/>
          <w:szCs w:val="21"/>
          <w:highlight w:val="none"/>
        </w:rPr>
        <w:t>供应商应按磋商文件中提供的响应文件格式填写。</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15.</w:t>
      </w:r>
      <w:r>
        <w:rPr>
          <w:rFonts w:hint="eastAsia" w:ascii="宋体" w:hAnsi="宋体"/>
          <w:b/>
          <w:color w:val="auto"/>
          <w:szCs w:val="21"/>
          <w:highlight w:val="none"/>
        </w:rPr>
        <w:t>响应文件</w:t>
      </w:r>
      <w:r>
        <w:rPr>
          <w:rFonts w:hint="eastAsia" w:ascii="宋体" w:hAnsi="宋体"/>
          <w:b/>
          <w:bCs/>
          <w:color w:val="auto"/>
          <w:szCs w:val="21"/>
          <w:highlight w:val="none"/>
        </w:rPr>
        <w:t>的组成</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highlight w:val="none"/>
        </w:rPr>
        <w:t xml:space="preserve">15.1 </w:t>
      </w:r>
      <w:r>
        <w:rPr>
          <w:rFonts w:hint="eastAsia" w:ascii="宋体" w:hAnsi="宋体"/>
          <w:color w:val="auto"/>
          <w:highlight w:val="none"/>
        </w:rPr>
        <w:t>响应文件包括下列内容：</w:t>
      </w:r>
      <w:r>
        <w:rPr>
          <w:rFonts w:ascii="宋体" w:hAnsi="宋体"/>
          <w:color w:val="auto"/>
          <w:szCs w:val="21"/>
          <w:highlight w:val="none"/>
        </w:rPr>
        <w:t xml:space="preserve"> </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）磋商响应声明</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）保证金</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）联合体协议</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）供应商的资格证明文件</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）货物或服务方案说明</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6</w:t>
      </w:r>
      <w:r>
        <w:rPr>
          <w:rFonts w:hint="eastAsia" w:ascii="宋体" w:hAnsi="宋体"/>
          <w:color w:val="auto"/>
          <w:highlight w:val="none"/>
        </w:rPr>
        <w:t>）技术</w:t>
      </w:r>
      <w:r>
        <w:rPr>
          <w:rFonts w:ascii="宋体" w:hAnsi="宋体"/>
          <w:color w:val="auto"/>
          <w:highlight w:val="none"/>
        </w:rPr>
        <w:t>/</w:t>
      </w:r>
      <w:r>
        <w:rPr>
          <w:rFonts w:hint="eastAsia" w:ascii="宋体" w:hAnsi="宋体"/>
          <w:color w:val="auto"/>
          <w:highlight w:val="none"/>
        </w:rPr>
        <w:t>商务响应与偏离表</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7</w:t>
      </w:r>
      <w:r>
        <w:rPr>
          <w:rFonts w:hint="eastAsia" w:ascii="宋体" w:hAnsi="宋体"/>
          <w:color w:val="auto"/>
          <w:highlight w:val="none"/>
        </w:rPr>
        <w:t>）提供享受政府采购政策的证明材料和清单表</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8</w:t>
      </w:r>
      <w:r>
        <w:rPr>
          <w:rFonts w:hint="eastAsia" w:ascii="宋体" w:hAnsi="宋体"/>
          <w:color w:val="auto"/>
          <w:highlight w:val="none"/>
        </w:rPr>
        <w:t>）经销或代理或为货物提供售后服务的证明材料</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9</w:t>
      </w:r>
      <w:r>
        <w:rPr>
          <w:rFonts w:hint="eastAsia" w:ascii="宋体" w:hAnsi="宋体"/>
          <w:color w:val="auto"/>
          <w:highlight w:val="none"/>
        </w:rPr>
        <w:t>）报价一览表及报价文件</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10</w:t>
      </w:r>
      <w:r>
        <w:rPr>
          <w:rFonts w:hint="eastAsia" w:ascii="宋体" w:hAnsi="宋体"/>
          <w:color w:val="auto"/>
          <w:highlight w:val="none"/>
        </w:rPr>
        <w:t>）供应商认为需提供的其他资料</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15.2</w:t>
      </w:r>
      <w:r>
        <w:rPr>
          <w:rFonts w:hint="eastAsia" w:ascii="宋体" w:hAnsi="宋体"/>
          <w:color w:val="auto"/>
          <w:highlight w:val="none"/>
        </w:rPr>
        <w:t>在磋商过程中，</w:t>
      </w:r>
      <w:r>
        <w:rPr>
          <w:rFonts w:hint="eastAsia" w:ascii="宋体" w:hAnsi="宋体"/>
          <w:color w:val="auto"/>
          <w:szCs w:val="21"/>
          <w:highlight w:val="none"/>
        </w:rPr>
        <w:t>供应商</w:t>
      </w:r>
      <w:r>
        <w:rPr>
          <w:rFonts w:hint="eastAsia" w:ascii="宋体" w:hAnsi="宋体"/>
          <w:color w:val="auto"/>
          <w:highlight w:val="none"/>
        </w:rPr>
        <w:t>根据</w:t>
      </w:r>
      <w:r>
        <w:rPr>
          <w:rFonts w:hint="eastAsia" w:ascii="宋体" w:hAnsi="宋体" w:cs="宋体"/>
          <w:color w:val="auto"/>
          <w:kern w:val="0"/>
          <w:szCs w:val="21"/>
          <w:highlight w:val="none"/>
        </w:rPr>
        <w:t>磋商小组</w:t>
      </w:r>
      <w:r>
        <w:rPr>
          <w:rFonts w:hint="eastAsia" w:ascii="宋体" w:hAnsi="宋体"/>
          <w:bCs/>
          <w:color w:val="auto"/>
          <w:szCs w:val="21"/>
          <w:highlight w:val="none"/>
        </w:rPr>
        <w:t>书面形式要求</w:t>
      </w:r>
      <w:r>
        <w:rPr>
          <w:rFonts w:hint="eastAsia" w:ascii="宋体" w:hAnsi="宋体" w:cs="宋体"/>
          <w:color w:val="auto"/>
          <w:kern w:val="0"/>
          <w:szCs w:val="21"/>
          <w:highlight w:val="none"/>
        </w:rPr>
        <w:t>提交的</w:t>
      </w:r>
      <w:r>
        <w:rPr>
          <w:rFonts w:hint="eastAsia" w:ascii="宋体" w:hAnsi="宋体"/>
          <w:color w:val="auto"/>
          <w:highlight w:val="none"/>
        </w:rPr>
        <w:t>最后报价</w:t>
      </w:r>
      <w:r>
        <w:rPr>
          <w:rFonts w:ascii="宋体" w:hAnsi="宋体"/>
          <w:color w:val="auto"/>
          <w:highlight w:val="none"/>
        </w:rPr>
        <w:t>(</w:t>
      </w:r>
      <w:r>
        <w:rPr>
          <w:rFonts w:hint="eastAsia" w:ascii="宋体" w:hAnsi="宋体"/>
          <w:color w:val="auto"/>
          <w:highlight w:val="none"/>
        </w:rPr>
        <w:t>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w:t>
      </w:r>
      <w:r>
        <w:rPr>
          <w:rFonts w:hint="eastAsia" w:ascii="宋体" w:hAnsi="宋体"/>
          <w:color w:val="auto"/>
          <w:highlight w:val="none"/>
        </w:rPr>
        <w:t>最后报价</w:t>
      </w:r>
      <w:r>
        <w:rPr>
          <w:rFonts w:ascii="宋体" w:hAnsi="宋体"/>
          <w:color w:val="auto"/>
          <w:highlight w:val="none"/>
        </w:rPr>
        <w:t>)</w:t>
      </w:r>
      <w:r>
        <w:rPr>
          <w:rFonts w:hint="eastAsia" w:ascii="宋体" w:hAnsi="宋体"/>
          <w:color w:val="auto"/>
          <w:highlight w:val="none"/>
        </w:rPr>
        <w:t>是</w:t>
      </w:r>
      <w:r>
        <w:rPr>
          <w:rFonts w:hint="eastAsia" w:ascii="宋体" w:hAnsi="宋体"/>
          <w:color w:val="auto"/>
          <w:szCs w:val="21"/>
          <w:highlight w:val="none"/>
        </w:rPr>
        <w:t>响应文件</w:t>
      </w:r>
      <w:r>
        <w:rPr>
          <w:rFonts w:hint="eastAsia" w:ascii="宋体" w:hAnsi="宋体"/>
          <w:color w:val="auto"/>
          <w:highlight w:val="none"/>
        </w:rPr>
        <w:t>的有效组成部分。</w:t>
      </w:r>
    </w:p>
    <w:p>
      <w:pPr>
        <w:adjustRightInd w:val="0"/>
        <w:snapToGrid w:val="0"/>
        <w:spacing w:line="520" w:lineRule="exact"/>
        <w:ind w:firstLine="420" w:firstLineChars="200"/>
        <w:rPr>
          <w:rFonts w:ascii="宋体" w:hAnsi="宋体"/>
          <w:b/>
          <w:color w:val="auto"/>
          <w:highlight w:val="none"/>
        </w:rPr>
      </w:pPr>
      <w:r>
        <w:rPr>
          <w:rFonts w:ascii="宋体" w:hAnsi="宋体"/>
          <w:color w:val="auto"/>
          <w:highlight w:val="none"/>
        </w:rPr>
        <w:t>15.3</w:t>
      </w:r>
      <w:r>
        <w:rPr>
          <w:rFonts w:hint="eastAsia" w:ascii="宋体" w:hAnsi="宋体" w:cs="宋体"/>
          <w:color w:val="auto"/>
          <w:kern w:val="0"/>
          <w:szCs w:val="21"/>
          <w:highlight w:val="none"/>
        </w:rPr>
        <w:t>磋商文件规定可能发生实质性变动的，供应商应当在</w:t>
      </w:r>
      <w:r>
        <w:rPr>
          <w:rFonts w:hint="eastAsia" w:ascii="宋体" w:hAnsi="宋体"/>
          <w:color w:val="auto"/>
          <w:highlight w:val="none"/>
        </w:rPr>
        <w:t>《技术</w:t>
      </w:r>
      <w:r>
        <w:rPr>
          <w:rFonts w:ascii="宋体" w:hAnsi="宋体"/>
          <w:color w:val="auto"/>
          <w:highlight w:val="none"/>
        </w:rPr>
        <w:t>/</w:t>
      </w:r>
      <w:r>
        <w:rPr>
          <w:rFonts w:hint="eastAsia" w:ascii="宋体" w:hAnsi="宋体"/>
          <w:color w:val="auto"/>
          <w:highlight w:val="none"/>
        </w:rPr>
        <w:t>商务响应与偏离表》中对应内容注明。</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highlight w:val="none"/>
        </w:rPr>
        <w:t>15.4</w:t>
      </w:r>
      <w:r>
        <w:rPr>
          <w:rFonts w:hint="eastAsia" w:ascii="宋体" w:hAnsi="宋体"/>
          <w:color w:val="auto"/>
          <w:szCs w:val="21"/>
          <w:highlight w:val="none"/>
        </w:rPr>
        <w:t>根据《政府采购法》第四十二条的规定，供应商无论成交与否，其响应文件不予退还。</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16.</w:t>
      </w:r>
      <w:r>
        <w:rPr>
          <w:rFonts w:hint="eastAsia" w:ascii="宋体" w:hAnsi="宋体"/>
          <w:b/>
          <w:bCs/>
          <w:color w:val="auto"/>
          <w:szCs w:val="21"/>
          <w:highlight w:val="none"/>
        </w:rPr>
        <w:t>报价</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16.1</w:t>
      </w:r>
      <w:r>
        <w:rPr>
          <w:rFonts w:hint="eastAsia" w:ascii="宋体" w:hAnsi="宋体"/>
          <w:color w:val="auto"/>
          <w:szCs w:val="21"/>
          <w:highlight w:val="none"/>
        </w:rPr>
        <w:t>供应商应当根据磋商文件要求和范围，以</w:t>
      </w:r>
      <w:r>
        <w:rPr>
          <w:rFonts w:hint="eastAsia" w:ascii="宋体" w:hAnsi="宋体"/>
          <w:bCs/>
          <w:color w:val="auto"/>
          <w:szCs w:val="21"/>
          <w:highlight w:val="none"/>
        </w:rPr>
        <w:t>人民币</w:t>
      </w:r>
      <w:r>
        <w:rPr>
          <w:rFonts w:hint="eastAsia" w:ascii="宋体" w:hAnsi="宋体"/>
          <w:color w:val="auto"/>
          <w:szCs w:val="21"/>
          <w:highlight w:val="none"/>
        </w:rPr>
        <w:t>报价，以元为单位，保留小数点后两位。</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16.2</w:t>
      </w:r>
      <w:r>
        <w:rPr>
          <w:rFonts w:hint="eastAsia" w:ascii="宋体" w:hAnsi="宋体"/>
          <w:color w:val="auto"/>
          <w:highlight w:val="none"/>
        </w:rPr>
        <w:t>供应商应按第五章</w:t>
      </w:r>
      <w:r>
        <w:rPr>
          <w:rFonts w:ascii="宋体" w:hAnsi="宋体"/>
          <w:color w:val="auto"/>
          <w:highlight w:val="none"/>
        </w:rPr>
        <w:t xml:space="preserve"> </w:t>
      </w:r>
      <w:r>
        <w:rPr>
          <w:rFonts w:hint="eastAsia" w:ascii="宋体" w:hAnsi="宋体"/>
          <w:color w:val="auto"/>
          <w:highlight w:val="none"/>
        </w:rPr>
        <w:t>响应文件组成格式填写。</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16.3</w:t>
      </w:r>
      <w:r>
        <w:rPr>
          <w:rFonts w:hint="eastAsia" w:ascii="宋体" w:hAnsi="宋体"/>
          <w:color w:val="auto"/>
          <w:highlight w:val="none"/>
        </w:rPr>
        <w:t>响应文件中标明的价格在合同执行过程中是固定不变的，不得以任何理由予以变更。以可变动价格提交的报价将被认为是非实质响应而被拒绝。</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16.4</w:t>
      </w:r>
      <w:r>
        <w:rPr>
          <w:rFonts w:hint="eastAsia" w:ascii="宋体" w:hAnsi="宋体" w:cs="宋体"/>
          <w:color w:val="auto"/>
          <w:highlight w:val="none"/>
          <w:lang w:val="zh-CN"/>
        </w:rPr>
        <w:t>供应商</w:t>
      </w:r>
      <w:r>
        <w:rPr>
          <w:rFonts w:hint="eastAsia" w:ascii="宋体" w:hAnsi="宋体"/>
          <w:color w:val="auto"/>
          <w:highlight w:val="none"/>
        </w:rPr>
        <w:t>的报价不得超过采购项目预算，采购项目预算或其计算方法见</w:t>
      </w:r>
      <w:r>
        <w:rPr>
          <w:rFonts w:hint="eastAsia" w:ascii="宋体" w:hAnsi="宋体"/>
          <w:b/>
          <w:color w:val="auto"/>
          <w:highlight w:val="none"/>
        </w:rPr>
        <w:t>磋商须知前附表</w:t>
      </w:r>
      <w:r>
        <w:rPr>
          <w:rFonts w:hint="eastAsia" w:ascii="宋体" w:hAnsi="宋体"/>
          <w:color w:val="auto"/>
          <w:highlight w:val="none"/>
        </w:rPr>
        <w:t>。</w:t>
      </w:r>
    </w:p>
    <w:p>
      <w:pPr>
        <w:adjustRightInd w:val="0"/>
        <w:snapToGrid w:val="0"/>
        <w:spacing w:line="520" w:lineRule="exact"/>
        <w:rPr>
          <w:rFonts w:ascii="宋体" w:hAnsi="宋体"/>
          <w:b/>
          <w:color w:val="auto"/>
          <w:highlight w:val="none"/>
        </w:rPr>
      </w:pPr>
      <w:r>
        <w:rPr>
          <w:rFonts w:ascii="宋体" w:hAnsi="宋体"/>
          <w:b/>
          <w:color w:val="auto"/>
          <w:highlight w:val="none"/>
        </w:rPr>
        <w:t>17.</w:t>
      </w:r>
      <w:r>
        <w:rPr>
          <w:rFonts w:hint="eastAsia" w:ascii="宋体" w:hAnsi="宋体"/>
          <w:b/>
          <w:color w:val="auto"/>
          <w:highlight w:val="none"/>
        </w:rPr>
        <w:t>供应商符合磋商文件规定的证明文件</w:t>
      </w:r>
    </w:p>
    <w:p>
      <w:pPr>
        <w:adjustRightInd w:val="0"/>
        <w:snapToGrid w:val="0"/>
        <w:spacing w:line="520" w:lineRule="exact"/>
        <w:ind w:firstLine="420" w:firstLineChars="200"/>
        <w:jc w:val="left"/>
        <w:rPr>
          <w:rFonts w:ascii="宋体" w:hAnsi="宋体"/>
          <w:color w:val="auto"/>
          <w:highlight w:val="none"/>
        </w:rPr>
      </w:pPr>
      <w:r>
        <w:rPr>
          <w:rFonts w:ascii="宋体" w:hAnsi="宋体"/>
          <w:color w:val="auto"/>
          <w:highlight w:val="none"/>
        </w:rPr>
        <w:t>17.1</w:t>
      </w:r>
      <w:r>
        <w:rPr>
          <w:rFonts w:hint="eastAsia" w:ascii="宋体" w:hAnsi="宋体"/>
          <w:color w:val="auto"/>
          <w:highlight w:val="none"/>
        </w:rPr>
        <w:t>供应商应提交满足本章第</w:t>
      </w:r>
      <w:r>
        <w:rPr>
          <w:rFonts w:ascii="宋体" w:hAnsi="宋体"/>
          <w:color w:val="auto"/>
          <w:highlight w:val="none"/>
        </w:rPr>
        <w:t>3.1</w:t>
      </w:r>
      <w:r>
        <w:rPr>
          <w:rFonts w:hint="eastAsia" w:ascii="宋体" w:hAnsi="宋体"/>
          <w:color w:val="auto"/>
          <w:highlight w:val="none"/>
        </w:rPr>
        <w:t>款规定的资格条件要求的证明文件</w:t>
      </w:r>
      <w:r>
        <w:rPr>
          <w:rFonts w:ascii="宋体" w:hAnsi="宋体"/>
          <w:color w:val="auto"/>
          <w:highlight w:val="none"/>
        </w:rPr>
        <w:t>,</w:t>
      </w:r>
      <w:r>
        <w:rPr>
          <w:rFonts w:hint="eastAsia" w:ascii="宋体" w:hAnsi="宋体"/>
          <w:color w:val="auto"/>
          <w:highlight w:val="none"/>
        </w:rPr>
        <w:t>该证明文件作为响应文件的一部分。</w:t>
      </w:r>
    </w:p>
    <w:p>
      <w:pPr>
        <w:adjustRightInd w:val="0"/>
        <w:snapToGrid w:val="0"/>
        <w:spacing w:line="520" w:lineRule="exact"/>
        <w:ind w:firstLine="420" w:firstLineChars="200"/>
        <w:jc w:val="left"/>
        <w:rPr>
          <w:rFonts w:ascii="宋体" w:hAnsi="宋体"/>
          <w:color w:val="auto"/>
          <w:highlight w:val="none"/>
        </w:rPr>
      </w:pPr>
      <w:r>
        <w:rPr>
          <w:rFonts w:ascii="宋体" w:hAnsi="宋体"/>
          <w:color w:val="auto"/>
          <w:highlight w:val="none"/>
        </w:rPr>
        <w:t>17.2</w:t>
      </w:r>
      <w:r>
        <w:rPr>
          <w:rFonts w:hint="eastAsia" w:ascii="宋体" w:hAnsi="宋体"/>
          <w:color w:val="auto"/>
          <w:highlight w:val="none"/>
        </w:rPr>
        <w:t>如果供应商为联合体，则应提交联合体各方资格证明文件、联合体协议。否则，在评审时将其视为无效响应。</w:t>
      </w:r>
    </w:p>
    <w:p>
      <w:pPr>
        <w:adjustRightInd w:val="0"/>
        <w:snapToGrid w:val="0"/>
        <w:spacing w:before="156" w:beforeLines="50" w:line="520" w:lineRule="exact"/>
        <w:ind w:firstLine="420" w:firstLineChars="200"/>
        <w:jc w:val="left"/>
        <w:rPr>
          <w:rFonts w:ascii="宋体" w:hAnsi="宋体"/>
          <w:color w:val="auto"/>
          <w:szCs w:val="21"/>
          <w:highlight w:val="none"/>
        </w:rPr>
      </w:pPr>
      <w:r>
        <w:rPr>
          <w:rFonts w:ascii="宋体" w:hAnsi="宋体"/>
          <w:color w:val="auto"/>
          <w:szCs w:val="21"/>
          <w:highlight w:val="none"/>
        </w:rPr>
        <w:t xml:space="preserve">17.3 </w:t>
      </w:r>
      <w:r>
        <w:rPr>
          <w:rFonts w:hint="eastAsia" w:ascii="宋体" w:hAnsi="宋体"/>
          <w:color w:val="auto"/>
          <w:szCs w:val="21"/>
          <w:highlight w:val="none"/>
        </w:rPr>
        <w:t>除</w:t>
      </w:r>
      <w:r>
        <w:rPr>
          <w:rFonts w:hint="eastAsia" w:ascii="宋体" w:hAnsi="宋体"/>
          <w:b/>
          <w:color w:val="auto"/>
          <w:szCs w:val="21"/>
          <w:highlight w:val="none"/>
        </w:rPr>
        <w:t>磋商须知前附表</w:t>
      </w:r>
      <w:r>
        <w:rPr>
          <w:rFonts w:hint="eastAsia" w:ascii="宋体" w:hAnsi="宋体"/>
          <w:color w:val="auto"/>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520" w:lineRule="exact"/>
        <w:jc w:val="left"/>
        <w:rPr>
          <w:rFonts w:ascii="宋体" w:hAnsi="宋体"/>
          <w:b/>
          <w:color w:val="auto"/>
          <w:szCs w:val="21"/>
          <w:highlight w:val="none"/>
        </w:rPr>
      </w:pPr>
      <w:r>
        <w:rPr>
          <w:rFonts w:ascii="宋体" w:hAnsi="宋体"/>
          <w:b/>
          <w:color w:val="auto"/>
          <w:szCs w:val="21"/>
          <w:highlight w:val="none"/>
        </w:rPr>
        <w:t>18</w:t>
      </w:r>
      <w:r>
        <w:rPr>
          <w:rFonts w:hint="eastAsia" w:ascii="宋体" w:hAnsi="宋体"/>
          <w:b/>
          <w:color w:val="auto"/>
          <w:szCs w:val="21"/>
          <w:highlight w:val="none"/>
        </w:rPr>
        <w:t>．样品提供</w:t>
      </w:r>
    </w:p>
    <w:p>
      <w:pPr>
        <w:adjustRightInd w:val="0"/>
        <w:snapToGrid w:val="0"/>
        <w:spacing w:before="156" w:beforeLines="50" w:line="520" w:lineRule="exact"/>
        <w:ind w:firstLine="420" w:firstLineChars="200"/>
        <w:jc w:val="left"/>
        <w:rPr>
          <w:rFonts w:ascii="宋体" w:hAnsi="宋体"/>
          <w:color w:val="auto"/>
          <w:szCs w:val="21"/>
          <w:highlight w:val="none"/>
        </w:rPr>
      </w:pPr>
      <w:r>
        <w:rPr>
          <w:rFonts w:ascii="宋体" w:hAnsi="宋体"/>
          <w:color w:val="auto"/>
          <w:szCs w:val="21"/>
          <w:highlight w:val="none"/>
        </w:rPr>
        <w:t xml:space="preserve">18.1 </w:t>
      </w:r>
      <w:r>
        <w:rPr>
          <w:rFonts w:hint="eastAsia" w:ascii="宋体" w:hAnsi="宋体"/>
          <w:b/>
          <w:color w:val="auto"/>
          <w:highlight w:val="none"/>
        </w:rPr>
        <w:t>磋商须知前附表</w:t>
      </w:r>
      <w:r>
        <w:rPr>
          <w:rFonts w:hint="eastAsia" w:ascii="宋体" w:hAnsi="宋体"/>
          <w:color w:val="auto"/>
          <w:szCs w:val="21"/>
          <w:highlight w:val="none"/>
        </w:rPr>
        <w:t>规定</w:t>
      </w:r>
      <w:r>
        <w:rPr>
          <w:rFonts w:hint="eastAsia" w:ascii="宋体" w:hAnsi="宋体"/>
          <w:bCs/>
          <w:color w:val="auto"/>
          <w:highlight w:val="none"/>
        </w:rPr>
        <w:t>供应商</w:t>
      </w:r>
      <w:r>
        <w:rPr>
          <w:rFonts w:hint="eastAsia" w:ascii="宋体" w:hAnsi="宋体"/>
          <w:color w:val="auto"/>
          <w:szCs w:val="21"/>
          <w:highlight w:val="none"/>
        </w:rPr>
        <w:t>在</w:t>
      </w:r>
      <w:r>
        <w:rPr>
          <w:rFonts w:hint="eastAsia" w:ascii="宋体" w:hAnsi="宋体"/>
          <w:color w:val="auto"/>
          <w:highlight w:val="none"/>
        </w:rPr>
        <w:t>磋商</w:t>
      </w:r>
      <w:r>
        <w:rPr>
          <w:rFonts w:hint="eastAsia" w:ascii="宋体" w:hAnsi="宋体"/>
          <w:color w:val="auto"/>
          <w:szCs w:val="21"/>
          <w:highlight w:val="none"/>
        </w:rPr>
        <w:t>时提供样品的，</w:t>
      </w:r>
      <w:r>
        <w:rPr>
          <w:rFonts w:hint="eastAsia" w:ascii="宋体" w:hAnsi="宋体"/>
          <w:bCs/>
          <w:color w:val="auto"/>
          <w:highlight w:val="none"/>
        </w:rPr>
        <w:t>供应商</w:t>
      </w:r>
      <w:r>
        <w:rPr>
          <w:rFonts w:hint="eastAsia" w:ascii="宋体" w:hAnsi="宋体"/>
          <w:color w:val="auto"/>
          <w:szCs w:val="21"/>
          <w:highlight w:val="none"/>
        </w:rPr>
        <w:t>有以下情形之一的，在评审时将其视为无效响应。</w:t>
      </w:r>
    </w:p>
    <w:p>
      <w:pPr>
        <w:adjustRightInd w:val="0"/>
        <w:snapToGrid w:val="0"/>
        <w:spacing w:before="156" w:beforeLines="50" w:line="52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）未在</w:t>
      </w:r>
      <w:r>
        <w:rPr>
          <w:rFonts w:hint="eastAsia" w:ascii="宋体" w:hAnsi="宋体"/>
          <w:b/>
          <w:color w:val="auto"/>
          <w:highlight w:val="none"/>
        </w:rPr>
        <w:t>磋商须知前附表</w:t>
      </w:r>
      <w:r>
        <w:rPr>
          <w:rFonts w:hint="eastAsia" w:ascii="宋体" w:hAnsi="宋体"/>
          <w:color w:val="auto"/>
          <w:szCs w:val="21"/>
          <w:highlight w:val="none"/>
        </w:rPr>
        <w:t>规定的提交时间、地点提交的；</w:t>
      </w:r>
    </w:p>
    <w:p>
      <w:pPr>
        <w:adjustRightInd w:val="0"/>
        <w:snapToGrid w:val="0"/>
        <w:spacing w:before="156" w:beforeLines="50" w:line="52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bCs/>
          <w:color w:val="auto"/>
          <w:highlight w:val="none"/>
        </w:rPr>
        <w:t>供应商</w:t>
      </w:r>
      <w:r>
        <w:rPr>
          <w:rFonts w:hint="eastAsia" w:ascii="宋体" w:hAnsi="宋体"/>
          <w:color w:val="auto"/>
          <w:szCs w:val="21"/>
          <w:highlight w:val="none"/>
        </w:rPr>
        <w:t>提供的样品与磋商文件中要求提供样品的型号、规格不一致的。</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19.</w:t>
      </w:r>
      <w:r>
        <w:rPr>
          <w:rFonts w:ascii="宋体" w:hAnsi="宋体"/>
          <w:color w:val="auto"/>
          <w:highlight w:val="none"/>
        </w:rPr>
        <w:t xml:space="preserve"> </w:t>
      </w:r>
      <w:r>
        <w:rPr>
          <w:rFonts w:hint="eastAsia" w:ascii="宋体" w:hAnsi="宋体"/>
          <w:b/>
          <w:bCs/>
          <w:color w:val="auto"/>
          <w:szCs w:val="21"/>
          <w:highlight w:val="none"/>
        </w:rPr>
        <w:t>磋商保证金</w:t>
      </w:r>
    </w:p>
    <w:p>
      <w:pPr>
        <w:adjustRightInd w:val="0"/>
        <w:snapToGrid w:val="0"/>
        <w:spacing w:line="520" w:lineRule="exact"/>
        <w:ind w:firstLine="420" w:firstLineChars="200"/>
        <w:rPr>
          <w:rFonts w:ascii="宋体" w:hAnsi="宋体"/>
          <w:bCs/>
          <w:color w:val="auto"/>
          <w:highlight w:val="none"/>
        </w:rPr>
      </w:pPr>
      <w:r>
        <w:rPr>
          <w:rFonts w:ascii="宋体" w:hAnsi="宋体"/>
          <w:color w:val="auto"/>
          <w:highlight w:val="none"/>
        </w:rPr>
        <w:t>19.1</w:t>
      </w:r>
      <w:r>
        <w:rPr>
          <w:rFonts w:hint="eastAsia" w:ascii="宋体" w:hAnsi="宋体"/>
          <w:b/>
          <w:color w:val="auto"/>
          <w:highlight w:val="none"/>
        </w:rPr>
        <w:t>磋商须知前附表</w:t>
      </w:r>
      <w:r>
        <w:rPr>
          <w:rFonts w:hint="eastAsia" w:ascii="宋体" w:hAnsi="宋体"/>
          <w:color w:val="auto"/>
          <w:highlight w:val="none"/>
        </w:rPr>
        <w:t>规定交纳磋商</w:t>
      </w:r>
      <w:r>
        <w:rPr>
          <w:rFonts w:hint="eastAsia" w:ascii="宋体" w:hAnsi="宋体"/>
          <w:bCs/>
          <w:color w:val="auto"/>
          <w:highlight w:val="none"/>
        </w:rPr>
        <w:t>保证金的</w:t>
      </w:r>
      <w:r>
        <w:rPr>
          <w:rFonts w:hint="eastAsia" w:ascii="宋体" w:hAnsi="宋体"/>
          <w:color w:val="auto"/>
          <w:highlight w:val="none"/>
        </w:rPr>
        <w:t>，应按</w:t>
      </w:r>
      <w:r>
        <w:rPr>
          <w:rFonts w:hint="eastAsia" w:ascii="宋体" w:hAnsi="宋体"/>
          <w:b/>
          <w:color w:val="auto"/>
          <w:highlight w:val="none"/>
        </w:rPr>
        <w:t>磋商须知前附表</w:t>
      </w:r>
      <w:r>
        <w:rPr>
          <w:rFonts w:hint="eastAsia" w:ascii="宋体" w:hAnsi="宋体"/>
          <w:color w:val="auto"/>
          <w:highlight w:val="none"/>
        </w:rPr>
        <w:t>规定的磋商</w:t>
      </w:r>
      <w:r>
        <w:rPr>
          <w:rFonts w:hint="eastAsia" w:ascii="宋体" w:hAnsi="宋体"/>
          <w:bCs/>
          <w:color w:val="auto"/>
          <w:highlight w:val="none"/>
        </w:rPr>
        <w:t>保证金形式交纳，不得以现金方式交纳</w:t>
      </w:r>
      <w:r>
        <w:rPr>
          <w:rFonts w:hint="eastAsia" w:ascii="宋体" w:hAnsi="宋体"/>
          <w:color w:val="auto"/>
          <w:highlight w:val="none"/>
        </w:rPr>
        <w:t>，在</w:t>
      </w:r>
      <w:r>
        <w:rPr>
          <w:rFonts w:hint="eastAsia" w:ascii="宋体" w:hAnsi="宋体" w:cs="宋体"/>
          <w:color w:val="auto"/>
          <w:highlight w:val="none"/>
        </w:rPr>
        <w:t>提交首次响应文件截止时间</w:t>
      </w:r>
      <w:r>
        <w:rPr>
          <w:rFonts w:hint="eastAsia" w:ascii="宋体" w:hAnsi="宋体"/>
          <w:color w:val="auto"/>
          <w:highlight w:val="none"/>
        </w:rPr>
        <w:t>前，</w:t>
      </w:r>
      <w:r>
        <w:rPr>
          <w:rFonts w:hint="eastAsia" w:ascii="宋体" w:hAnsi="宋体"/>
          <w:bCs/>
          <w:color w:val="auto"/>
          <w:highlight w:val="none"/>
        </w:rPr>
        <w:t>向采购代理机构交纳不超过</w:t>
      </w:r>
      <w:r>
        <w:rPr>
          <w:rFonts w:hint="eastAsia" w:ascii="宋体" w:hAnsi="宋体" w:cs="宋体"/>
          <w:color w:val="auto"/>
          <w:highlight w:val="none"/>
          <w:lang w:val="zh-CN"/>
        </w:rPr>
        <w:t>采购项目预算</w:t>
      </w:r>
      <w:r>
        <w:rPr>
          <w:rFonts w:ascii="宋体" w:hAnsi="宋体" w:cs="宋体"/>
          <w:color w:val="auto"/>
          <w:highlight w:val="none"/>
          <w:lang w:val="zh-CN"/>
        </w:rPr>
        <w:t>2</w:t>
      </w:r>
      <w:r>
        <w:rPr>
          <w:rFonts w:hint="eastAsia" w:ascii="宋体" w:hAnsi="宋体" w:cs="宋体"/>
          <w:color w:val="auto"/>
          <w:highlight w:val="none"/>
          <w:lang w:val="zh-CN"/>
        </w:rPr>
        <w:t>﹪</w:t>
      </w:r>
      <w:r>
        <w:rPr>
          <w:rFonts w:hint="eastAsia" w:ascii="宋体" w:hAnsi="宋体"/>
          <w:bCs/>
          <w:color w:val="auto"/>
          <w:highlight w:val="none"/>
        </w:rPr>
        <w:t>的磋商保证金</w:t>
      </w:r>
      <w:r>
        <w:rPr>
          <w:rFonts w:ascii="宋体" w:hAnsi="宋体"/>
          <w:bCs/>
          <w:color w:val="auto"/>
          <w:highlight w:val="none"/>
        </w:rPr>
        <w:t>(</w:t>
      </w:r>
      <w:r>
        <w:rPr>
          <w:rFonts w:hint="eastAsia" w:ascii="宋体" w:hAnsi="宋体"/>
          <w:bCs/>
          <w:color w:val="auto"/>
          <w:highlight w:val="none"/>
        </w:rPr>
        <w:t>数额采用四舍五入，计算至元</w:t>
      </w:r>
      <w:r>
        <w:rPr>
          <w:rFonts w:ascii="宋体" w:hAnsi="宋体"/>
          <w:bCs/>
          <w:color w:val="auto"/>
          <w:highlight w:val="none"/>
        </w:rPr>
        <w:t>)</w:t>
      </w:r>
      <w:r>
        <w:rPr>
          <w:rFonts w:hint="eastAsia" w:ascii="宋体" w:hAnsi="宋体"/>
          <w:color w:val="auto"/>
          <w:highlight w:val="none"/>
        </w:rPr>
        <w:t>。磋商</w:t>
      </w:r>
      <w:r>
        <w:rPr>
          <w:rFonts w:hint="eastAsia" w:ascii="宋体" w:hAnsi="宋体"/>
          <w:bCs/>
          <w:color w:val="auto"/>
          <w:highlight w:val="none"/>
        </w:rPr>
        <w:t>保证金有效期应当与</w:t>
      </w:r>
      <w:r>
        <w:rPr>
          <w:rFonts w:hint="eastAsia" w:ascii="宋体" w:hAnsi="宋体"/>
          <w:color w:val="auto"/>
          <w:highlight w:val="none"/>
        </w:rPr>
        <w:t>本章第</w:t>
      </w:r>
      <w:r>
        <w:rPr>
          <w:rFonts w:ascii="宋体" w:hAnsi="宋体"/>
          <w:color w:val="auto"/>
          <w:highlight w:val="none"/>
        </w:rPr>
        <w:t>20.1</w:t>
      </w:r>
      <w:r>
        <w:rPr>
          <w:rFonts w:hint="eastAsia" w:ascii="宋体" w:hAnsi="宋体" w:cs="宋体"/>
          <w:color w:val="auto"/>
          <w:highlight w:val="none"/>
          <w:lang w:val="zh-CN"/>
        </w:rPr>
        <w:t>款</w:t>
      </w:r>
      <w:r>
        <w:rPr>
          <w:rFonts w:hint="eastAsia" w:ascii="宋体" w:hAnsi="宋体"/>
          <w:color w:val="auto"/>
          <w:highlight w:val="none"/>
        </w:rPr>
        <w:t>规定的</w:t>
      </w:r>
      <w:r>
        <w:rPr>
          <w:rFonts w:hint="eastAsia" w:ascii="宋体" w:hAnsi="宋体"/>
          <w:bCs/>
          <w:color w:val="auto"/>
          <w:highlight w:val="none"/>
        </w:rPr>
        <w:t>响应文件有效期一致。</w:t>
      </w:r>
    </w:p>
    <w:p>
      <w:pPr>
        <w:adjustRightInd w:val="0"/>
        <w:snapToGrid w:val="0"/>
        <w:spacing w:line="520" w:lineRule="exact"/>
        <w:ind w:firstLine="420" w:firstLineChars="200"/>
        <w:rPr>
          <w:rFonts w:ascii="宋体" w:hAnsi="宋体"/>
          <w:b/>
          <w:color w:val="auto"/>
          <w:szCs w:val="21"/>
          <w:highlight w:val="none"/>
        </w:rPr>
      </w:pPr>
      <w:r>
        <w:rPr>
          <w:rFonts w:ascii="宋体" w:hAnsi="宋体"/>
          <w:color w:val="auto"/>
          <w:szCs w:val="21"/>
          <w:highlight w:val="none"/>
        </w:rPr>
        <w:t>19.2</w:t>
      </w:r>
      <w:r>
        <w:rPr>
          <w:rFonts w:hint="eastAsia" w:ascii="宋体" w:hAnsi="宋体" w:cs="宋体"/>
          <w:color w:val="auto"/>
          <w:kern w:val="0"/>
          <w:szCs w:val="21"/>
          <w:highlight w:val="none"/>
          <w:lang w:val="zh-CN"/>
        </w:rPr>
        <w:t>供应商为联合体的，可以由联合体中的一方或者共同交纳磋商保证金，其交纳的磋商保证金，对联合体各方均具有约束力。</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19.3</w:t>
      </w:r>
      <w:r>
        <w:rPr>
          <w:rFonts w:hint="eastAsia" w:ascii="宋体" w:hAnsi="宋体"/>
          <w:color w:val="auto"/>
          <w:highlight w:val="none"/>
        </w:rPr>
        <w:t>供应商未按照磋商文件要求提交磋商保证金的，响应无效。</w:t>
      </w:r>
    </w:p>
    <w:p>
      <w:pPr>
        <w:tabs>
          <w:tab w:val="left" w:pos="6300"/>
        </w:tabs>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19.4</w:t>
      </w:r>
      <w:r>
        <w:rPr>
          <w:rFonts w:hint="eastAsia" w:ascii="宋体" w:hAnsi="宋体"/>
          <w:color w:val="auto"/>
          <w:highlight w:val="none"/>
        </w:rPr>
        <w:t>采购代理机构在成交通知书发出后</w:t>
      </w:r>
      <w:r>
        <w:rPr>
          <w:rFonts w:ascii="宋体" w:hAnsi="宋体"/>
          <w:color w:val="auto"/>
          <w:highlight w:val="none"/>
        </w:rPr>
        <w:t>5</w:t>
      </w:r>
      <w:r>
        <w:rPr>
          <w:rFonts w:hint="eastAsia" w:ascii="宋体" w:hAnsi="宋体"/>
          <w:color w:val="auto"/>
          <w:highlight w:val="none"/>
        </w:rPr>
        <w:t>个工作日内退还未成交供应商的磋商保证金；在采购合同签定后</w:t>
      </w:r>
      <w:r>
        <w:rPr>
          <w:rFonts w:ascii="宋体" w:hAnsi="宋体"/>
          <w:color w:val="auto"/>
          <w:highlight w:val="none"/>
        </w:rPr>
        <w:t>5</w:t>
      </w:r>
      <w:r>
        <w:rPr>
          <w:rFonts w:hint="eastAsia" w:ascii="宋体" w:hAnsi="宋体"/>
          <w:color w:val="auto"/>
          <w:highlight w:val="none"/>
        </w:rPr>
        <w:t>个工作日内退还成交供应商的磋商保证金，但因供应商自身原因导致无法及时退还的除外。</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19.5 </w:t>
      </w:r>
      <w:r>
        <w:rPr>
          <w:rFonts w:hint="eastAsia" w:ascii="宋体" w:hAnsi="宋体"/>
          <w:color w:val="auto"/>
          <w:highlight w:val="none"/>
        </w:rPr>
        <w:t>有下列情形之一的，磋商保证金不予退还，并上缴本级财政国库：</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）供应商在提交首次响应文件截止时间后撤回响应文件的；</w:t>
      </w:r>
    </w:p>
    <w:p>
      <w:pPr>
        <w:widowControl/>
        <w:adjustRightInd w:val="0"/>
        <w:snapToGrid w:val="0"/>
        <w:spacing w:line="520" w:lineRule="exact"/>
        <w:ind w:firstLine="420" w:firstLineChars="200"/>
        <w:jc w:val="left"/>
        <w:rPr>
          <w:rFonts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）供应商在响应文件中提供虚假资料的；</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w:t>
      </w:r>
      <w:r>
        <w:rPr>
          <w:rFonts w:hint="eastAsia" w:ascii="宋体" w:hAnsi="宋体"/>
          <w:color w:val="auto"/>
          <w:highlight w:val="none"/>
        </w:rPr>
        <w:t>确定成交结果后，无正当理由放弃成交资格的；</w:t>
      </w:r>
    </w:p>
    <w:p>
      <w:pPr>
        <w:widowControl/>
        <w:adjustRightInd w:val="0"/>
        <w:snapToGrid w:val="0"/>
        <w:spacing w:line="520" w:lineRule="exact"/>
        <w:ind w:firstLine="525" w:firstLineChars="250"/>
        <w:jc w:val="left"/>
        <w:rPr>
          <w:rFonts w:ascii="宋体" w:hAnsi="宋体" w:cs="宋体"/>
          <w:color w:val="auto"/>
          <w:kern w:val="0"/>
          <w:szCs w:val="21"/>
          <w:highlight w:val="none"/>
        </w:rPr>
      </w:pPr>
      <w:r>
        <w:rPr>
          <w:rFonts w:ascii="宋体" w:hAnsi="宋体" w:cs="宋体"/>
          <w:color w:val="auto"/>
          <w:kern w:val="0"/>
          <w:szCs w:val="21"/>
          <w:highlight w:val="none"/>
        </w:rPr>
        <w:t xml:space="preserve">(4) </w:t>
      </w:r>
      <w:r>
        <w:rPr>
          <w:rFonts w:hint="eastAsia" w:ascii="宋体" w:hAnsi="宋体" w:cs="宋体"/>
          <w:color w:val="auto"/>
          <w:kern w:val="0"/>
          <w:szCs w:val="21"/>
          <w:highlight w:val="none"/>
        </w:rPr>
        <w:t>除因不可抗力或磋商文件认可的情形以外，成交供应商不与采购人签订合同的；</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5</w:t>
      </w:r>
      <w:r>
        <w:rPr>
          <w:rFonts w:hint="eastAsia" w:ascii="宋体" w:hAnsi="宋体" w:cs="宋体"/>
          <w:color w:val="auto"/>
          <w:kern w:val="0"/>
          <w:szCs w:val="21"/>
          <w:highlight w:val="none"/>
        </w:rPr>
        <w:t>）供应商与采购人、其他供应商或者采购代理机构恶意串通的；</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6</w:t>
      </w:r>
      <w:r>
        <w:rPr>
          <w:rFonts w:hint="eastAsia" w:ascii="宋体" w:hAnsi="宋体" w:cs="宋体"/>
          <w:color w:val="auto"/>
          <w:kern w:val="0"/>
          <w:szCs w:val="21"/>
          <w:highlight w:val="none"/>
        </w:rPr>
        <w:t>）磋商文件规定的其他情形。</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20.</w:t>
      </w:r>
      <w:r>
        <w:rPr>
          <w:rFonts w:ascii="宋体" w:hAnsi="宋体"/>
          <w:color w:val="auto"/>
          <w:szCs w:val="21"/>
          <w:highlight w:val="none"/>
        </w:rPr>
        <w:t xml:space="preserve"> </w:t>
      </w:r>
      <w:r>
        <w:rPr>
          <w:rFonts w:hint="eastAsia" w:ascii="宋体" w:hAnsi="宋体"/>
          <w:b/>
          <w:color w:val="auto"/>
          <w:highlight w:val="none"/>
        </w:rPr>
        <w:t>响应文件</w:t>
      </w:r>
      <w:r>
        <w:rPr>
          <w:rFonts w:hint="eastAsia" w:ascii="宋体" w:hAnsi="宋体"/>
          <w:b/>
          <w:color w:val="auto"/>
          <w:szCs w:val="21"/>
          <w:highlight w:val="none"/>
        </w:rPr>
        <w:t>有效期</w:t>
      </w:r>
    </w:p>
    <w:p>
      <w:pPr>
        <w:adjustRightInd w:val="0"/>
        <w:snapToGrid w:val="0"/>
        <w:spacing w:line="520" w:lineRule="exact"/>
        <w:ind w:firstLine="420" w:firstLineChars="200"/>
        <w:jc w:val="left"/>
        <w:rPr>
          <w:rFonts w:ascii="宋体" w:hAnsi="宋体"/>
          <w:color w:val="auto"/>
          <w:highlight w:val="none"/>
        </w:rPr>
      </w:pPr>
      <w:r>
        <w:rPr>
          <w:rFonts w:ascii="宋体" w:hAnsi="宋体"/>
          <w:color w:val="auto"/>
          <w:highlight w:val="none"/>
        </w:rPr>
        <w:t>20.1</w:t>
      </w:r>
      <w:r>
        <w:rPr>
          <w:rFonts w:hint="eastAsia" w:ascii="宋体" w:hAnsi="宋体"/>
          <w:color w:val="auto"/>
          <w:highlight w:val="none"/>
        </w:rPr>
        <w:t>响应文件</w:t>
      </w:r>
      <w:r>
        <w:rPr>
          <w:rFonts w:hint="eastAsia" w:ascii="宋体" w:hAnsi="宋体"/>
          <w:color w:val="auto"/>
          <w:szCs w:val="21"/>
          <w:highlight w:val="none"/>
        </w:rPr>
        <w:t>有效期见</w:t>
      </w:r>
      <w:r>
        <w:rPr>
          <w:rFonts w:hint="eastAsia" w:ascii="宋体" w:hAnsi="宋体"/>
          <w:b/>
          <w:color w:val="auto"/>
          <w:highlight w:val="none"/>
        </w:rPr>
        <w:t>磋商须知前附表</w:t>
      </w:r>
      <w:r>
        <w:rPr>
          <w:rFonts w:hint="eastAsia" w:ascii="宋体" w:hAnsi="宋体"/>
          <w:color w:val="auto"/>
          <w:szCs w:val="21"/>
          <w:highlight w:val="none"/>
        </w:rPr>
        <w:t>，在此期间</w:t>
      </w:r>
      <w:r>
        <w:rPr>
          <w:rFonts w:hint="eastAsia" w:ascii="宋体" w:hAnsi="宋体"/>
          <w:color w:val="auto"/>
          <w:highlight w:val="none"/>
        </w:rPr>
        <w:t>响应</w:t>
      </w:r>
      <w:r>
        <w:rPr>
          <w:rFonts w:hint="eastAsia" w:ascii="宋体" w:hAnsi="宋体"/>
          <w:color w:val="auto"/>
          <w:szCs w:val="21"/>
          <w:highlight w:val="none"/>
        </w:rPr>
        <w:t>文件对供应商具有法律约束力，</w:t>
      </w:r>
      <w:r>
        <w:rPr>
          <w:rFonts w:hint="eastAsia" w:ascii="宋体" w:hAnsi="宋体" w:cs="Arial"/>
          <w:color w:val="auto"/>
          <w:highlight w:val="none"/>
        </w:rPr>
        <w:t>从</w:t>
      </w:r>
      <w:r>
        <w:rPr>
          <w:rFonts w:hint="eastAsia" w:ascii="宋体" w:hAnsi="宋体" w:cs="宋体"/>
          <w:color w:val="auto"/>
          <w:kern w:val="0"/>
          <w:szCs w:val="21"/>
          <w:highlight w:val="none"/>
        </w:rPr>
        <w:t>提交首次响应文件截止时间</w:t>
      </w:r>
      <w:r>
        <w:rPr>
          <w:rFonts w:hint="eastAsia" w:ascii="宋体" w:hAnsi="宋体"/>
          <w:color w:val="auto"/>
          <w:highlight w:val="none"/>
        </w:rPr>
        <w:t>之日</w:t>
      </w:r>
      <w:r>
        <w:rPr>
          <w:rFonts w:hint="eastAsia" w:ascii="宋体" w:hAnsi="宋体" w:cs="Arial"/>
          <w:color w:val="auto"/>
          <w:highlight w:val="none"/>
        </w:rPr>
        <w:t>起计算。</w:t>
      </w:r>
      <w:r>
        <w:rPr>
          <w:rFonts w:hint="eastAsia" w:ascii="宋体" w:hAnsi="宋体"/>
          <w:color w:val="auto"/>
          <w:highlight w:val="none"/>
        </w:rPr>
        <w:t>响应文件有效期不足的将被视为无效响应。</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21.</w:t>
      </w:r>
      <w:r>
        <w:rPr>
          <w:rFonts w:hint="eastAsia" w:ascii="宋体" w:hAnsi="宋体"/>
          <w:b/>
          <w:bCs/>
          <w:color w:val="auto"/>
          <w:szCs w:val="21"/>
          <w:highlight w:val="none"/>
        </w:rPr>
        <w:t>响应文件的签署及规定</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21.1</w:t>
      </w:r>
      <w:r>
        <w:rPr>
          <w:rFonts w:hint="eastAsia" w:ascii="宋体" w:hAnsi="宋体"/>
          <w:color w:val="auto"/>
          <w:highlight w:val="none"/>
        </w:rPr>
        <w:t>响应文件的正本和副本应装订成册，正本一份，副本份数见</w:t>
      </w:r>
      <w:r>
        <w:rPr>
          <w:rFonts w:hint="eastAsia" w:ascii="宋体" w:hAnsi="宋体"/>
          <w:b/>
          <w:color w:val="auto"/>
          <w:highlight w:val="none"/>
        </w:rPr>
        <w:t>磋商须知前附表</w:t>
      </w:r>
      <w:r>
        <w:rPr>
          <w:rFonts w:hint="eastAsia" w:ascii="宋体" w:hAnsi="宋体"/>
          <w:color w:val="auto"/>
          <w:highlight w:val="none"/>
        </w:rPr>
        <w:t>。正本和副本的封面上应标记“正本”或“副本”的字样，当正本和副本有差异时，以正本为准。</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21.2 </w:t>
      </w:r>
      <w:r>
        <w:rPr>
          <w:rFonts w:hint="eastAsia" w:ascii="宋体" w:hAnsi="宋体"/>
          <w:color w:val="auto"/>
          <w:highlight w:val="none"/>
        </w:rPr>
        <w:t>响应文件正本和副本应按磋商文件要求签章处盖单位章和由法定代表人或其委托代理人签字；任何加行、涂改、增删，应有法定代表人或其委托代理人在旁边签字。否则，将导致响应文件无效。</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21.3 </w:t>
      </w:r>
      <w:r>
        <w:rPr>
          <w:rFonts w:hint="eastAsia" w:ascii="宋体" w:hAnsi="宋体"/>
          <w:color w:val="auto"/>
          <w:highlight w:val="none"/>
        </w:rPr>
        <w:t>在磋商过程中，供应商按磋商文件规定和磋商小组要求</w:t>
      </w:r>
      <w:r>
        <w:rPr>
          <w:rFonts w:hint="eastAsia" w:ascii="宋体" w:hAnsi="宋体" w:cs="宋体"/>
          <w:color w:val="auto"/>
          <w:highlight w:val="none"/>
        </w:rPr>
        <w:t>提交的</w:t>
      </w:r>
      <w:r>
        <w:rPr>
          <w:rFonts w:hint="eastAsia" w:ascii="宋体" w:hAnsi="宋体"/>
          <w:color w:val="auto"/>
          <w:highlight w:val="none"/>
        </w:rPr>
        <w:t>最后报价</w:t>
      </w:r>
      <w:r>
        <w:rPr>
          <w:rFonts w:ascii="宋体" w:hAnsi="宋体"/>
          <w:color w:val="auto"/>
          <w:highlight w:val="none"/>
        </w:rPr>
        <w:t>(</w:t>
      </w:r>
      <w:r>
        <w:rPr>
          <w:rFonts w:hint="eastAsia" w:ascii="宋体" w:hAnsi="宋体"/>
          <w:color w:val="auto"/>
          <w:highlight w:val="none"/>
        </w:rPr>
        <w:t>或者</w:t>
      </w:r>
      <w:r>
        <w:rPr>
          <w:rFonts w:hint="eastAsia" w:ascii="宋体" w:hAnsi="宋体"/>
          <w:bCs/>
          <w:color w:val="auto"/>
          <w:highlight w:val="none"/>
        </w:rPr>
        <w:t>重</w:t>
      </w:r>
      <w:r>
        <w:rPr>
          <w:rFonts w:hint="eastAsia" w:ascii="宋体" w:hAnsi="宋体" w:cs="宋体"/>
          <w:color w:val="auto"/>
          <w:highlight w:val="none"/>
        </w:rPr>
        <w:t>新提交的响应文件和</w:t>
      </w:r>
      <w:r>
        <w:rPr>
          <w:rFonts w:hint="eastAsia" w:ascii="宋体" w:hAnsi="宋体"/>
          <w:color w:val="auto"/>
          <w:highlight w:val="none"/>
        </w:rPr>
        <w:t>最后报价</w:t>
      </w:r>
      <w:r>
        <w:rPr>
          <w:rFonts w:ascii="宋体" w:hAnsi="宋体"/>
          <w:color w:val="auto"/>
          <w:highlight w:val="none"/>
        </w:rPr>
        <w:t>)</w:t>
      </w:r>
      <w:r>
        <w:rPr>
          <w:rFonts w:hint="eastAsia" w:ascii="宋体" w:hAnsi="宋体"/>
          <w:color w:val="auto"/>
          <w:highlight w:val="none"/>
        </w:rPr>
        <w:t>，一式两份，可打印或用不退色墨水书写，但需经法定代表人或其委托代理人签字，</w:t>
      </w:r>
      <w:r>
        <w:rPr>
          <w:rFonts w:hint="eastAsia" w:ascii="宋体" w:hAnsi="宋体" w:cs="宋体"/>
          <w:color w:val="auto"/>
          <w:highlight w:val="none"/>
        </w:rPr>
        <w:t>或者加盖供应商单位章</w:t>
      </w:r>
      <w:r>
        <w:rPr>
          <w:rFonts w:hint="eastAsia" w:ascii="宋体" w:hAnsi="宋体"/>
          <w:color w:val="auto"/>
          <w:highlight w:val="none"/>
        </w:rPr>
        <w:t>。否则，将导致响应文件无效。</w:t>
      </w:r>
    </w:p>
    <w:p>
      <w:pPr>
        <w:adjustRightInd w:val="0"/>
        <w:snapToGrid w:val="0"/>
        <w:spacing w:line="520" w:lineRule="exact"/>
        <w:rPr>
          <w:rFonts w:ascii="宋体" w:hAnsi="宋体"/>
          <w:color w:val="auto"/>
          <w:sz w:val="24"/>
          <w:highlight w:val="none"/>
        </w:rPr>
      </w:pPr>
      <w:r>
        <w:rPr>
          <w:rFonts w:hint="eastAsia" w:ascii="宋体" w:hAnsi="宋体"/>
          <w:color w:val="auto"/>
          <w:sz w:val="24"/>
          <w:highlight w:val="none"/>
        </w:rPr>
        <w:t>四、响应文件的递交</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22.</w:t>
      </w:r>
      <w:r>
        <w:rPr>
          <w:rFonts w:hint="eastAsia" w:ascii="宋体" w:hAnsi="宋体"/>
          <w:b/>
          <w:color w:val="auto"/>
          <w:szCs w:val="21"/>
          <w:highlight w:val="none"/>
        </w:rPr>
        <w:t>响应文件</w:t>
      </w:r>
      <w:r>
        <w:rPr>
          <w:rFonts w:hint="eastAsia" w:ascii="宋体" w:hAnsi="宋体"/>
          <w:b/>
          <w:bCs/>
          <w:color w:val="auto"/>
          <w:szCs w:val="21"/>
          <w:highlight w:val="none"/>
        </w:rPr>
        <w:t>的密封和标记</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22.1</w:t>
      </w:r>
      <w:r>
        <w:rPr>
          <w:rFonts w:hint="eastAsia" w:ascii="宋体" w:hAnsi="宋体"/>
          <w:color w:val="auto"/>
          <w:highlight w:val="none"/>
        </w:rPr>
        <w:t>响应文件应密封包装，加贴封条，并在封套的封口处盖供应商单位章或者由法定代表人或其委托代理人签字。</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22.2</w:t>
      </w:r>
      <w:r>
        <w:rPr>
          <w:rFonts w:hint="eastAsia" w:ascii="宋体" w:hAnsi="宋体"/>
          <w:color w:val="auto"/>
          <w:szCs w:val="21"/>
          <w:highlight w:val="none"/>
        </w:rPr>
        <w:t>响应文件封套上应写明的内容见</w:t>
      </w:r>
      <w:r>
        <w:rPr>
          <w:rFonts w:hint="eastAsia" w:ascii="宋体" w:hAnsi="宋体"/>
          <w:b/>
          <w:color w:val="auto"/>
          <w:szCs w:val="21"/>
          <w:highlight w:val="none"/>
        </w:rPr>
        <w:t>磋商须知前附表。</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22.3</w:t>
      </w:r>
      <w:r>
        <w:rPr>
          <w:rFonts w:hint="eastAsia" w:ascii="宋体" w:hAnsi="宋体"/>
          <w:color w:val="auto"/>
          <w:szCs w:val="21"/>
          <w:highlight w:val="none"/>
        </w:rPr>
        <w:t>响应文件如果未按上述规定密封和加写标记，采购人或采购代理机构将拒绝接收。</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23.</w:t>
      </w:r>
      <w:r>
        <w:rPr>
          <w:rFonts w:hint="eastAsia" w:ascii="宋体" w:hAnsi="宋体"/>
          <w:b/>
          <w:bCs/>
          <w:color w:val="auto"/>
          <w:szCs w:val="21"/>
          <w:highlight w:val="none"/>
        </w:rPr>
        <w:t>响应文件的</w:t>
      </w:r>
      <w:r>
        <w:rPr>
          <w:rFonts w:hint="eastAsia" w:ascii="宋体" w:hAnsi="宋体" w:cs="宋体"/>
          <w:b/>
          <w:color w:val="auto"/>
          <w:kern w:val="0"/>
          <w:szCs w:val="21"/>
          <w:highlight w:val="none"/>
          <w:lang w:val="zh-CN"/>
        </w:rPr>
        <w:t>补充、修改或者撤回</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23.1</w:t>
      </w:r>
      <w:r>
        <w:rPr>
          <w:rFonts w:hint="eastAsia" w:ascii="宋体" w:hAnsi="宋体" w:cs="宋体"/>
          <w:color w:val="auto"/>
          <w:highlight w:val="none"/>
        </w:rPr>
        <w:t>供应商在提交首次响应文件截止时间前，可以对所提交的首次响应文件进行补充、修改或者撤回，并书面通知采购人、采购代理机构。</w:t>
      </w:r>
      <w:r>
        <w:rPr>
          <w:rFonts w:hint="eastAsia" w:ascii="宋体" w:hAnsi="宋体"/>
          <w:color w:val="auto"/>
          <w:highlight w:val="none"/>
        </w:rPr>
        <w:t>该通知应有供应商法定代表人或其委托代理人签字。</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23.2</w:t>
      </w:r>
      <w:r>
        <w:rPr>
          <w:rFonts w:hint="eastAsia" w:ascii="宋体" w:hAnsi="宋体" w:cs="宋体"/>
          <w:color w:val="auto"/>
          <w:highlight w:val="none"/>
          <w:lang w:val="zh-CN"/>
        </w:rPr>
        <w:t>补充、修改的内容与响应文件不一致时，以补充、修改的内容为准。</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24.</w:t>
      </w:r>
      <w:r>
        <w:rPr>
          <w:rFonts w:hint="eastAsia" w:ascii="宋体" w:hAnsi="宋体"/>
          <w:b/>
          <w:bCs/>
          <w:color w:val="auto"/>
          <w:szCs w:val="21"/>
          <w:highlight w:val="none"/>
        </w:rPr>
        <w:t>响应文件的递交与接收</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 xml:space="preserve">24.1 </w:t>
      </w:r>
      <w:r>
        <w:rPr>
          <w:rFonts w:hint="eastAsia" w:ascii="宋体" w:hAnsi="宋体"/>
          <w:color w:val="auto"/>
          <w:szCs w:val="21"/>
          <w:highlight w:val="none"/>
        </w:rPr>
        <w:t>供应商应在</w:t>
      </w:r>
      <w:r>
        <w:rPr>
          <w:rFonts w:hint="eastAsia" w:ascii="宋体" w:hAnsi="宋体" w:cs="宋体"/>
          <w:color w:val="auto"/>
          <w:kern w:val="0"/>
          <w:szCs w:val="21"/>
          <w:highlight w:val="none"/>
        </w:rPr>
        <w:t>提交首次响应文件截止时间</w:t>
      </w:r>
      <w:r>
        <w:rPr>
          <w:rFonts w:hint="eastAsia" w:ascii="宋体" w:hAnsi="宋体"/>
          <w:color w:val="auto"/>
          <w:szCs w:val="21"/>
          <w:highlight w:val="none"/>
        </w:rPr>
        <w:t>前，将响应文件送</w:t>
      </w:r>
      <w:r>
        <w:rPr>
          <w:rFonts w:hint="eastAsia" w:ascii="宋体" w:hAnsi="宋体" w:cs="Arial"/>
          <w:color w:val="auto"/>
          <w:szCs w:val="21"/>
          <w:highlight w:val="none"/>
        </w:rPr>
        <w:t>达</w:t>
      </w:r>
      <w:r>
        <w:rPr>
          <w:rFonts w:hint="eastAsia" w:ascii="宋体" w:hAnsi="宋体"/>
          <w:b/>
          <w:color w:val="auto"/>
          <w:szCs w:val="21"/>
          <w:highlight w:val="none"/>
        </w:rPr>
        <w:t>磋商须知前附表</w:t>
      </w:r>
      <w:r>
        <w:rPr>
          <w:rFonts w:hint="eastAsia" w:ascii="宋体" w:hAnsi="宋体"/>
          <w:color w:val="auto"/>
          <w:szCs w:val="21"/>
          <w:highlight w:val="none"/>
        </w:rPr>
        <w:t>中指定的地点。</w:t>
      </w:r>
      <w:r>
        <w:rPr>
          <w:rFonts w:hint="eastAsia" w:ascii="宋体" w:hAnsi="宋体" w:cs="宋体"/>
          <w:color w:val="auto"/>
          <w:kern w:val="0"/>
          <w:highlight w:val="none"/>
        </w:rPr>
        <w:t>在截止时间后送达的响应文件，采购人、采购代理机构或者磋商小组应当拒收。</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24.2</w:t>
      </w:r>
      <w:r>
        <w:rPr>
          <w:rFonts w:hint="eastAsia" w:ascii="宋体" w:hAnsi="宋体" w:cs="宋体"/>
          <w:color w:val="auto"/>
          <w:highlight w:val="none"/>
        </w:rPr>
        <w:t>在提交首次响应文件截止时间后，</w:t>
      </w:r>
      <w:r>
        <w:rPr>
          <w:rFonts w:hint="eastAsia" w:ascii="宋体" w:hAnsi="宋体"/>
          <w:color w:val="auto"/>
          <w:highlight w:val="none"/>
        </w:rPr>
        <w:t>由</w:t>
      </w:r>
      <w:r>
        <w:rPr>
          <w:rFonts w:hint="eastAsia" w:ascii="宋体" w:hAnsi="宋体"/>
          <w:bCs/>
          <w:color w:val="auto"/>
          <w:highlight w:val="none"/>
        </w:rPr>
        <w:t>供应商代表</w:t>
      </w:r>
      <w:r>
        <w:rPr>
          <w:rFonts w:hint="eastAsia" w:ascii="宋体" w:hAnsi="宋体"/>
          <w:color w:val="auto"/>
          <w:highlight w:val="none"/>
        </w:rPr>
        <w:t>当场查验</w:t>
      </w:r>
      <w:r>
        <w:rPr>
          <w:rFonts w:hint="eastAsia" w:ascii="宋体" w:hAnsi="宋体"/>
          <w:bCs/>
          <w:color w:val="auto"/>
          <w:highlight w:val="none"/>
        </w:rPr>
        <w:t>响应文件</w:t>
      </w:r>
      <w:r>
        <w:rPr>
          <w:rFonts w:hint="eastAsia" w:ascii="宋体" w:hAnsi="宋体"/>
          <w:color w:val="auto"/>
          <w:highlight w:val="none"/>
        </w:rPr>
        <w:t>的密封状况，采购人或</w:t>
      </w:r>
      <w:r>
        <w:rPr>
          <w:rFonts w:hint="eastAsia" w:ascii="宋体" w:hAnsi="宋体"/>
          <w:bCs/>
          <w:color w:val="auto"/>
          <w:highlight w:val="none"/>
        </w:rPr>
        <w:t>采购代理机构</w:t>
      </w:r>
      <w:r>
        <w:rPr>
          <w:rFonts w:hint="eastAsia" w:ascii="宋体" w:hAnsi="宋体"/>
          <w:color w:val="auto"/>
          <w:highlight w:val="none"/>
        </w:rPr>
        <w:t>不当场拆封</w:t>
      </w:r>
      <w:r>
        <w:rPr>
          <w:rFonts w:hint="eastAsia" w:ascii="宋体" w:hAnsi="宋体"/>
          <w:bCs/>
          <w:color w:val="auto"/>
          <w:highlight w:val="none"/>
        </w:rPr>
        <w:t>响应文件</w:t>
      </w:r>
      <w:r>
        <w:rPr>
          <w:rFonts w:hint="eastAsia" w:ascii="宋体" w:hAnsi="宋体"/>
          <w:color w:val="auto"/>
          <w:highlight w:val="none"/>
        </w:rPr>
        <w:t>。</w:t>
      </w:r>
    </w:p>
    <w:p>
      <w:pPr>
        <w:adjustRightInd w:val="0"/>
        <w:snapToGrid w:val="0"/>
        <w:spacing w:line="520" w:lineRule="exact"/>
        <w:rPr>
          <w:rFonts w:ascii="宋体" w:hAnsi="宋体"/>
          <w:color w:val="auto"/>
          <w:sz w:val="24"/>
          <w:highlight w:val="none"/>
        </w:rPr>
      </w:pPr>
      <w:r>
        <w:rPr>
          <w:rFonts w:hint="eastAsia" w:ascii="宋体" w:hAnsi="宋体"/>
          <w:color w:val="auto"/>
          <w:sz w:val="24"/>
          <w:highlight w:val="none"/>
        </w:rPr>
        <w:t>五、响应文件的磋商与评审</w:t>
      </w:r>
    </w:p>
    <w:p>
      <w:pPr>
        <w:tabs>
          <w:tab w:val="left" w:pos="0"/>
        </w:tabs>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25.</w:t>
      </w:r>
      <w:r>
        <w:rPr>
          <w:rFonts w:hint="eastAsia" w:ascii="宋体" w:hAnsi="宋体"/>
          <w:b/>
          <w:bCs/>
          <w:color w:val="auto"/>
          <w:szCs w:val="21"/>
          <w:highlight w:val="none"/>
        </w:rPr>
        <w:t>磋商程序</w:t>
      </w:r>
    </w:p>
    <w:p>
      <w:pPr>
        <w:widowControl/>
        <w:adjustRightInd w:val="0"/>
        <w:snapToGrid w:val="0"/>
        <w:spacing w:line="520" w:lineRule="exact"/>
        <w:ind w:firstLine="420"/>
        <w:jc w:val="left"/>
        <w:rPr>
          <w:rFonts w:ascii="宋体" w:hAnsi="宋体"/>
          <w:bCs/>
          <w:color w:val="auto"/>
          <w:szCs w:val="21"/>
          <w:highlight w:val="none"/>
        </w:rPr>
      </w:pPr>
      <w:r>
        <w:rPr>
          <w:rFonts w:ascii="宋体" w:hAnsi="宋体" w:cs="宋体"/>
          <w:color w:val="auto"/>
          <w:kern w:val="0"/>
          <w:szCs w:val="21"/>
          <w:highlight w:val="none"/>
        </w:rPr>
        <w:t>25.1</w:t>
      </w:r>
      <w:r>
        <w:rPr>
          <w:rFonts w:hint="eastAsia" w:ascii="宋体" w:hAnsi="宋体" w:cs="宋体"/>
          <w:color w:val="auto"/>
          <w:kern w:val="0"/>
          <w:szCs w:val="21"/>
          <w:highlight w:val="none"/>
        </w:rPr>
        <w:t>磋商程序：响应文件审查、磋商（包括澄清）、响应文件评审、</w:t>
      </w:r>
      <w:r>
        <w:rPr>
          <w:rFonts w:hint="eastAsia" w:ascii="宋体" w:hAnsi="宋体"/>
          <w:bCs/>
          <w:color w:val="auto"/>
          <w:szCs w:val="21"/>
          <w:highlight w:val="none"/>
        </w:rPr>
        <w:t>提出成交供应商。其中，</w:t>
      </w:r>
      <w:r>
        <w:rPr>
          <w:rFonts w:hint="eastAsia" w:ascii="宋体" w:hAnsi="宋体" w:cs="宋体"/>
          <w:color w:val="auto"/>
          <w:kern w:val="0"/>
          <w:szCs w:val="21"/>
          <w:highlight w:val="none"/>
        </w:rPr>
        <w:t>磋商按</w:t>
      </w:r>
      <w:r>
        <w:rPr>
          <w:rFonts w:hint="eastAsia" w:ascii="宋体" w:hAnsi="宋体"/>
          <w:color w:val="auto"/>
          <w:szCs w:val="21"/>
          <w:highlight w:val="none"/>
        </w:rPr>
        <w:t>本章</w:t>
      </w:r>
      <w:r>
        <w:rPr>
          <w:rFonts w:hint="eastAsia" w:ascii="宋体" w:hAnsi="宋体"/>
          <w:color w:val="auto"/>
          <w:highlight w:val="none"/>
        </w:rPr>
        <w:t>第</w:t>
      </w:r>
      <w:r>
        <w:rPr>
          <w:rFonts w:ascii="宋体" w:hAnsi="宋体"/>
          <w:color w:val="auto"/>
          <w:highlight w:val="none"/>
        </w:rPr>
        <w:t>30.1</w:t>
      </w:r>
      <w:r>
        <w:rPr>
          <w:rFonts w:hint="eastAsia" w:ascii="宋体" w:hAnsi="宋体" w:cs="宋体"/>
          <w:color w:val="auto"/>
          <w:kern w:val="0"/>
          <w:szCs w:val="21"/>
          <w:highlight w:val="none"/>
          <w:lang w:val="zh-CN"/>
        </w:rPr>
        <w:t>款或者</w:t>
      </w:r>
      <w:r>
        <w:rPr>
          <w:rFonts w:hint="eastAsia" w:ascii="宋体" w:hAnsi="宋体"/>
          <w:color w:val="auto"/>
          <w:highlight w:val="none"/>
        </w:rPr>
        <w:t>第</w:t>
      </w:r>
      <w:r>
        <w:rPr>
          <w:rFonts w:ascii="宋体" w:hAnsi="宋体"/>
          <w:color w:val="auto"/>
          <w:highlight w:val="none"/>
        </w:rPr>
        <w:t>30.2</w:t>
      </w:r>
      <w:r>
        <w:rPr>
          <w:rFonts w:hint="eastAsia" w:ascii="宋体" w:hAnsi="宋体" w:cs="宋体"/>
          <w:color w:val="auto"/>
          <w:kern w:val="0"/>
          <w:szCs w:val="21"/>
          <w:highlight w:val="none"/>
          <w:lang w:val="zh-CN"/>
        </w:rPr>
        <w:t>款</w:t>
      </w:r>
      <w:r>
        <w:rPr>
          <w:rFonts w:hint="eastAsia" w:ascii="宋体" w:hAnsi="宋体"/>
          <w:color w:val="auto"/>
          <w:highlight w:val="none"/>
        </w:rPr>
        <w:t>情形</w:t>
      </w:r>
      <w:r>
        <w:rPr>
          <w:rFonts w:hint="eastAsia" w:ascii="宋体" w:hAnsi="宋体"/>
          <w:bCs/>
          <w:color w:val="auto"/>
          <w:szCs w:val="21"/>
          <w:highlight w:val="none"/>
        </w:rPr>
        <w:t>进行。</w:t>
      </w:r>
    </w:p>
    <w:p>
      <w:pPr>
        <w:widowControl/>
        <w:adjustRightInd w:val="0"/>
        <w:snapToGrid w:val="0"/>
        <w:spacing w:line="520" w:lineRule="exact"/>
        <w:rPr>
          <w:rFonts w:ascii="宋体" w:hAnsi="宋体"/>
          <w:b/>
          <w:color w:val="auto"/>
          <w:szCs w:val="21"/>
          <w:highlight w:val="none"/>
        </w:rPr>
      </w:pPr>
      <w:r>
        <w:rPr>
          <w:rFonts w:ascii="宋体" w:hAnsi="宋体" w:cs="宋体"/>
          <w:b/>
          <w:color w:val="auto"/>
          <w:kern w:val="0"/>
          <w:szCs w:val="21"/>
          <w:highlight w:val="none"/>
        </w:rPr>
        <w:t>26.</w:t>
      </w:r>
      <w:r>
        <w:rPr>
          <w:rFonts w:ascii="宋体" w:hAnsi="宋体"/>
          <w:color w:val="auto"/>
          <w:highlight w:val="none"/>
        </w:rPr>
        <w:t xml:space="preserve"> </w:t>
      </w:r>
      <w:r>
        <w:rPr>
          <w:rFonts w:hint="eastAsia" w:ascii="宋体" w:hAnsi="宋体" w:cs="宋体"/>
          <w:b/>
          <w:color w:val="auto"/>
          <w:kern w:val="0"/>
          <w:szCs w:val="21"/>
          <w:highlight w:val="none"/>
        </w:rPr>
        <w:t>响应文件审查</w:t>
      </w:r>
      <w:r>
        <w:rPr>
          <w:rFonts w:ascii="宋体" w:hAnsi="宋体"/>
          <w:b/>
          <w:color w:val="auto"/>
          <w:szCs w:val="21"/>
          <w:highlight w:val="none"/>
        </w:rPr>
        <w:t xml:space="preserve"> </w:t>
      </w:r>
    </w:p>
    <w:p>
      <w:pPr>
        <w:adjustRightInd w:val="0"/>
        <w:snapToGrid w:val="0"/>
        <w:spacing w:before="156" w:beforeLines="50" w:line="520" w:lineRule="exact"/>
        <w:ind w:firstLine="420" w:firstLineChars="200"/>
        <w:rPr>
          <w:rFonts w:ascii="宋体" w:hAnsi="宋体"/>
          <w:color w:val="auto"/>
          <w:szCs w:val="21"/>
          <w:highlight w:val="none"/>
        </w:rPr>
      </w:pPr>
      <w:r>
        <w:rPr>
          <w:rFonts w:ascii="宋体" w:hAnsi="宋体"/>
          <w:color w:val="auto"/>
          <w:szCs w:val="21"/>
          <w:highlight w:val="none"/>
        </w:rPr>
        <w:t xml:space="preserve">26.1 </w:t>
      </w:r>
      <w:r>
        <w:rPr>
          <w:rFonts w:hint="eastAsia" w:ascii="宋体" w:hAnsi="宋体"/>
          <w:color w:val="auto"/>
          <w:szCs w:val="21"/>
          <w:highlight w:val="none"/>
        </w:rPr>
        <w:t>资格性审查：根据本章第</w:t>
      </w:r>
      <w:r>
        <w:rPr>
          <w:rFonts w:ascii="宋体" w:hAnsi="宋体"/>
          <w:color w:val="auto"/>
          <w:szCs w:val="21"/>
          <w:highlight w:val="none"/>
        </w:rPr>
        <w:t>3.1</w:t>
      </w:r>
      <w:r>
        <w:rPr>
          <w:rFonts w:hint="eastAsia" w:ascii="宋体" w:hAnsi="宋体"/>
          <w:color w:val="auto"/>
          <w:szCs w:val="21"/>
          <w:highlight w:val="none"/>
        </w:rPr>
        <w:t>项规定的供应商资格条件要求，对</w:t>
      </w:r>
      <w:r>
        <w:rPr>
          <w:rFonts w:hint="eastAsia" w:ascii="宋体" w:hAnsi="宋体"/>
          <w:color w:val="auto"/>
          <w:highlight w:val="none"/>
        </w:rPr>
        <w:t>响应</w:t>
      </w:r>
      <w:r>
        <w:rPr>
          <w:rFonts w:hint="eastAsia" w:ascii="宋体" w:hAnsi="宋体"/>
          <w:color w:val="auto"/>
          <w:szCs w:val="21"/>
          <w:highlight w:val="none"/>
        </w:rPr>
        <w:t>文件的资格证明等进行审查，以确定供应商是否具备磋商资格条件。</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26.2</w:t>
      </w:r>
      <w:r>
        <w:rPr>
          <w:rFonts w:hint="eastAsia" w:ascii="宋体" w:hAnsi="宋体"/>
          <w:color w:val="auto"/>
          <w:szCs w:val="21"/>
          <w:highlight w:val="none"/>
        </w:rPr>
        <w:t>符合性审查</w:t>
      </w:r>
      <w:r>
        <w:rPr>
          <w:rFonts w:ascii="宋体" w:hAnsi="宋体"/>
          <w:color w:val="auto"/>
          <w:szCs w:val="21"/>
          <w:highlight w:val="none"/>
        </w:rPr>
        <w:t xml:space="preserve">: </w:t>
      </w:r>
      <w:r>
        <w:rPr>
          <w:rFonts w:hint="eastAsia" w:ascii="宋体" w:hAnsi="宋体"/>
          <w:color w:val="auto"/>
          <w:szCs w:val="21"/>
          <w:highlight w:val="none"/>
        </w:rPr>
        <w:t>对响应文件</w:t>
      </w:r>
      <w:r>
        <w:rPr>
          <w:rFonts w:ascii="宋体" w:hAnsi="宋体"/>
          <w:color w:val="auto"/>
          <w:szCs w:val="21"/>
          <w:highlight w:val="none"/>
        </w:rPr>
        <w:t>(</w:t>
      </w:r>
      <w:r>
        <w:rPr>
          <w:rFonts w:hint="eastAsia" w:ascii="宋体" w:hAnsi="宋体"/>
          <w:color w:val="auto"/>
          <w:szCs w:val="21"/>
          <w:highlight w:val="none"/>
        </w:rPr>
        <w:t>包括首次提交的响应文件、重新提交的响应文件</w:t>
      </w:r>
      <w:r>
        <w:rPr>
          <w:rFonts w:ascii="宋体" w:hAnsi="宋体"/>
          <w:color w:val="auto"/>
          <w:szCs w:val="21"/>
          <w:highlight w:val="none"/>
        </w:rPr>
        <w:t>)</w:t>
      </w:r>
      <w:r>
        <w:rPr>
          <w:rFonts w:hint="eastAsia" w:ascii="宋体" w:hAnsi="宋体"/>
          <w:color w:val="auto"/>
          <w:szCs w:val="21"/>
          <w:highlight w:val="none"/>
        </w:rPr>
        <w:t>的有效性、完整性和响应程度进行审查，以确定是否对磋商文件的实质性要求作出响应。</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26.3</w:t>
      </w:r>
      <w:r>
        <w:rPr>
          <w:rFonts w:hint="eastAsia" w:ascii="宋体" w:hAnsi="宋体"/>
          <w:color w:val="auto"/>
          <w:szCs w:val="21"/>
          <w:highlight w:val="none"/>
        </w:rPr>
        <w:t>响应文件审查结束后，磋商小组所有成员集中与单一供应商分别进行磋商，并给予所有参加磋商的供应商平等的磋商机会。供应商应派其法定代表人或委托代理人参加磋商。</w:t>
      </w:r>
    </w:p>
    <w:p>
      <w:pPr>
        <w:adjustRightInd w:val="0"/>
        <w:snapToGrid w:val="0"/>
        <w:spacing w:line="520" w:lineRule="exact"/>
        <w:rPr>
          <w:rFonts w:ascii="宋体" w:hAnsi="宋体" w:cs="宋体"/>
          <w:b/>
          <w:color w:val="auto"/>
          <w:highlight w:val="none"/>
        </w:rPr>
      </w:pPr>
      <w:r>
        <w:rPr>
          <w:rFonts w:ascii="宋体" w:hAnsi="宋体" w:cs="宋体"/>
          <w:b/>
          <w:color w:val="auto"/>
          <w:highlight w:val="none"/>
        </w:rPr>
        <w:t>27.</w:t>
      </w:r>
      <w:r>
        <w:rPr>
          <w:rFonts w:hint="eastAsia" w:ascii="宋体" w:hAnsi="宋体" w:cs="宋体"/>
          <w:b/>
          <w:color w:val="auto"/>
          <w:highlight w:val="none"/>
        </w:rPr>
        <w:t>实质性响应</w:t>
      </w:r>
    </w:p>
    <w:p>
      <w:pPr>
        <w:adjustRightInd w:val="0"/>
        <w:snapToGrid w:val="0"/>
        <w:spacing w:line="520" w:lineRule="exact"/>
        <w:ind w:firstLine="420" w:firstLineChars="200"/>
        <w:rPr>
          <w:rFonts w:ascii="宋体" w:hAnsi="宋体" w:cs="Arial"/>
          <w:color w:val="auto"/>
          <w:highlight w:val="none"/>
          <w:u w:val="single"/>
        </w:rPr>
      </w:pPr>
      <w:r>
        <w:rPr>
          <w:rFonts w:ascii="宋体" w:hAnsi="宋体" w:cs="宋体"/>
          <w:color w:val="auto"/>
          <w:highlight w:val="none"/>
        </w:rPr>
        <w:t>27.1</w:t>
      </w:r>
      <w:r>
        <w:rPr>
          <w:rFonts w:hint="eastAsia" w:ascii="宋体" w:hAnsi="宋体"/>
          <w:color w:val="auto"/>
          <w:highlight w:val="none"/>
        </w:rPr>
        <w:t>实质性响应是指响应文件</w:t>
      </w:r>
      <w:r>
        <w:rPr>
          <w:rFonts w:ascii="宋体" w:hAnsi="宋体"/>
          <w:color w:val="auto"/>
          <w:highlight w:val="none"/>
        </w:rPr>
        <w:t>(</w:t>
      </w:r>
      <w:r>
        <w:rPr>
          <w:rFonts w:hint="eastAsia" w:ascii="宋体" w:hAnsi="宋体"/>
          <w:color w:val="auto"/>
          <w:highlight w:val="none"/>
        </w:rPr>
        <w:t>包括首次响应文件、重新提交的响应文件</w:t>
      </w:r>
      <w:r>
        <w:rPr>
          <w:rFonts w:ascii="宋体" w:hAnsi="宋体"/>
          <w:color w:val="auto"/>
          <w:highlight w:val="none"/>
        </w:rPr>
        <w:t>)</w:t>
      </w:r>
      <w:r>
        <w:rPr>
          <w:rFonts w:hint="eastAsia" w:ascii="宋体" w:hAnsi="宋体"/>
          <w:color w:val="auto"/>
          <w:highlight w:val="none"/>
        </w:rPr>
        <w:t>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520" w:lineRule="exact"/>
        <w:ind w:right="23" w:rightChars="11" w:firstLine="420" w:firstLineChars="200"/>
        <w:rPr>
          <w:rFonts w:ascii="宋体" w:hAnsi="宋体"/>
          <w:color w:val="auto"/>
          <w:szCs w:val="21"/>
          <w:highlight w:val="none"/>
        </w:rPr>
      </w:pPr>
      <w:r>
        <w:rPr>
          <w:rFonts w:ascii="宋体" w:hAnsi="宋体"/>
          <w:color w:val="auto"/>
          <w:szCs w:val="21"/>
          <w:highlight w:val="none"/>
        </w:rPr>
        <w:t>27.2</w:t>
      </w:r>
      <w:r>
        <w:rPr>
          <w:rFonts w:hint="eastAsia" w:ascii="宋体" w:hAnsi="宋体"/>
          <w:color w:val="auto"/>
          <w:highlight w:val="none"/>
        </w:rPr>
        <w:t>响应文件是否实质性响应磋商文件要求由磋商小组依据磋商文件规定认定。</w:t>
      </w:r>
      <w:r>
        <w:rPr>
          <w:rFonts w:hint="eastAsia" w:ascii="宋体" w:hAnsi="宋体" w:cs="宋体"/>
          <w:color w:val="auto"/>
          <w:kern w:val="0"/>
          <w:szCs w:val="21"/>
          <w:highlight w:val="none"/>
        </w:rPr>
        <w:t>磋商小组</w:t>
      </w:r>
      <w:r>
        <w:rPr>
          <w:rFonts w:hint="eastAsia" w:ascii="宋体" w:hAnsi="宋体"/>
          <w:color w:val="auto"/>
          <w:szCs w:val="21"/>
          <w:highlight w:val="none"/>
        </w:rPr>
        <w:t>决定</w:t>
      </w:r>
      <w:r>
        <w:rPr>
          <w:rFonts w:hint="eastAsia" w:ascii="宋体" w:hAnsi="宋体"/>
          <w:color w:val="auto"/>
          <w:highlight w:val="none"/>
        </w:rPr>
        <w:t>响应文件</w:t>
      </w:r>
      <w:r>
        <w:rPr>
          <w:rFonts w:hint="eastAsia" w:ascii="宋体" w:hAnsi="宋体"/>
          <w:color w:val="auto"/>
          <w:szCs w:val="21"/>
          <w:highlight w:val="none"/>
        </w:rPr>
        <w:t>的响应性只根据</w:t>
      </w:r>
      <w:r>
        <w:rPr>
          <w:rFonts w:hint="eastAsia" w:ascii="宋体" w:hAnsi="宋体"/>
          <w:color w:val="auto"/>
          <w:highlight w:val="none"/>
        </w:rPr>
        <w:t>响应文件</w:t>
      </w:r>
      <w:r>
        <w:rPr>
          <w:rFonts w:hint="eastAsia" w:ascii="宋体" w:hAnsi="宋体"/>
          <w:color w:val="auto"/>
          <w:szCs w:val="21"/>
          <w:highlight w:val="none"/>
        </w:rPr>
        <w:t>本身的真实无误的内容，而不依据外部的证据。</w:t>
      </w:r>
    </w:p>
    <w:p>
      <w:pPr>
        <w:adjustRightInd w:val="0"/>
        <w:snapToGrid w:val="0"/>
        <w:spacing w:line="520" w:lineRule="exact"/>
        <w:rPr>
          <w:rFonts w:ascii="宋体" w:hAnsi="宋体" w:cs="宋体"/>
          <w:b/>
          <w:color w:val="auto"/>
          <w:highlight w:val="none"/>
        </w:rPr>
      </w:pPr>
      <w:r>
        <w:rPr>
          <w:rFonts w:ascii="宋体" w:hAnsi="宋体" w:cs="宋体"/>
          <w:b/>
          <w:color w:val="auto"/>
          <w:highlight w:val="none"/>
        </w:rPr>
        <w:t>28.</w:t>
      </w:r>
      <w:r>
        <w:rPr>
          <w:rFonts w:hint="eastAsia" w:ascii="宋体" w:hAnsi="宋体" w:cs="宋体"/>
          <w:b/>
          <w:color w:val="auto"/>
          <w:highlight w:val="none"/>
        </w:rPr>
        <w:t>无效响应</w:t>
      </w:r>
      <w:r>
        <w:rPr>
          <w:rFonts w:ascii="宋体" w:hAnsi="宋体" w:cs="宋体"/>
          <w:b/>
          <w:color w:val="auto"/>
          <w:highlight w:val="none"/>
        </w:rPr>
        <w:t xml:space="preserve"> </w:t>
      </w:r>
    </w:p>
    <w:p>
      <w:pPr>
        <w:adjustRightInd w:val="0"/>
        <w:snapToGrid w:val="0"/>
        <w:spacing w:line="520" w:lineRule="exact"/>
        <w:ind w:firstLine="411" w:firstLineChars="196"/>
        <w:rPr>
          <w:rFonts w:ascii="宋体" w:hAnsi="宋体" w:cs="宋体"/>
          <w:b/>
          <w:color w:val="auto"/>
          <w:highlight w:val="none"/>
        </w:rPr>
      </w:pPr>
      <w:r>
        <w:rPr>
          <w:rFonts w:ascii="宋体" w:hAnsi="宋体" w:cs="宋体"/>
          <w:color w:val="auto"/>
          <w:highlight w:val="none"/>
        </w:rPr>
        <w:t>28.1</w:t>
      </w:r>
      <w:r>
        <w:rPr>
          <w:rFonts w:hint="eastAsia" w:ascii="宋体" w:hAnsi="宋体"/>
          <w:color w:val="auto"/>
          <w:highlight w:val="none"/>
        </w:rPr>
        <w:t>磋商小组在对资格性和符合性进行审查时，有下列情况之一的，属无效响应，</w:t>
      </w:r>
      <w:r>
        <w:rPr>
          <w:rFonts w:hint="eastAsia" w:ascii="宋体" w:hAnsi="宋体" w:cs="宋体"/>
          <w:color w:val="auto"/>
          <w:highlight w:val="none"/>
        </w:rPr>
        <w:t>磋商小组应当告知有关供应商</w:t>
      </w:r>
      <w:r>
        <w:rPr>
          <w:rFonts w:hint="eastAsia" w:ascii="宋体" w:hAnsi="宋体"/>
          <w:color w:val="auto"/>
          <w:highlight w:val="none"/>
        </w:rPr>
        <w:t>：</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）供应商不具备本章第</w:t>
      </w:r>
      <w:r>
        <w:rPr>
          <w:rFonts w:ascii="宋体" w:hAnsi="宋体"/>
          <w:color w:val="auto"/>
          <w:szCs w:val="21"/>
          <w:highlight w:val="none"/>
        </w:rPr>
        <w:t>3.1</w:t>
      </w:r>
      <w:r>
        <w:rPr>
          <w:rFonts w:hint="eastAsia" w:ascii="宋体" w:hAnsi="宋体"/>
          <w:color w:val="auto"/>
          <w:szCs w:val="21"/>
          <w:highlight w:val="none"/>
        </w:rPr>
        <w:t>款规定的供应商资格条件要求，或存在本章第</w:t>
      </w:r>
      <w:r>
        <w:rPr>
          <w:rFonts w:ascii="宋体" w:hAnsi="宋体"/>
          <w:color w:val="auto"/>
          <w:szCs w:val="21"/>
          <w:highlight w:val="none"/>
        </w:rPr>
        <w:t>3.3</w:t>
      </w:r>
      <w:r>
        <w:rPr>
          <w:rFonts w:hint="eastAsia" w:ascii="宋体" w:hAnsi="宋体"/>
          <w:color w:val="auto"/>
          <w:szCs w:val="21"/>
          <w:highlight w:val="none"/>
        </w:rPr>
        <w:t>款情形的；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）联合体不符合本章第</w:t>
      </w:r>
      <w:r>
        <w:rPr>
          <w:rFonts w:ascii="宋体" w:hAnsi="宋体"/>
          <w:color w:val="auto"/>
          <w:szCs w:val="21"/>
          <w:highlight w:val="none"/>
        </w:rPr>
        <w:t>3.2</w:t>
      </w:r>
      <w:r>
        <w:rPr>
          <w:rFonts w:hint="eastAsia" w:ascii="宋体" w:hAnsi="宋体"/>
          <w:color w:val="auto"/>
          <w:szCs w:val="21"/>
          <w:highlight w:val="none"/>
        </w:rPr>
        <w:t>款规定的；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）应交未交磋商保证金或金额不足、磋商保证金缴纳形式不符合磋商文件要求的；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）响应文件未按照磋商文件要求签署、盖章的；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）响应文件不满足本章第</w:t>
      </w:r>
      <w:r>
        <w:rPr>
          <w:rFonts w:ascii="宋体" w:hAnsi="宋体"/>
          <w:color w:val="auto"/>
          <w:szCs w:val="21"/>
          <w:highlight w:val="none"/>
        </w:rPr>
        <w:t>27.1</w:t>
      </w:r>
      <w:r>
        <w:rPr>
          <w:rFonts w:hint="eastAsia" w:ascii="宋体" w:hAnsi="宋体"/>
          <w:color w:val="auto"/>
          <w:szCs w:val="21"/>
          <w:highlight w:val="none"/>
        </w:rPr>
        <w:t>款规定的实质性要求的；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）报价超过采购项目预算的；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）响应文件有效期不足的；</w:t>
      </w:r>
    </w:p>
    <w:p>
      <w:pPr>
        <w:adjustRightInd w:val="0"/>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）响应文件不符合法律、规章、规范性文件和磋商文件规定及要求的。</w:t>
      </w:r>
    </w:p>
    <w:p>
      <w:pPr>
        <w:widowControl/>
        <w:adjustRightInd w:val="0"/>
        <w:snapToGrid w:val="0"/>
        <w:spacing w:line="520" w:lineRule="exact"/>
        <w:jc w:val="left"/>
        <w:rPr>
          <w:rFonts w:ascii="宋体" w:hAnsi="宋体" w:cs="宋体"/>
          <w:b/>
          <w:color w:val="auto"/>
          <w:kern w:val="0"/>
          <w:szCs w:val="21"/>
          <w:highlight w:val="none"/>
        </w:rPr>
      </w:pPr>
      <w:r>
        <w:rPr>
          <w:rFonts w:ascii="宋体" w:hAnsi="宋体" w:cs="宋体"/>
          <w:b/>
          <w:color w:val="auto"/>
          <w:kern w:val="0"/>
          <w:szCs w:val="21"/>
          <w:highlight w:val="none"/>
        </w:rPr>
        <w:t>29.</w:t>
      </w:r>
      <w:r>
        <w:rPr>
          <w:rFonts w:hint="eastAsia" w:ascii="宋体" w:hAnsi="宋体" w:cs="宋体"/>
          <w:b/>
          <w:color w:val="auto"/>
          <w:kern w:val="0"/>
          <w:szCs w:val="21"/>
          <w:highlight w:val="none"/>
        </w:rPr>
        <w:t>澄清</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 xml:space="preserve">29.1 </w:t>
      </w:r>
      <w:r>
        <w:rPr>
          <w:rFonts w:hint="eastAsia" w:ascii="宋体" w:hAnsi="宋体" w:cs="宋体"/>
          <w:color w:val="auto"/>
          <w:kern w:val="0"/>
          <w:szCs w:val="21"/>
          <w:highlight w:val="none"/>
        </w:rPr>
        <w:t>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 xml:space="preserve">29.2 </w:t>
      </w:r>
      <w:r>
        <w:rPr>
          <w:rFonts w:hint="eastAsia" w:ascii="宋体" w:hAnsi="宋体" w:cs="宋体"/>
          <w:color w:val="auto"/>
          <w:kern w:val="0"/>
          <w:szCs w:val="21"/>
          <w:highlight w:val="none"/>
        </w:rPr>
        <w:t>最后报价计算错误修正的原则：最后报价</w:t>
      </w:r>
      <w:r>
        <w:rPr>
          <w:rFonts w:hint="eastAsia" w:ascii="宋体" w:hAnsi="宋体" w:cs="Arial"/>
          <w:color w:val="auto"/>
          <w:kern w:val="0"/>
          <w:szCs w:val="21"/>
          <w:highlight w:val="none"/>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520" w:lineRule="exact"/>
        <w:jc w:val="left"/>
        <w:rPr>
          <w:rFonts w:ascii="宋体" w:hAnsi="宋体" w:cs="宋体"/>
          <w:b/>
          <w:color w:val="auto"/>
          <w:kern w:val="0"/>
          <w:szCs w:val="21"/>
          <w:highlight w:val="none"/>
        </w:rPr>
      </w:pPr>
      <w:r>
        <w:rPr>
          <w:rFonts w:ascii="宋体" w:hAnsi="宋体" w:cs="宋体"/>
          <w:b/>
          <w:color w:val="auto"/>
          <w:kern w:val="0"/>
          <w:szCs w:val="21"/>
          <w:highlight w:val="none"/>
        </w:rPr>
        <w:t>30.</w:t>
      </w:r>
      <w:r>
        <w:rPr>
          <w:rFonts w:hint="eastAsia" w:ascii="宋体" w:hAnsi="宋体" w:cs="宋体"/>
          <w:b/>
          <w:color w:val="auto"/>
          <w:kern w:val="0"/>
          <w:szCs w:val="21"/>
          <w:highlight w:val="none"/>
        </w:rPr>
        <w:t>磋商</w:t>
      </w:r>
    </w:p>
    <w:p>
      <w:pPr>
        <w:widowControl/>
        <w:adjustRightInd w:val="0"/>
        <w:snapToGrid w:val="0"/>
        <w:spacing w:line="520" w:lineRule="exact"/>
        <w:ind w:firstLine="420"/>
        <w:jc w:val="left"/>
        <w:rPr>
          <w:rFonts w:ascii="宋体" w:hAnsi="宋体" w:cs="宋体"/>
          <w:color w:val="auto"/>
          <w:kern w:val="0"/>
          <w:szCs w:val="21"/>
          <w:highlight w:val="none"/>
          <w:lang w:val="zh-CN"/>
        </w:rPr>
      </w:pPr>
      <w:r>
        <w:rPr>
          <w:rFonts w:ascii="宋体" w:hAnsi="宋体" w:cs="宋体"/>
          <w:color w:val="auto"/>
          <w:kern w:val="0"/>
          <w:szCs w:val="21"/>
          <w:highlight w:val="none"/>
        </w:rPr>
        <w:t>30.1</w:t>
      </w:r>
      <w:r>
        <w:rPr>
          <w:rFonts w:hint="eastAsia" w:ascii="宋体" w:hAnsi="宋体"/>
          <w:color w:val="auto"/>
          <w:highlight w:val="none"/>
        </w:rPr>
        <w:t>本章第</w:t>
      </w:r>
      <w:r>
        <w:rPr>
          <w:rFonts w:ascii="宋体" w:hAnsi="宋体"/>
          <w:color w:val="auto"/>
          <w:highlight w:val="none"/>
        </w:rPr>
        <w:t>10.2</w:t>
      </w:r>
      <w:r>
        <w:rPr>
          <w:rFonts w:hint="eastAsia" w:ascii="宋体" w:hAnsi="宋体"/>
          <w:color w:val="auto"/>
          <w:highlight w:val="none"/>
        </w:rPr>
        <w:t>项</w:t>
      </w:r>
      <w:r>
        <w:rPr>
          <w:rFonts w:hint="eastAsia" w:ascii="宋体" w:hAnsi="宋体" w:cs="宋体"/>
          <w:color w:val="auto"/>
          <w:kern w:val="0"/>
          <w:szCs w:val="21"/>
          <w:highlight w:val="none"/>
        </w:rPr>
        <w:t>未明确磋商文件实质性变动内容的，或者磋商文件明确了可能发生实质性变动内容，但在磋商过程中，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52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）磋商结束后，磋商小组应当要求所有继续参加磋商的供应商在磋商小组规定时间内提交最后报价。</w:t>
      </w:r>
    </w:p>
    <w:p>
      <w:pPr>
        <w:widowControl/>
        <w:tabs>
          <w:tab w:val="left" w:pos="1080"/>
          <w:tab w:val="left" w:pos="1260"/>
        </w:tabs>
        <w:adjustRightInd w:val="0"/>
        <w:snapToGrid w:val="0"/>
        <w:spacing w:line="52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）磋商文件明确可能发生实质性变动，但在磋商过程中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磋商文件无需发生实质性变动的，磋商小组不另行通知。</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30.2</w:t>
      </w:r>
      <w:r>
        <w:rPr>
          <w:rFonts w:hint="eastAsia" w:ascii="宋体" w:hAnsi="宋体"/>
          <w:color w:val="auto"/>
          <w:highlight w:val="none"/>
        </w:rPr>
        <w:t>本章第</w:t>
      </w:r>
      <w:r>
        <w:rPr>
          <w:rFonts w:ascii="宋体" w:hAnsi="宋体"/>
          <w:color w:val="auto"/>
          <w:highlight w:val="none"/>
        </w:rPr>
        <w:t>10.2</w:t>
      </w:r>
      <w:r>
        <w:rPr>
          <w:rFonts w:hint="eastAsia" w:ascii="宋体" w:hAnsi="宋体" w:cs="宋体"/>
          <w:color w:val="auto"/>
          <w:kern w:val="0"/>
          <w:szCs w:val="21"/>
          <w:highlight w:val="none"/>
          <w:lang w:val="zh-CN"/>
        </w:rPr>
        <w:t>款</w:t>
      </w:r>
      <w:r>
        <w:rPr>
          <w:rFonts w:hint="eastAsia" w:ascii="宋体" w:hAnsi="宋体" w:cs="宋体"/>
          <w:color w:val="auto"/>
          <w:kern w:val="0"/>
          <w:szCs w:val="21"/>
          <w:highlight w:val="none"/>
        </w:rPr>
        <w:t>明确磋商文件实质性变动内容的，</w:t>
      </w:r>
      <w:r>
        <w:rPr>
          <w:rFonts w:hint="eastAsia" w:ascii="宋体" w:hAnsi="宋体"/>
          <w:bCs/>
          <w:color w:val="auto"/>
          <w:szCs w:val="21"/>
          <w:highlight w:val="none"/>
        </w:rPr>
        <w:t>磋商小组</w:t>
      </w:r>
      <w:r>
        <w:rPr>
          <w:rFonts w:hint="eastAsia" w:ascii="宋体" w:hAnsi="宋体" w:cs="宋体"/>
          <w:color w:val="auto"/>
          <w:kern w:val="0"/>
          <w:szCs w:val="21"/>
          <w:highlight w:val="none"/>
        </w:rPr>
        <w:t>可以组织多轮磋商。</w:t>
      </w:r>
      <w:r>
        <w:rPr>
          <w:rFonts w:hint="eastAsia" w:ascii="宋体" w:hAnsi="宋体"/>
          <w:bCs/>
          <w:color w:val="auto"/>
          <w:szCs w:val="21"/>
          <w:highlight w:val="none"/>
        </w:rPr>
        <w:t>在每一轮磋商中，磋商小组</w:t>
      </w:r>
      <w:r>
        <w:rPr>
          <w:rFonts w:hint="eastAsia" w:ascii="宋体" w:hAnsi="宋体" w:cs="宋体"/>
          <w:color w:val="auto"/>
          <w:kern w:val="0"/>
          <w:szCs w:val="21"/>
          <w:highlight w:val="none"/>
        </w:rPr>
        <w:t>可以</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磋商文件规定和磋商情况，</w:t>
      </w:r>
      <w:r>
        <w:rPr>
          <w:rFonts w:hint="eastAsia" w:ascii="宋体" w:hAnsi="宋体"/>
          <w:bCs/>
          <w:color w:val="auto"/>
          <w:szCs w:val="21"/>
          <w:highlight w:val="none"/>
        </w:rPr>
        <w:t>对磋商文件的</w:t>
      </w:r>
      <w:r>
        <w:rPr>
          <w:rFonts w:hint="eastAsia" w:ascii="宋体" w:hAnsi="宋体" w:cs="宋体"/>
          <w:color w:val="auto"/>
          <w:kern w:val="0"/>
          <w:szCs w:val="21"/>
          <w:highlight w:val="none"/>
        </w:rPr>
        <w:t>采购需求中的技术、服务要求以及合同草案条款</w:t>
      </w:r>
      <w:r>
        <w:rPr>
          <w:rFonts w:hint="eastAsia" w:ascii="宋体" w:hAnsi="宋体"/>
          <w:bCs/>
          <w:color w:val="auto"/>
          <w:szCs w:val="21"/>
          <w:highlight w:val="none"/>
        </w:rPr>
        <w:t>作实质性变动</w:t>
      </w:r>
      <w:r>
        <w:rPr>
          <w:rFonts w:ascii="宋体" w:hAnsi="宋体"/>
          <w:bCs/>
          <w:color w:val="auto"/>
          <w:szCs w:val="21"/>
          <w:highlight w:val="none"/>
        </w:rPr>
        <w:t>(</w:t>
      </w:r>
      <w:r>
        <w:rPr>
          <w:rFonts w:hint="eastAsia" w:ascii="宋体" w:hAnsi="宋体"/>
          <w:bCs/>
          <w:color w:val="auto"/>
          <w:szCs w:val="21"/>
          <w:highlight w:val="none"/>
        </w:rPr>
        <w:t>磋商文件的实质性变动内容为磋商文件的组成部分</w:t>
      </w:r>
      <w:r>
        <w:rPr>
          <w:rFonts w:ascii="宋体" w:hAnsi="宋体"/>
          <w:bCs/>
          <w:color w:val="auto"/>
          <w:szCs w:val="21"/>
          <w:highlight w:val="none"/>
        </w:rPr>
        <w:t>)</w:t>
      </w:r>
      <w:r>
        <w:rPr>
          <w:rFonts w:hint="eastAsia" w:ascii="宋体" w:hAnsi="宋体"/>
          <w:bCs/>
          <w:color w:val="auto"/>
          <w:szCs w:val="21"/>
          <w:highlight w:val="none"/>
        </w:rPr>
        <w:t>，并以书面形式要求</w:t>
      </w:r>
      <w:r>
        <w:rPr>
          <w:rFonts w:hint="eastAsia" w:ascii="宋体" w:hAnsi="宋体" w:cs="宋体"/>
          <w:color w:val="auto"/>
          <w:kern w:val="0"/>
          <w:szCs w:val="21"/>
          <w:highlight w:val="none"/>
        </w:rPr>
        <w:t>响应文件审查合格</w:t>
      </w:r>
      <w:r>
        <w:rPr>
          <w:rFonts w:hint="eastAsia" w:ascii="宋体" w:hAnsi="宋体"/>
          <w:bCs/>
          <w:color w:val="auto"/>
          <w:szCs w:val="21"/>
          <w:highlight w:val="none"/>
        </w:rPr>
        <w:t>的供应商，在规定的</w:t>
      </w:r>
      <w:r>
        <w:rPr>
          <w:rFonts w:hint="eastAsia" w:ascii="宋体" w:hAnsi="宋体" w:cs="宋体"/>
          <w:color w:val="auto"/>
          <w:kern w:val="0"/>
          <w:szCs w:val="21"/>
          <w:highlight w:val="none"/>
        </w:rPr>
        <w:t>截止时间前</w:t>
      </w:r>
      <w:r>
        <w:rPr>
          <w:rFonts w:hint="eastAsia" w:ascii="宋体" w:hAnsi="宋体"/>
          <w:bCs/>
          <w:color w:val="auto"/>
          <w:szCs w:val="21"/>
          <w:highlight w:val="none"/>
        </w:rPr>
        <w:t>重</w:t>
      </w:r>
      <w:r>
        <w:rPr>
          <w:rFonts w:hint="eastAsia" w:ascii="宋体" w:hAnsi="宋体" w:cs="宋体"/>
          <w:color w:val="auto"/>
          <w:kern w:val="0"/>
          <w:szCs w:val="21"/>
          <w:highlight w:val="none"/>
        </w:rPr>
        <w:t>新提交响应文件</w:t>
      </w:r>
      <w:r>
        <w:rPr>
          <w:rFonts w:hint="eastAsia" w:ascii="宋体" w:hAnsi="宋体"/>
          <w:bCs/>
          <w:color w:val="auto"/>
          <w:szCs w:val="21"/>
          <w:highlight w:val="none"/>
        </w:rPr>
        <w:t>。</w:t>
      </w:r>
      <w:r>
        <w:rPr>
          <w:rFonts w:hint="eastAsia" w:ascii="宋体" w:hAnsi="宋体" w:cs="宋体"/>
          <w:color w:val="auto"/>
          <w:kern w:val="0"/>
          <w:szCs w:val="21"/>
          <w:highlight w:val="none"/>
        </w:rPr>
        <w:t>磋商小组应当</w:t>
      </w:r>
      <w:r>
        <w:rPr>
          <w:rFonts w:hint="eastAsia" w:ascii="宋体" w:hAnsi="宋体"/>
          <w:color w:val="auto"/>
          <w:szCs w:val="21"/>
          <w:highlight w:val="none"/>
        </w:rPr>
        <w:t>根据本章第</w:t>
      </w:r>
      <w:r>
        <w:rPr>
          <w:rFonts w:ascii="宋体" w:hAnsi="宋体"/>
          <w:color w:val="auto"/>
          <w:szCs w:val="21"/>
          <w:highlight w:val="none"/>
        </w:rPr>
        <w:t>26.2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hint="eastAsia" w:ascii="宋体" w:hAnsi="宋体" w:cs="宋体"/>
          <w:color w:val="auto"/>
          <w:kern w:val="0"/>
          <w:szCs w:val="21"/>
          <w:highlight w:val="none"/>
        </w:rPr>
        <w:t>对供应商重新提交的响应文件进行审查。供应商重新提交的响应文件审查不合格的，不得进入下一轮磋商，也不得要求提交最后报价。</w:t>
      </w:r>
    </w:p>
    <w:p>
      <w:pPr>
        <w:adjustRightInd w:val="0"/>
        <w:snapToGrid w:val="0"/>
        <w:spacing w:line="5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）磋商文件能够详细列明采购需求的技术、服务要求的，磋商结束后，磋商小组应当要求所有继续参加磋商的供应商在规定时间内提交最后报价。</w:t>
      </w:r>
    </w:p>
    <w:p>
      <w:pPr>
        <w:widowControl/>
        <w:adjustRightInd w:val="0"/>
        <w:snapToGrid w:val="0"/>
        <w:spacing w:line="52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）磋商文件不能详细列明采购需求的技术、服务要求，需经磋商由供应商提供最终设计方案或解决方案的，磋商结束后，磋商小组应当按照少数服从多数的原则投票推荐</w:t>
      </w:r>
      <w:r>
        <w:rPr>
          <w:rFonts w:ascii="宋体" w:hAnsi="宋体" w:cs="宋体"/>
          <w:color w:val="auto"/>
          <w:kern w:val="0"/>
          <w:szCs w:val="21"/>
          <w:highlight w:val="none"/>
        </w:rPr>
        <w:t>3</w:t>
      </w:r>
      <w:r>
        <w:rPr>
          <w:rFonts w:hint="eastAsia" w:ascii="宋体" w:hAnsi="宋体" w:cs="宋体"/>
          <w:color w:val="auto"/>
          <w:kern w:val="0"/>
          <w:szCs w:val="21"/>
          <w:highlight w:val="none"/>
        </w:rPr>
        <w:t>家以上供应商的设计方案或者解决方案，并要求其在规定时间内提交最后报价。</w:t>
      </w:r>
    </w:p>
    <w:p>
      <w:pPr>
        <w:widowControl/>
        <w:adjustRightInd w:val="0"/>
        <w:snapToGrid w:val="0"/>
        <w:spacing w:line="520" w:lineRule="exact"/>
        <w:ind w:firstLine="420"/>
        <w:jc w:val="left"/>
        <w:rPr>
          <w:rFonts w:ascii="宋体" w:hAnsi="宋体"/>
          <w:bCs/>
          <w:color w:val="auto"/>
          <w:szCs w:val="21"/>
          <w:highlight w:val="none"/>
        </w:rPr>
      </w:pPr>
      <w:r>
        <w:rPr>
          <w:rFonts w:ascii="宋体" w:hAnsi="宋体"/>
          <w:bCs/>
          <w:color w:val="auto"/>
          <w:szCs w:val="21"/>
          <w:highlight w:val="none"/>
        </w:rPr>
        <w:t>30.3</w:t>
      </w:r>
      <w:r>
        <w:rPr>
          <w:rFonts w:ascii="宋体" w:hAnsi="宋体"/>
          <w:color w:val="auto"/>
          <w:highlight w:val="none"/>
        </w:rPr>
        <w:t xml:space="preserve"> </w:t>
      </w:r>
      <w:r>
        <w:rPr>
          <w:rFonts w:hint="eastAsia" w:ascii="宋体" w:hAnsi="宋体"/>
          <w:bCs/>
          <w:color w:val="auto"/>
          <w:highlight w:val="none"/>
        </w:rPr>
        <w:t>重</w:t>
      </w:r>
      <w:r>
        <w:rPr>
          <w:rFonts w:hint="eastAsia" w:ascii="宋体" w:hAnsi="宋体" w:cs="宋体"/>
          <w:color w:val="auto"/>
          <w:kern w:val="0"/>
          <w:highlight w:val="none"/>
        </w:rPr>
        <w:t>新提交的响应文件</w:t>
      </w:r>
      <w:r>
        <w:rPr>
          <w:rFonts w:hint="eastAsia" w:ascii="宋体" w:hAnsi="宋体"/>
          <w:color w:val="auto"/>
          <w:highlight w:val="none"/>
        </w:rPr>
        <w:t>或者最后报价应按</w:t>
      </w:r>
      <w:r>
        <w:rPr>
          <w:rFonts w:hint="eastAsia" w:ascii="宋体" w:hAnsi="宋体" w:cs="宋体"/>
          <w:color w:val="auto"/>
          <w:kern w:val="0"/>
          <w:szCs w:val="21"/>
          <w:highlight w:val="none"/>
        </w:rPr>
        <w:t>本章第</w:t>
      </w:r>
      <w:r>
        <w:rPr>
          <w:rFonts w:ascii="宋体" w:hAnsi="宋体"/>
          <w:color w:val="auto"/>
          <w:highlight w:val="none"/>
        </w:rPr>
        <w:t>21.3</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由其法定代表人或其委托代理人签字或者加盖</w:t>
      </w:r>
      <w:r>
        <w:rPr>
          <w:rFonts w:hint="eastAsia" w:ascii="宋体" w:hAnsi="宋体" w:cs="宋体"/>
          <w:color w:val="auto"/>
          <w:kern w:val="0"/>
          <w:highlight w:val="none"/>
        </w:rPr>
        <w:t>供应商单位</w:t>
      </w:r>
      <w:r>
        <w:rPr>
          <w:rFonts w:hint="eastAsia" w:ascii="宋体" w:hAnsi="宋体" w:cs="宋体"/>
          <w:color w:val="auto"/>
          <w:kern w:val="0"/>
          <w:szCs w:val="21"/>
          <w:highlight w:val="none"/>
        </w:rPr>
        <w:t>章，在规定时间内密封递交给磋商小组</w:t>
      </w:r>
      <w:r>
        <w:rPr>
          <w:rFonts w:hint="eastAsia" w:ascii="宋体" w:hAnsi="宋体"/>
          <w:bCs/>
          <w:color w:val="auto"/>
          <w:szCs w:val="21"/>
          <w:highlight w:val="none"/>
        </w:rPr>
        <w:t>。</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30.4</w:t>
      </w:r>
      <w:r>
        <w:rPr>
          <w:rFonts w:hint="eastAsia" w:ascii="宋体" w:hAnsi="宋体" w:cs="宋体"/>
          <w:color w:val="auto"/>
          <w:kern w:val="0"/>
          <w:szCs w:val="21"/>
          <w:highlight w:val="none"/>
          <w:lang w:val="zh-CN"/>
        </w:rPr>
        <w:t>供应商的</w:t>
      </w:r>
      <w:r>
        <w:rPr>
          <w:rFonts w:hint="eastAsia" w:ascii="宋体" w:hAnsi="宋体"/>
          <w:bCs/>
          <w:color w:val="auto"/>
          <w:szCs w:val="21"/>
          <w:highlight w:val="none"/>
        </w:rPr>
        <w:t>最</w:t>
      </w:r>
      <w:r>
        <w:rPr>
          <w:rFonts w:hint="eastAsia" w:ascii="宋体" w:hAnsi="宋体" w:cs="宋体"/>
          <w:color w:val="auto"/>
          <w:kern w:val="0"/>
          <w:szCs w:val="21"/>
          <w:highlight w:val="none"/>
          <w:lang w:val="zh-CN"/>
        </w:rPr>
        <w:t>后</w:t>
      </w:r>
      <w:r>
        <w:rPr>
          <w:rFonts w:hint="eastAsia" w:ascii="宋体" w:hAnsi="宋体"/>
          <w:bCs/>
          <w:color w:val="auto"/>
          <w:szCs w:val="21"/>
          <w:highlight w:val="none"/>
        </w:rPr>
        <w:t>报价及</w:t>
      </w:r>
      <w:r>
        <w:rPr>
          <w:rFonts w:hint="eastAsia" w:ascii="宋体" w:hAnsi="宋体" w:cs="宋体"/>
          <w:color w:val="auto"/>
          <w:kern w:val="0"/>
          <w:szCs w:val="21"/>
          <w:highlight w:val="none"/>
        </w:rPr>
        <w:t>政府采购政策规定的价格扣除情况，磋商小组应召集所有参加最后报价的供应商当场开封</w:t>
      </w:r>
      <w:r>
        <w:rPr>
          <w:rFonts w:hint="eastAsia" w:ascii="宋体" w:hAnsi="宋体"/>
          <w:bCs/>
          <w:color w:val="auto"/>
          <w:szCs w:val="21"/>
          <w:highlight w:val="none"/>
        </w:rPr>
        <w:t>公布，并由供应商代表签字确认。</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30.5</w:t>
      </w:r>
      <w:r>
        <w:rPr>
          <w:rFonts w:hint="eastAsia" w:ascii="宋体" w:hAnsi="宋体" w:cs="宋体"/>
          <w:color w:val="auto"/>
          <w:kern w:val="0"/>
          <w:szCs w:val="21"/>
          <w:highlight w:val="none"/>
        </w:rPr>
        <w:t>提交首次响应文件的供应商，在提交最后报价之前，可以根据磋商情况退出磋商，</w:t>
      </w:r>
      <w:r>
        <w:rPr>
          <w:rFonts w:hint="eastAsia" w:ascii="宋体" w:hAnsi="宋体" w:cs="宋体"/>
          <w:color w:val="auto"/>
          <w:kern w:val="0"/>
          <w:highlight w:val="none"/>
        </w:rPr>
        <w:t>并书面通知采购代理机构或者磋商小组。</w:t>
      </w:r>
      <w:r>
        <w:rPr>
          <w:rFonts w:hint="eastAsia" w:ascii="宋体" w:hAnsi="宋体"/>
          <w:color w:val="auto"/>
          <w:highlight w:val="none"/>
        </w:rPr>
        <w:t>该通知由供应商法定代表人或其委托代理人签字。</w:t>
      </w:r>
      <w:r>
        <w:rPr>
          <w:rFonts w:hint="eastAsia" w:ascii="宋体" w:hAnsi="宋体" w:cs="宋体"/>
          <w:color w:val="auto"/>
          <w:kern w:val="0"/>
          <w:szCs w:val="21"/>
          <w:highlight w:val="none"/>
        </w:rPr>
        <w:t>采购代理机构</w:t>
      </w:r>
      <w:r>
        <w:rPr>
          <w:rFonts w:hint="eastAsia" w:ascii="宋体" w:hAnsi="宋体" w:cs="宋体"/>
          <w:color w:val="auto"/>
          <w:kern w:val="0"/>
          <w:highlight w:val="none"/>
        </w:rPr>
        <w:t>按</w:t>
      </w:r>
      <w:r>
        <w:rPr>
          <w:rFonts w:hint="eastAsia" w:ascii="宋体" w:hAnsi="宋体" w:cs="宋体"/>
          <w:color w:val="auto"/>
          <w:kern w:val="0"/>
          <w:szCs w:val="21"/>
          <w:highlight w:val="none"/>
        </w:rPr>
        <w:t>本章第</w:t>
      </w:r>
      <w:r>
        <w:rPr>
          <w:rFonts w:ascii="宋体" w:hAnsi="宋体"/>
          <w:color w:val="auto"/>
          <w:highlight w:val="none"/>
        </w:rPr>
        <w:t>19.4</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退还退出磋商的供应商的磋商保证金。</w:t>
      </w:r>
    </w:p>
    <w:p>
      <w:pPr>
        <w:adjustRightInd w:val="0"/>
        <w:snapToGrid w:val="0"/>
        <w:spacing w:line="520" w:lineRule="exact"/>
        <w:ind w:firstLine="420" w:firstLineChars="200"/>
        <w:rPr>
          <w:rFonts w:ascii="宋体" w:hAnsi="宋体" w:cs="宋体"/>
          <w:color w:val="auto"/>
          <w:kern w:val="0"/>
          <w:szCs w:val="21"/>
          <w:highlight w:val="none"/>
        </w:rPr>
      </w:pPr>
      <w:r>
        <w:rPr>
          <w:rFonts w:ascii="宋体" w:hAnsi="宋体"/>
          <w:bCs/>
          <w:color w:val="auto"/>
          <w:szCs w:val="21"/>
          <w:highlight w:val="none"/>
        </w:rPr>
        <w:t>30.6</w:t>
      </w:r>
      <w:r>
        <w:rPr>
          <w:rFonts w:hint="eastAsia" w:ascii="宋体" w:hAnsi="宋体" w:cs="宋体"/>
          <w:color w:val="auto"/>
          <w:kern w:val="0"/>
          <w:szCs w:val="21"/>
          <w:highlight w:val="none"/>
        </w:rPr>
        <w:t>提交首次响应文件的供应商，未按磋商文件规定及磋商小组要求提交最后报价</w:t>
      </w:r>
      <w:r>
        <w:rPr>
          <w:rFonts w:ascii="宋体" w:hAnsi="宋体" w:cs="宋体"/>
          <w:color w:val="auto"/>
          <w:kern w:val="0"/>
          <w:szCs w:val="21"/>
          <w:highlight w:val="none"/>
        </w:rPr>
        <w:t>(</w:t>
      </w:r>
      <w:r>
        <w:rPr>
          <w:rFonts w:hint="eastAsia" w:ascii="宋体" w:hAnsi="宋体" w:cs="宋体"/>
          <w:color w:val="auto"/>
          <w:kern w:val="0"/>
          <w:szCs w:val="21"/>
          <w:highlight w:val="none"/>
        </w:rPr>
        <w:t>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新提交的响应文件和最后报价</w:t>
      </w:r>
      <w:r>
        <w:rPr>
          <w:rFonts w:ascii="宋体" w:hAnsi="宋体" w:cs="宋体"/>
          <w:color w:val="auto"/>
          <w:kern w:val="0"/>
          <w:szCs w:val="21"/>
          <w:highlight w:val="none"/>
        </w:rPr>
        <w:t>)</w:t>
      </w:r>
      <w:r>
        <w:rPr>
          <w:rFonts w:hint="eastAsia" w:ascii="宋体" w:hAnsi="宋体" w:cs="宋体"/>
          <w:color w:val="auto"/>
          <w:kern w:val="0"/>
          <w:szCs w:val="21"/>
          <w:highlight w:val="none"/>
        </w:rPr>
        <w:t>，且又</w:t>
      </w:r>
      <w:r>
        <w:rPr>
          <w:rFonts w:hint="eastAsia" w:ascii="宋体" w:hAnsi="宋体" w:cs="宋体"/>
          <w:color w:val="auto"/>
          <w:kern w:val="0"/>
          <w:highlight w:val="none"/>
        </w:rPr>
        <w:t>未按</w:t>
      </w:r>
      <w:r>
        <w:rPr>
          <w:rFonts w:hint="eastAsia" w:ascii="宋体" w:hAnsi="宋体" w:cs="宋体"/>
          <w:color w:val="auto"/>
          <w:kern w:val="0"/>
          <w:szCs w:val="21"/>
          <w:highlight w:val="none"/>
        </w:rPr>
        <w:t>本章第</w:t>
      </w:r>
      <w:r>
        <w:rPr>
          <w:rFonts w:ascii="宋体" w:hAnsi="宋体"/>
          <w:color w:val="auto"/>
          <w:highlight w:val="none"/>
        </w:rPr>
        <w:t>30.5</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退出磋商的，供应商的磋商保证金不予退还。</w:t>
      </w:r>
    </w:p>
    <w:p>
      <w:pPr>
        <w:widowControl/>
        <w:adjustRightInd w:val="0"/>
        <w:snapToGrid w:val="0"/>
        <w:spacing w:line="520" w:lineRule="exact"/>
        <w:jc w:val="left"/>
        <w:rPr>
          <w:rFonts w:ascii="宋体" w:hAnsi="宋体"/>
          <w:b/>
          <w:bCs/>
          <w:color w:val="auto"/>
          <w:szCs w:val="21"/>
          <w:highlight w:val="none"/>
        </w:rPr>
      </w:pPr>
      <w:r>
        <w:rPr>
          <w:rFonts w:ascii="宋体" w:hAnsi="宋体" w:cs="宋体"/>
          <w:b/>
          <w:color w:val="auto"/>
          <w:kern w:val="0"/>
          <w:szCs w:val="21"/>
          <w:highlight w:val="none"/>
        </w:rPr>
        <w:t>31.</w:t>
      </w:r>
      <w:r>
        <w:rPr>
          <w:rFonts w:hint="eastAsia" w:ascii="宋体" w:hAnsi="宋体" w:cs="宋体"/>
          <w:b/>
          <w:color w:val="auto"/>
          <w:kern w:val="0"/>
          <w:szCs w:val="21"/>
          <w:highlight w:val="none"/>
        </w:rPr>
        <w:t>响应文件评审</w:t>
      </w:r>
    </w:p>
    <w:p>
      <w:pPr>
        <w:widowControl/>
        <w:adjustRightInd w:val="0"/>
        <w:snapToGrid w:val="0"/>
        <w:spacing w:line="520" w:lineRule="exact"/>
        <w:ind w:firstLine="420" w:firstLineChars="200"/>
        <w:jc w:val="left"/>
        <w:rPr>
          <w:rFonts w:ascii="宋体" w:hAnsi="宋体"/>
          <w:bCs/>
          <w:color w:val="auto"/>
          <w:szCs w:val="21"/>
          <w:highlight w:val="none"/>
        </w:rPr>
      </w:pPr>
      <w:r>
        <w:rPr>
          <w:rFonts w:ascii="宋体" w:hAnsi="宋体"/>
          <w:bCs/>
          <w:color w:val="auto"/>
          <w:szCs w:val="21"/>
          <w:highlight w:val="none"/>
        </w:rPr>
        <w:t>31.1</w:t>
      </w:r>
      <w:r>
        <w:rPr>
          <w:rFonts w:hint="eastAsia" w:ascii="宋体" w:hAnsi="宋体"/>
          <w:bCs/>
          <w:color w:val="auto"/>
          <w:szCs w:val="21"/>
          <w:highlight w:val="none"/>
        </w:rPr>
        <w:t>经磋商确定最终采购需求和提交最后报价的供应商后，由磋商小组采用综合评分法对提交最后报价的供应商的响应文件和最后报价进行综合评价。</w:t>
      </w:r>
    </w:p>
    <w:p>
      <w:pPr>
        <w:widowControl/>
        <w:adjustRightInd w:val="0"/>
        <w:snapToGrid w:val="0"/>
        <w:spacing w:line="520" w:lineRule="exact"/>
        <w:ind w:firstLine="420" w:firstLineChars="200"/>
        <w:jc w:val="left"/>
        <w:rPr>
          <w:rFonts w:ascii="宋体" w:hAnsi="宋体"/>
          <w:bCs/>
          <w:color w:val="auto"/>
          <w:szCs w:val="21"/>
          <w:highlight w:val="none"/>
        </w:rPr>
      </w:pPr>
      <w:r>
        <w:rPr>
          <w:rFonts w:ascii="宋体" w:hAnsi="宋体"/>
          <w:bCs/>
          <w:color w:val="auto"/>
          <w:szCs w:val="21"/>
          <w:highlight w:val="none"/>
        </w:rPr>
        <w:t>31.2</w:t>
      </w:r>
      <w:r>
        <w:rPr>
          <w:rFonts w:hint="eastAsia" w:ascii="宋体" w:hAnsi="宋体"/>
          <w:bCs/>
          <w:color w:val="auto"/>
          <w:szCs w:val="21"/>
          <w:highlight w:val="none"/>
        </w:rPr>
        <w:t>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Cs w:val="21"/>
          <w:highlight w:val="none"/>
        </w:rPr>
        <w:t>磋商须知前附表。</w:t>
      </w:r>
    </w:p>
    <w:p>
      <w:pPr>
        <w:widowControl/>
        <w:adjustRightInd w:val="0"/>
        <w:snapToGrid w:val="0"/>
        <w:spacing w:before="156" w:beforeLines="50" w:line="520" w:lineRule="exact"/>
        <w:ind w:firstLine="420" w:firstLineChars="200"/>
        <w:jc w:val="left"/>
        <w:rPr>
          <w:rFonts w:ascii="宋体" w:hAnsi="宋体"/>
          <w:bCs/>
          <w:color w:val="auto"/>
          <w:szCs w:val="21"/>
          <w:highlight w:val="none"/>
        </w:rPr>
      </w:pPr>
      <w:r>
        <w:rPr>
          <w:rFonts w:ascii="宋体" w:hAnsi="宋体" w:cs="宋体"/>
          <w:color w:val="auto"/>
          <w:kern w:val="0"/>
          <w:szCs w:val="21"/>
          <w:highlight w:val="none"/>
        </w:rPr>
        <w:t>31.3</w:t>
      </w:r>
      <w:r>
        <w:rPr>
          <w:rFonts w:hint="eastAsia" w:ascii="宋体" w:hAnsi="宋体"/>
          <w:color w:val="auto"/>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31.4</w:t>
      </w:r>
      <w:r>
        <w:rPr>
          <w:rFonts w:hint="eastAsia" w:ascii="宋体" w:hAnsi="宋体" w:cs="宋体"/>
          <w:color w:val="auto"/>
          <w:kern w:val="0"/>
          <w:szCs w:val="21"/>
          <w:highlight w:val="none"/>
        </w:rPr>
        <w:t>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磋商报价得分</w:t>
      </w:r>
      <w:r>
        <w:rPr>
          <w:rFonts w:ascii="宋体" w:hAnsi="宋体" w:cs="宋体"/>
          <w:color w:val="auto"/>
          <w:kern w:val="0"/>
          <w:szCs w:val="21"/>
          <w:highlight w:val="none"/>
        </w:rPr>
        <w:t>=</w:t>
      </w:r>
      <w:r>
        <w:rPr>
          <w:rFonts w:hint="eastAsia" w:ascii="宋体" w:hAnsi="宋体" w:cs="宋体"/>
          <w:color w:val="auto"/>
          <w:kern w:val="0"/>
          <w:szCs w:val="21"/>
          <w:highlight w:val="none"/>
        </w:rPr>
        <w:t>（磋商基准价</w:t>
      </w:r>
      <w:r>
        <w:rPr>
          <w:rFonts w:ascii="宋体" w:hAnsi="宋体" w:cs="宋体"/>
          <w:color w:val="auto"/>
          <w:kern w:val="0"/>
          <w:szCs w:val="21"/>
          <w:highlight w:val="none"/>
        </w:rPr>
        <w:t>/</w:t>
      </w:r>
      <w:r>
        <w:rPr>
          <w:rFonts w:hint="eastAsia" w:ascii="宋体" w:hAnsi="宋体" w:cs="宋体"/>
          <w:color w:val="auto"/>
          <w:kern w:val="0"/>
          <w:szCs w:val="21"/>
          <w:highlight w:val="none"/>
        </w:rPr>
        <w:t>最后磋商报价）×价格权值×</w:t>
      </w:r>
      <w:r>
        <w:rPr>
          <w:rFonts w:ascii="宋体" w:hAnsi="宋体" w:cs="宋体"/>
          <w:color w:val="auto"/>
          <w:kern w:val="0"/>
          <w:szCs w:val="21"/>
          <w:highlight w:val="none"/>
        </w:rPr>
        <w:t>100</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项目评审过程中，不得去掉最后报价中的最高报价和最低报价。</w:t>
      </w:r>
    </w:p>
    <w:p>
      <w:pPr>
        <w:widowControl/>
        <w:adjustRightInd w:val="0"/>
        <w:snapToGrid w:val="0"/>
        <w:spacing w:before="156" w:beforeLines="50" w:line="520" w:lineRule="exact"/>
        <w:ind w:firstLine="420" w:firstLineChars="200"/>
        <w:jc w:val="left"/>
        <w:rPr>
          <w:rFonts w:ascii="宋体" w:hAnsi="宋体"/>
          <w:color w:val="auto"/>
          <w:szCs w:val="21"/>
          <w:highlight w:val="none"/>
        </w:rPr>
      </w:pPr>
      <w:r>
        <w:rPr>
          <w:rFonts w:ascii="宋体" w:hAnsi="宋体"/>
          <w:bCs/>
          <w:color w:val="auto"/>
          <w:szCs w:val="21"/>
          <w:highlight w:val="none"/>
        </w:rPr>
        <w:t>31.5</w:t>
      </w:r>
      <w:r>
        <w:rPr>
          <w:rFonts w:hint="eastAsia" w:ascii="宋体" w:hAnsi="宋体"/>
          <w:color w:val="auto"/>
          <w:szCs w:val="21"/>
          <w:highlight w:val="none"/>
        </w:rPr>
        <w:t>涉及政府采购政策优惠对供应商分值进行调整的，</w:t>
      </w:r>
      <w:r>
        <w:rPr>
          <w:rFonts w:hint="eastAsia" w:ascii="宋体" w:hAnsi="宋体"/>
          <w:bCs/>
          <w:color w:val="auto"/>
          <w:szCs w:val="21"/>
          <w:highlight w:val="none"/>
        </w:rPr>
        <w:t>按</w:t>
      </w:r>
      <w:r>
        <w:rPr>
          <w:rFonts w:hint="eastAsia" w:ascii="宋体" w:hAnsi="宋体"/>
          <w:b/>
          <w:color w:val="auto"/>
          <w:szCs w:val="21"/>
          <w:highlight w:val="none"/>
        </w:rPr>
        <w:t>磋商须知前附表</w:t>
      </w:r>
      <w:r>
        <w:rPr>
          <w:rFonts w:hint="eastAsia" w:ascii="宋体" w:hAnsi="宋体"/>
          <w:bCs/>
          <w:color w:val="auto"/>
          <w:szCs w:val="21"/>
          <w:highlight w:val="none"/>
        </w:rPr>
        <w:t>规定</w:t>
      </w:r>
      <w:r>
        <w:rPr>
          <w:rFonts w:hint="eastAsia" w:ascii="宋体" w:hAnsi="宋体"/>
          <w:color w:val="auto"/>
          <w:szCs w:val="21"/>
          <w:highlight w:val="none"/>
        </w:rPr>
        <w:t>调整供应商的技术、商务、价格</w:t>
      </w:r>
      <w:r>
        <w:rPr>
          <w:rFonts w:hint="eastAsia" w:ascii="宋体" w:hAnsi="宋体" w:cs="宋体"/>
          <w:color w:val="auto"/>
          <w:kern w:val="0"/>
          <w:szCs w:val="21"/>
          <w:highlight w:val="none"/>
        </w:rPr>
        <w:t>得分或总得分</w:t>
      </w:r>
      <w:r>
        <w:rPr>
          <w:rFonts w:hint="eastAsia" w:ascii="宋体" w:hAnsi="宋体"/>
          <w:color w:val="auto"/>
          <w:szCs w:val="21"/>
          <w:highlight w:val="none"/>
        </w:rPr>
        <w:t>。</w:t>
      </w:r>
    </w:p>
    <w:p>
      <w:pPr>
        <w:adjustRightInd w:val="0"/>
        <w:snapToGrid w:val="0"/>
        <w:spacing w:before="156" w:beforeLines="50" w:line="520" w:lineRule="exact"/>
        <w:ind w:firstLine="420" w:firstLineChars="200"/>
        <w:rPr>
          <w:rFonts w:ascii="宋体" w:hAnsi="宋体"/>
          <w:color w:val="auto"/>
          <w:szCs w:val="21"/>
          <w:highlight w:val="none"/>
        </w:rPr>
      </w:pPr>
      <w:r>
        <w:rPr>
          <w:rFonts w:ascii="宋体" w:hAnsi="宋体"/>
          <w:color w:val="auto"/>
          <w:szCs w:val="21"/>
          <w:highlight w:val="none"/>
        </w:rPr>
        <w:t>31.6</w:t>
      </w:r>
      <w:r>
        <w:rPr>
          <w:rFonts w:hint="eastAsia" w:ascii="宋体" w:hAnsi="宋体"/>
          <w:color w:val="auto"/>
          <w:szCs w:val="21"/>
          <w:highlight w:val="none"/>
        </w:rPr>
        <w:t>涉及多处或部分获得政府采购政策优惠的，其多处或部分享受政府采购优惠政策的计算方法见</w:t>
      </w:r>
      <w:r>
        <w:rPr>
          <w:rFonts w:hint="eastAsia" w:ascii="宋体" w:hAnsi="宋体"/>
          <w:b/>
          <w:color w:val="auto"/>
          <w:szCs w:val="21"/>
          <w:highlight w:val="none"/>
        </w:rPr>
        <w:t>磋商须知前附表</w:t>
      </w:r>
      <w:r>
        <w:rPr>
          <w:rFonts w:hint="eastAsia" w:ascii="宋体" w:hAnsi="宋体"/>
          <w:color w:val="auto"/>
          <w:szCs w:val="21"/>
          <w:highlight w:val="none"/>
        </w:rPr>
        <w:t>相关规定。</w:t>
      </w:r>
    </w:p>
    <w:p>
      <w:pPr>
        <w:widowControl/>
        <w:adjustRightInd w:val="0"/>
        <w:snapToGrid w:val="0"/>
        <w:spacing w:before="156" w:beforeLines="50" w:line="520" w:lineRule="exact"/>
        <w:ind w:firstLine="420" w:firstLineChars="200"/>
        <w:jc w:val="left"/>
        <w:rPr>
          <w:rFonts w:ascii="宋体" w:hAnsi="宋体"/>
          <w:color w:val="auto"/>
          <w:szCs w:val="21"/>
          <w:highlight w:val="none"/>
        </w:rPr>
      </w:pPr>
      <w:r>
        <w:rPr>
          <w:rFonts w:ascii="宋体" w:hAnsi="宋体" w:cs="宋体"/>
          <w:color w:val="auto"/>
          <w:kern w:val="0"/>
          <w:szCs w:val="21"/>
          <w:highlight w:val="none"/>
        </w:rPr>
        <w:t>31.7</w:t>
      </w:r>
      <w:r>
        <w:rPr>
          <w:rFonts w:hint="eastAsia" w:ascii="宋体" w:hAnsi="宋体"/>
          <w:color w:val="auto"/>
          <w:szCs w:val="21"/>
          <w:highlight w:val="none"/>
        </w:rPr>
        <w:t>评审时，磋商小组各成员应当独立对每个供应商的</w:t>
      </w:r>
      <w:r>
        <w:rPr>
          <w:rFonts w:hint="eastAsia" w:ascii="宋体" w:hAnsi="宋体"/>
          <w:bCs/>
          <w:color w:val="auto"/>
          <w:szCs w:val="21"/>
          <w:highlight w:val="none"/>
        </w:rPr>
        <w:t>响应文件</w:t>
      </w:r>
      <w:r>
        <w:rPr>
          <w:rFonts w:hint="eastAsia" w:ascii="宋体" w:hAnsi="宋体"/>
          <w:color w:val="auto"/>
          <w:szCs w:val="21"/>
          <w:highlight w:val="none"/>
        </w:rPr>
        <w:t>进行评价、评分，并按照政府采购优惠政策对最后报价进行价格扣除和技术、商务、价格加分后，汇总各供应商的总得分。</w:t>
      </w:r>
    </w:p>
    <w:p>
      <w:pPr>
        <w:widowControl/>
        <w:adjustRightInd w:val="0"/>
        <w:snapToGrid w:val="0"/>
        <w:spacing w:line="520" w:lineRule="exact"/>
        <w:jc w:val="left"/>
        <w:rPr>
          <w:rFonts w:ascii="宋体" w:hAnsi="宋体"/>
          <w:b/>
          <w:bCs/>
          <w:color w:val="auto"/>
          <w:szCs w:val="21"/>
          <w:highlight w:val="none"/>
        </w:rPr>
      </w:pPr>
      <w:r>
        <w:rPr>
          <w:rFonts w:ascii="宋体" w:hAnsi="宋体"/>
          <w:b/>
          <w:bCs/>
          <w:color w:val="auto"/>
          <w:szCs w:val="21"/>
          <w:highlight w:val="none"/>
        </w:rPr>
        <w:t>32</w:t>
      </w:r>
      <w:r>
        <w:rPr>
          <w:rFonts w:ascii="宋体" w:hAnsi="宋体" w:cs="宋体"/>
          <w:b/>
          <w:color w:val="auto"/>
          <w:kern w:val="0"/>
          <w:szCs w:val="21"/>
          <w:highlight w:val="none"/>
        </w:rPr>
        <w:t>.</w:t>
      </w:r>
      <w:r>
        <w:rPr>
          <w:rFonts w:hint="eastAsia" w:ascii="宋体" w:hAnsi="宋体"/>
          <w:b/>
          <w:bCs/>
          <w:color w:val="auto"/>
          <w:szCs w:val="21"/>
          <w:highlight w:val="none"/>
        </w:rPr>
        <w:t>提出成交供应商</w:t>
      </w:r>
    </w:p>
    <w:p>
      <w:pPr>
        <w:widowControl/>
        <w:spacing w:line="520" w:lineRule="exact"/>
        <w:ind w:firstLine="420" w:firstLineChars="200"/>
        <w:jc w:val="left"/>
        <w:rPr>
          <w:rFonts w:ascii="宋体" w:hAnsi="宋体"/>
          <w:bCs/>
          <w:color w:val="auto"/>
          <w:szCs w:val="21"/>
          <w:highlight w:val="none"/>
        </w:rPr>
      </w:pPr>
      <w:r>
        <w:rPr>
          <w:rFonts w:ascii="宋体" w:hAnsi="宋体" w:cs="宋体"/>
          <w:color w:val="auto"/>
          <w:kern w:val="0"/>
          <w:szCs w:val="21"/>
          <w:highlight w:val="none"/>
        </w:rPr>
        <w:t>32.1</w:t>
      </w:r>
      <w:r>
        <w:rPr>
          <w:rFonts w:hint="eastAsia" w:ascii="宋体" w:hAnsi="宋体"/>
          <w:bCs/>
          <w:color w:val="auto"/>
          <w:szCs w:val="21"/>
          <w:highlight w:val="none"/>
        </w:rPr>
        <w:t>磋商小组应当根据综合评分情况，按照评审得分由高到低顺序推荐</w:t>
      </w:r>
      <w:r>
        <w:rPr>
          <w:rFonts w:ascii="宋体" w:hAnsi="宋体"/>
          <w:bCs/>
          <w:color w:val="auto"/>
          <w:szCs w:val="21"/>
          <w:highlight w:val="none"/>
          <w:u w:val="single"/>
        </w:rPr>
        <w:t xml:space="preserve">3 </w:t>
      </w:r>
      <w:r>
        <w:rPr>
          <w:rFonts w:hint="eastAsia" w:ascii="宋体" w:hAnsi="宋体"/>
          <w:bCs/>
          <w:color w:val="auto"/>
          <w:szCs w:val="21"/>
          <w:highlight w:val="none"/>
        </w:rPr>
        <w:t>名以上成交候选供应商，并编写评审报告。评审得分相同的，按照最后报价由低到高的顺序推荐。评审得分且最后报价相同的，按照技术指标优劣顺序推荐。</w:t>
      </w:r>
    </w:p>
    <w:p>
      <w:pPr>
        <w:widowControl/>
        <w:spacing w:line="520" w:lineRule="exact"/>
        <w:jc w:val="center"/>
        <w:rPr>
          <w:rFonts w:ascii="宋体" w:hAnsi="宋体" w:cs="宋体"/>
          <w:color w:val="auto"/>
          <w:kern w:val="0"/>
          <w:szCs w:val="21"/>
          <w:highlight w:val="none"/>
        </w:rPr>
      </w:pPr>
      <w:r>
        <w:rPr>
          <w:rFonts w:ascii="宋体" w:hAnsi="宋体"/>
          <w:bCs/>
          <w:color w:val="auto"/>
          <w:szCs w:val="21"/>
          <w:highlight w:val="none"/>
        </w:rPr>
        <w:t xml:space="preserve">    32.2</w:t>
      </w:r>
      <w:r>
        <w:rPr>
          <w:rFonts w:hint="eastAsia" w:ascii="宋体" w:hAnsi="宋体"/>
          <w:bCs/>
          <w:color w:val="auto"/>
          <w:szCs w:val="21"/>
          <w:highlight w:val="none"/>
        </w:rPr>
        <w:t>符合《政府采购竞争性磋商采购方式管理暂行办法》</w:t>
      </w:r>
      <w:r>
        <w:rPr>
          <w:rFonts w:ascii="宋体" w:hAnsi="宋体"/>
          <w:bCs/>
          <w:color w:val="auto"/>
          <w:szCs w:val="21"/>
          <w:highlight w:val="none"/>
        </w:rPr>
        <w:t>(</w:t>
      </w:r>
      <w:r>
        <w:rPr>
          <w:rFonts w:hint="eastAsia" w:ascii="宋体" w:hAnsi="宋体"/>
          <w:bCs/>
          <w:color w:val="auto"/>
          <w:szCs w:val="21"/>
          <w:highlight w:val="none"/>
        </w:rPr>
        <w:t>财库〔</w:t>
      </w:r>
      <w:r>
        <w:rPr>
          <w:rFonts w:ascii="宋体" w:hAnsi="宋体"/>
          <w:bCs/>
          <w:color w:val="auto"/>
          <w:szCs w:val="21"/>
          <w:highlight w:val="none"/>
        </w:rPr>
        <w:t>2014</w:t>
      </w:r>
      <w:r>
        <w:rPr>
          <w:rFonts w:hint="eastAsia" w:ascii="宋体" w:hAnsi="宋体"/>
          <w:bCs/>
          <w:color w:val="auto"/>
          <w:szCs w:val="21"/>
          <w:highlight w:val="none"/>
        </w:rPr>
        <w:t>〕</w:t>
      </w:r>
      <w:r>
        <w:rPr>
          <w:rFonts w:ascii="宋体" w:hAnsi="宋体"/>
          <w:bCs/>
          <w:color w:val="auto"/>
          <w:szCs w:val="21"/>
          <w:highlight w:val="none"/>
        </w:rPr>
        <w:t>214</w:t>
      </w:r>
      <w:r>
        <w:rPr>
          <w:rFonts w:hint="eastAsia" w:ascii="宋体" w:hAnsi="宋体"/>
          <w:bCs/>
          <w:color w:val="auto"/>
          <w:szCs w:val="21"/>
          <w:highlight w:val="none"/>
        </w:rPr>
        <w:t>号</w:t>
      </w:r>
      <w:r>
        <w:rPr>
          <w:rFonts w:ascii="宋体" w:hAnsi="宋体"/>
          <w:bCs/>
          <w:color w:val="auto"/>
          <w:szCs w:val="21"/>
          <w:highlight w:val="none"/>
        </w:rPr>
        <w:t>)</w:t>
      </w:r>
      <w:r>
        <w:rPr>
          <w:rFonts w:hint="eastAsia" w:ascii="宋体" w:hAnsi="宋体" w:cs="宋体"/>
          <w:color w:val="auto"/>
          <w:kern w:val="0"/>
          <w:szCs w:val="21"/>
          <w:highlight w:val="none"/>
        </w:rPr>
        <w:t>和《财政部关于政府采购竞争性磋商采购方式管理暂行办法有关问题的补充通知》（财库〔</w:t>
      </w:r>
      <w:r>
        <w:rPr>
          <w:rFonts w:ascii="宋体" w:hAnsi="宋体" w:cs="宋体"/>
          <w:color w:val="auto"/>
          <w:kern w:val="0"/>
          <w:szCs w:val="21"/>
          <w:highlight w:val="none"/>
        </w:rPr>
        <w:t>2015</w:t>
      </w:r>
      <w:r>
        <w:rPr>
          <w:rFonts w:hint="eastAsia" w:ascii="宋体" w:hAnsi="宋体" w:cs="宋体"/>
          <w:color w:val="auto"/>
          <w:kern w:val="0"/>
          <w:szCs w:val="21"/>
          <w:highlight w:val="none"/>
        </w:rPr>
        <w:t>〕</w:t>
      </w:r>
      <w:r>
        <w:rPr>
          <w:rFonts w:ascii="宋体" w:hAnsi="宋体" w:cs="宋体"/>
          <w:color w:val="auto"/>
          <w:kern w:val="0"/>
          <w:szCs w:val="21"/>
          <w:highlight w:val="none"/>
        </w:rPr>
        <w:t>124</w:t>
      </w:r>
      <w:r>
        <w:rPr>
          <w:rFonts w:hint="eastAsia" w:ascii="宋体" w:hAnsi="宋体" w:cs="宋体"/>
          <w:color w:val="auto"/>
          <w:kern w:val="0"/>
          <w:szCs w:val="21"/>
          <w:highlight w:val="none"/>
        </w:rPr>
        <w:t>号）所列“政府购买服务项目（含政府和社会资本合作项目）、市场竞争不充分的科研项目以及需要</w:t>
      </w:r>
    </w:p>
    <w:p>
      <w:pPr>
        <w:widowControl/>
        <w:spacing w:line="520" w:lineRule="exact"/>
        <w:rPr>
          <w:rFonts w:ascii="宋体" w:hAnsi="宋体"/>
          <w:bCs/>
          <w:color w:val="auto"/>
          <w:szCs w:val="21"/>
          <w:highlight w:val="none"/>
        </w:rPr>
      </w:pPr>
      <w:r>
        <w:rPr>
          <w:rFonts w:hint="eastAsia" w:ascii="宋体" w:hAnsi="宋体" w:cs="宋体"/>
          <w:color w:val="auto"/>
          <w:kern w:val="0"/>
          <w:szCs w:val="21"/>
          <w:highlight w:val="none"/>
        </w:rPr>
        <w:t>扶持的科技成果转化项目”情形的，</w:t>
      </w:r>
      <w:r>
        <w:rPr>
          <w:rFonts w:hint="eastAsia" w:ascii="宋体" w:hAnsi="宋体"/>
          <w:bCs/>
          <w:color w:val="auto"/>
          <w:szCs w:val="21"/>
          <w:highlight w:val="none"/>
        </w:rPr>
        <w:t>可以推荐</w:t>
      </w:r>
      <w:r>
        <w:rPr>
          <w:rFonts w:ascii="宋体" w:hAnsi="宋体"/>
          <w:bCs/>
          <w:color w:val="auto"/>
          <w:szCs w:val="21"/>
          <w:highlight w:val="none"/>
        </w:rPr>
        <w:t>2</w:t>
      </w:r>
      <w:r>
        <w:rPr>
          <w:rFonts w:hint="eastAsia" w:ascii="宋体" w:hAnsi="宋体"/>
          <w:bCs/>
          <w:color w:val="auto"/>
          <w:szCs w:val="21"/>
          <w:highlight w:val="none"/>
        </w:rPr>
        <w:t>家成交候选供应商。</w:t>
      </w:r>
    </w:p>
    <w:p>
      <w:pPr>
        <w:tabs>
          <w:tab w:val="left" w:pos="0"/>
        </w:tabs>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33.</w:t>
      </w:r>
      <w:r>
        <w:rPr>
          <w:rFonts w:hint="eastAsia" w:ascii="宋体" w:hAnsi="宋体"/>
          <w:b/>
          <w:bCs/>
          <w:color w:val="auto"/>
          <w:szCs w:val="21"/>
          <w:highlight w:val="none"/>
        </w:rPr>
        <w:t>确定成交供应商</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33.1</w:t>
      </w:r>
      <w:r>
        <w:rPr>
          <w:rFonts w:hint="eastAsia" w:ascii="宋体" w:hAnsi="宋体" w:cs="宋体"/>
          <w:color w:val="auto"/>
          <w:kern w:val="0"/>
          <w:szCs w:val="21"/>
          <w:highlight w:val="none"/>
        </w:rPr>
        <w:t>采购代理机构应当在评审结束后</w:t>
      </w:r>
      <w:r>
        <w:rPr>
          <w:rFonts w:ascii="宋体" w:hAnsi="宋体" w:cs="宋体"/>
          <w:color w:val="auto"/>
          <w:kern w:val="0"/>
          <w:szCs w:val="21"/>
          <w:highlight w:val="none"/>
        </w:rPr>
        <w:t>2</w:t>
      </w:r>
      <w:r>
        <w:rPr>
          <w:rFonts w:hint="eastAsia" w:ascii="宋体" w:hAnsi="宋体" w:cs="宋体"/>
          <w:color w:val="auto"/>
          <w:kern w:val="0"/>
          <w:szCs w:val="21"/>
          <w:highlight w:val="none"/>
        </w:rPr>
        <w:t>个工作日内将评审报告送采购人确认。</w:t>
      </w:r>
    </w:p>
    <w:p>
      <w:pPr>
        <w:widowControl/>
        <w:adjustRightInd w:val="0"/>
        <w:snapToGrid w:val="0"/>
        <w:spacing w:line="520" w:lineRule="exact"/>
        <w:ind w:firstLine="420"/>
        <w:jc w:val="left"/>
        <w:rPr>
          <w:rFonts w:ascii="宋体" w:hAnsi="宋体" w:cs="宋体"/>
          <w:color w:val="auto"/>
          <w:kern w:val="0"/>
          <w:szCs w:val="21"/>
          <w:highlight w:val="none"/>
        </w:rPr>
      </w:pPr>
      <w:r>
        <w:rPr>
          <w:rFonts w:ascii="宋体" w:hAnsi="宋体" w:cs="宋体"/>
          <w:color w:val="auto"/>
          <w:kern w:val="0"/>
          <w:szCs w:val="21"/>
          <w:highlight w:val="none"/>
        </w:rPr>
        <w:t>33.2</w:t>
      </w:r>
      <w:r>
        <w:rPr>
          <w:rFonts w:hint="eastAsia" w:ascii="宋体" w:hAnsi="宋体" w:cs="宋体"/>
          <w:color w:val="auto"/>
          <w:kern w:val="0"/>
          <w:szCs w:val="21"/>
          <w:highlight w:val="none"/>
        </w:rPr>
        <w:t>采购人应当在收到评审报告后</w:t>
      </w:r>
      <w:r>
        <w:rPr>
          <w:rFonts w:ascii="宋体" w:hAnsi="宋体" w:cs="宋体"/>
          <w:color w:val="auto"/>
          <w:kern w:val="0"/>
          <w:szCs w:val="21"/>
          <w:highlight w:val="none"/>
        </w:rPr>
        <w:t>5</w:t>
      </w:r>
      <w:r>
        <w:rPr>
          <w:rFonts w:hint="eastAsia" w:ascii="宋体" w:hAnsi="宋体" w:cs="宋体"/>
          <w:color w:val="auto"/>
          <w:kern w:val="0"/>
          <w:szCs w:val="21"/>
          <w:highlight w:val="none"/>
        </w:rPr>
        <w:t>个工作日内，从评审报告提出的成交候选供应商中，按照排序由高到低的原则确定成交供应商，也可以书面授权磋商小组直接确定成交供应商。</w:t>
      </w:r>
    </w:p>
    <w:p>
      <w:pPr>
        <w:adjustRightInd w:val="0"/>
        <w:snapToGrid w:val="0"/>
        <w:spacing w:line="520" w:lineRule="exact"/>
        <w:ind w:left="632" w:hanging="632" w:hangingChars="300"/>
        <w:rPr>
          <w:rFonts w:ascii="宋体" w:hAnsi="宋体"/>
          <w:b/>
          <w:color w:val="auto"/>
          <w:highlight w:val="none"/>
        </w:rPr>
      </w:pPr>
      <w:r>
        <w:rPr>
          <w:rFonts w:ascii="宋体" w:hAnsi="宋体"/>
          <w:b/>
          <w:color w:val="auto"/>
          <w:highlight w:val="none"/>
        </w:rPr>
        <w:t>34.</w:t>
      </w:r>
      <w:r>
        <w:rPr>
          <w:rFonts w:hint="eastAsia" w:ascii="宋体" w:hAnsi="宋体"/>
          <w:b/>
          <w:color w:val="auto"/>
          <w:highlight w:val="none"/>
        </w:rPr>
        <w:t>磋商终止</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bCs/>
          <w:color w:val="auto"/>
          <w:szCs w:val="21"/>
          <w:highlight w:val="none"/>
        </w:rPr>
        <w:t>34.1</w:t>
      </w:r>
      <w:r>
        <w:rPr>
          <w:rFonts w:hint="eastAsia" w:ascii="宋体" w:hAnsi="宋体" w:cs="宋体"/>
          <w:color w:val="auto"/>
          <w:kern w:val="0"/>
          <w:szCs w:val="21"/>
          <w:highlight w:val="none"/>
        </w:rPr>
        <w:t>出现下列情形之一的，采购人或者采购代理机构应当终止竞争性磋商采购活动，</w:t>
      </w:r>
      <w:r>
        <w:rPr>
          <w:rFonts w:hint="eastAsia" w:ascii="宋体" w:hAnsi="宋体"/>
          <w:color w:val="auto"/>
          <w:highlight w:val="none"/>
        </w:rPr>
        <w:t>在本章第</w:t>
      </w:r>
      <w:r>
        <w:rPr>
          <w:rFonts w:ascii="宋体" w:hAnsi="宋体"/>
          <w:color w:val="auto"/>
          <w:highlight w:val="none"/>
        </w:rPr>
        <w:t>37.1</w:t>
      </w:r>
      <w:r>
        <w:rPr>
          <w:rFonts w:hint="eastAsia" w:ascii="宋体" w:hAnsi="宋体"/>
          <w:color w:val="auto"/>
          <w:highlight w:val="none"/>
        </w:rPr>
        <w:t>款指定的媒体上</w:t>
      </w:r>
      <w:r>
        <w:rPr>
          <w:rFonts w:hint="eastAsia" w:ascii="宋体" w:hAnsi="宋体" w:cs="宋体"/>
          <w:color w:val="auto"/>
          <w:kern w:val="0"/>
          <w:szCs w:val="21"/>
          <w:highlight w:val="none"/>
        </w:rPr>
        <w:t>发布项目终止公告并说明原因，重新开展采购活动：</w:t>
      </w:r>
      <w:r>
        <w:rPr>
          <w:rFonts w:ascii="宋体" w:hAnsi="宋体" w:cs="宋体"/>
          <w:color w:val="auto"/>
          <w:kern w:val="0"/>
          <w:szCs w:val="21"/>
          <w:highlight w:val="none"/>
        </w:rPr>
        <w:t xml:space="preserve"> </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）因情况变化，不再符合规定的竞争性磋商采购方式适用情形的；</w:t>
      </w:r>
    </w:p>
    <w:p>
      <w:pPr>
        <w:widowControl/>
        <w:adjustRightInd w:val="0"/>
        <w:snapToGrid w:val="0"/>
        <w:spacing w:line="52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）出现影响采购公正的违法、违规行为的；</w:t>
      </w:r>
    </w:p>
    <w:p>
      <w:pPr>
        <w:widowControl/>
        <w:adjustRightInd w:val="0"/>
        <w:snapToGrid w:val="0"/>
        <w:spacing w:line="52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3</w:t>
      </w:r>
      <w:r>
        <w:rPr>
          <w:rFonts w:hint="eastAsia" w:ascii="宋体" w:hAnsi="宋体" w:cs="宋体"/>
          <w:color w:val="auto"/>
          <w:kern w:val="0"/>
          <w:szCs w:val="21"/>
          <w:highlight w:val="none"/>
        </w:rPr>
        <w:t>）</w:t>
      </w:r>
      <w:r>
        <w:rPr>
          <w:rFonts w:hint="eastAsia" w:ascii="宋体" w:hAnsi="宋体"/>
          <w:bCs/>
          <w:color w:val="auto"/>
          <w:szCs w:val="21"/>
          <w:highlight w:val="none"/>
        </w:rPr>
        <w:t>除《政府采购竞争性磋商采购方式管理暂行办法》</w:t>
      </w:r>
      <w:r>
        <w:rPr>
          <w:rFonts w:ascii="宋体" w:hAnsi="宋体"/>
          <w:bCs/>
          <w:color w:val="auto"/>
          <w:szCs w:val="21"/>
          <w:highlight w:val="none"/>
        </w:rPr>
        <w:t>(</w:t>
      </w:r>
      <w:r>
        <w:rPr>
          <w:rFonts w:hint="eastAsia" w:ascii="宋体" w:hAnsi="宋体"/>
          <w:bCs/>
          <w:color w:val="auto"/>
          <w:szCs w:val="21"/>
          <w:highlight w:val="none"/>
        </w:rPr>
        <w:t>财库〔</w:t>
      </w:r>
      <w:r>
        <w:rPr>
          <w:rFonts w:ascii="宋体" w:hAnsi="宋体"/>
          <w:bCs/>
          <w:color w:val="auto"/>
          <w:szCs w:val="21"/>
          <w:highlight w:val="none"/>
        </w:rPr>
        <w:t>2014</w:t>
      </w:r>
      <w:r>
        <w:rPr>
          <w:rFonts w:hint="eastAsia" w:ascii="宋体" w:hAnsi="宋体"/>
          <w:bCs/>
          <w:color w:val="auto"/>
          <w:szCs w:val="21"/>
          <w:highlight w:val="none"/>
        </w:rPr>
        <w:t>〕</w:t>
      </w:r>
      <w:r>
        <w:rPr>
          <w:rFonts w:ascii="宋体" w:hAnsi="宋体"/>
          <w:bCs/>
          <w:color w:val="auto"/>
          <w:szCs w:val="21"/>
          <w:highlight w:val="none"/>
        </w:rPr>
        <w:t>214</w:t>
      </w:r>
      <w:r>
        <w:rPr>
          <w:rFonts w:hint="eastAsia" w:ascii="宋体" w:hAnsi="宋体"/>
          <w:bCs/>
          <w:color w:val="auto"/>
          <w:szCs w:val="21"/>
          <w:highlight w:val="none"/>
        </w:rPr>
        <w:t>号</w:t>
      </w:r>
      <w:r>
        <w:rPr>
          <w:rFonts w:ascii="宋体" w:hAnsi="宋体"/>
          <w:bCs/>
          <w:color w:val="auto"/>
          <w:szCs w:val="21"/>
          <w:highlight w:val="none"/>
        </w:rPr>
        <w:t>)</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和《财政部关于政府采购竞争性磋商采购方式管理暂行办法有关问题的补充通知》（财库〔</w:t>
      </w:r>
      <w:r>
        <w:rPr>
          <w:rFonts w:ascii="宋体" w:hAnsi="宋体" w:cs="宋体"/>
          <w:color w:val="auto"/>
          <w:kern w:val="0"/>
          <w:szCs w:val="21"/>
          <w:highlight w:val="none"/>
        </w:rPr>
        <w:t>2015</w:t>
      </w:r>
      <w:r>
        <w:rPr>
          <w:rFonts w:hint="eastAsia" w:ascii="宋体" w:hAnsi="宋体" w:cs="宋体"/>
          <w:color w:val="auto"/>
          <w:kern w:val="0"/>
          <w:szCs w:val="21"/>
          <w:highlight w:val="none"/>
        </w:rPr>
        <w:t>〕</w:t>
      </w:r>
      <w:r>
        <w:rPr>
          <w:rFonts w:ascii="宋体" w:hAnsi="宋体" w:cs="宋体"/>
          <w:color w:val="auto"/>
          <w:kern w:val="0"/>
          <w:szCs w:val="21"/>
          <w:highlight w:val="none"/>
        </w:rPr>
        <w:t>124</w:t>
      </w:r>
      <w:r>
        <w:rPr>
          <w:rFonts w:hint="eastAsia" w:ascii="宋体" w:hAnsi="宋体" w:cs="宋体"/>
          <w:color w:val="auto"/>
          <w:kern w:val="0"/>
          <w:szCs w:val="21"/>
          <w:highlight w:val="none"/>
        </w:rPr>
        <w:t>号）所列“政府购买服务项目（含政府和社会资本合作项目）、市场竞争不充分的科研项目以及需要扶持的科技成果转化项目”</w:t>
      </w:r>
      <w:r>
        <w:rPr>
          <w:rFonts w:hint="eastAsia" w:ascii="宋体" w:hAnsi="宋体"/>
          <w:bCs/>
          <w:color w:val="auto"/>
          <w:szCs w:val="21"/>
          <w:highlight w:val="none"/>
        </w:rPr>
        <w:t>情形外，在采购过程中符合要求的供应商或者报价未超过采购预算的供应商不足</w:t>
      </w:r>
      <w:r>
        <w:rPr>
          <w:rFonts w:ascii="宋体" w:hAnsi="宋体"/>
          <w:bCs/>
          <w:color w:val="auto"/>
          <w:szCs w:val="21"/>
          <w:highlight w:val="none"/>
        </w:rPr>
        <w:t>3</w:t>
      </w:r>
      <w:r>
        <w:rPr>
          <w:rFonts w:hint="eastAsia" w:ascii="宋体" w:hAnsi="宋体"/>
          <w:bCs/>
          <w:color w:val="auto"/>
          <w:szCs w:val="21"/>
          <w:highlight w:val="none"/>
        </w:rPr>
        <w:t>家的；</w:t>
      </w:r>
    </w:p>
    <w:p>
      <w:pPr>
        <w:widowControl/>
        <w:adjustRightInd w:val="0"/>
        <w:snapToGrid w:val="0"/>
        <w:spacing w:line="52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4</w:t>
      </w:r>
      <w:r>
        <w:rPr>
          <w:rFonts w:hint="eastAsia" w:ascii="宋体" w:hAnsi="宋体" w:cs="宋体"/>
          <w:color w:val="auto"/>
          <w:kern w:val="0"/>
          <w:szCs w:val="21"/>
          <w:highlight w:val="none"/>
        </w:rPr>
        <w:t>）因重大变故，采购任务取消的。</w:t>
      </w:r>
    </w:p>
    <w:p>
      <w:pPr>
        <w:widowControl/>
        <w:adjustRightInd w:val="0"/>
        <w:snapToGrid w:val="0"/>
        <w:spacing w:line="520" w:lineRule="exact"/>
        <w:jc w:val="left"/>
        <w:rPr>
          <w:rFonts w:ascii="宋体" w:hAnsi="宋体" w:cs="宋体"/>
          <w:b/>
          <w:color w:val="auto"/>
          <w:kern w:val="0"/>
          <w:szCs w:val="21"/>
          <w:highlight w:val="none"/>
        </w:rPr>
      </w:pPr>
      <w:r>
        <w:rPr>
          <w:rFonts w:ascii="宋体" w:hAnsi="宋体" w:cs="宋体"/>
          <w:b/>
          <w:color w:val="auto"/>
          <w:kern w:val="0"/>
          <w:szCs w:val="21"/>
          <w:highlight w:val="none"/>
        </w:rPr>
        <w:t>35</w:t>
      </w:r>
      <w:r>
        <w:rPr>
          <w:rFonts w:hint="eastAsia" w:ascii="宋体" w:hAnsi="宋体" w:cs="宋体"/>
          <w:b/>
          <w:color w:val="auto"/>
          <w:kern w:val="0"/>
          <w:szCs w:val="21"/>
          <w:highlight w:val="none"/>
        </w:rPr>
        <w:t>．重新评审</w:t>
      </w:r>
    </w:p>
    <w:p>
      <w:pPr>
        <w:widowControl/>
        <w:adjustRightInd w:val="0"/>
        <w:snapToGrid w:val="0"/>
        <w:spacing w:line="520" w:lineRule="exact"/>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35.1</w:t>
      </w:r>
      <w:r>
        <w:rPr>
          <w:rFonts w:hint="eastAsia" w:ascii="宋体" w:hAnsi="宋体" w:cs="宋体"/>
          <w:color w:val="auto"/>
          <w:kern w:val="0"/>
          <w:szCs w:val="21"/>
          <w:highlight w:val="none"/>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36.</w:t>
      </w:r>
      <w:r>
        <w:rPr>
          <w:rFonts w:hint="eastAsia" w:ascii="宋体" w:hAnsi="宋体"/>
          <w:b/>
          <w:bCs/>
          <w:color w:val="auto"/>
          <w:szCs w:val="21"/>
          <w:highlight w:val="none"/>
        </w:rPr>
        <w:t>保密及串通行为</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36.1</w:t>
      </w:r>
      <w:r>
        <w:rPr>
          <w:rFonts w:hint="eastAsia" w:ascii="宋体" w:hAnsi="宋体"/>
          <w:color w:val="auto"/>
          <w:highlight w:val="none"/>
        </w:rPr>
        <w:t>磋商小组成员以及与评审工作有关的人员不得泄露评审情况以及评审过程中获悉的国家秘密、商业秘密。</w:t>
      </w:r>
    </w:p>
    <w:p>
      <w:pPr>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36.2</w:t>
      </w:r>
      <w:r>
        <w:rPr>
          <w:rFonts w:hint="eastAsia" w:ascii="宋体" w:hAnsi="宋体" w:cs="宋体"/>
          <w:color w:val="auto"/>
          <w:kern w:val="0"/>
          <w:szCs w:val="21"/>
          <w:highlight w:val="none"/>
        </w:rPr>
        <w:t>供应商</w:t>
      </w:r>
      <w:r>
        <w:rPr>
          <w:rFonts w:hint="eastAsia" w:ascii="宋体" w:hAnsi="宋体"/>
          <w:color w:val="auto"/>
          <w:szCs w:val="21"/>
          <w:highlight w:val="none"/>
        </w:rPr>
        <w:t>不得与</w:t>
      </w:r>
      <w:r>
        <w:rPr>
          <w:rFonts w:hint="eastAsia" w:ascii="宋体" w:hAnsi="宋体" w:cs="宋体"/>
          <w:color w:val="auto"/>
          <w:kern w:val="0"/>
          <w:szCs w:val="21"/>
          <w:highlight w:val="none"/>
        </w:rPr>
        <w:t>采购人、采购代理机构、其他供应商恶意</w:t>
      </w:r>
      <w:r>
        <w:rPr>
          <w:rFonts w:hint="eastAsia" w:ascii="宋体" w:hAnsi="宋体"/>
          <w:color w:val="auto"/>
          <w:szCs w:val="21"/>
          <w:highlight w:val="none"/>
        </w:rPr>
        <w:t>串通；不得向</w:t>
      </w:r>
      <w:r>
        <w:rPr>
          <w:rFonts w:hint="eastAsia" w:ascii="宋体" w:hAnsi="宋体" w:cs="宋体"/>
          <w:color w:val="auto"/>
          <w:kern w:val="0"/>
          <w:szCs w:val="21"/>
          <w:highlight w:val="none"/>
        </w:rPr>
        <w:t>采购人、采购代理机构</w:t>
      </w:r>
      <w:r>
        <w:rPr>
          <w:rFonts w:hint="eastAsia" w:ascii="宋体" w:hAnsi="宋体"/>
          <w:color w:val="auto"/>
          <w:szCs w:val="21"/>
          <w:highlight w:val="none"/>
        </w:rPr>
        <w:t>或者磋商小组成员行贿或者提供其他不正当利益；不得提供虚假资料谋取成交；不得以任何方式干扰、影响采购工作。</w:t>
      </w:r>
    </w:p>
    <w:p>
      <w:pPr>
        <w:adjustRightInd w:val="0"/>
        <w:snapToGrid w:val="0"/>
        <w:spacing w:line="520" w:lineRule="exact"/>
        <w:ind w:firstLine="420" w:firstLineChars="200"/>
        <w:rPr>
          <w:rFonts w:ascii="宋体" w:hAnsi="宋体"/>
          <w:color w:val="auto"/>
          <w:szCs w:val="21"/>
          <w:highlight w:val="none"/>
          <w:lang w:val="zh-CN"/>
        </w:rPr>
      </w:pPr>
      <w:r>
        <w:rPr>
          <w:rFonts w:ascii="宋体" w:hAnsi="宋体" w:cs="Arial"/>
          <w:color w:val="auto"/>
          <w:szCs w:val="21"/>
          <w:highlight w:val="none"/>
        </w:rPr>
        <w:t>36.3</w:t>
      </w:r>
      <w:r>
        <w:rPr>
          <w:rFonts w:hint="eastAsia" w:ascii="宋体" w:hAnsi="宋体"/>
          <w:color w:val="auto"/>
          <w:szCs w:val="21"/>
          <w:highlight w:val="none"/>
          <w:lang w:val="zh-CN"/>
        </w:rPr>
        <w:t>有下列情形之一的，属于恶意串通，对供应商依照政府采购法第七十七条第一款的规定追究法律责任：</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（一）供应商直接或者间接从采购人或者采购代理机构处获得其他供应商的相关情况并修改其投标文件或者响应文件；</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（二）供应商按照采购人或者采购代理机构的授意撤换、修改投标文件或者响应文件；</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（三）供应商之间协商报价、技术方案等投标文件或者响应文件的实质性内容；</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（四）属于同一集团、协会、商会等组织成员的供应商按照该组织要求协同参加政府采购活动；</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（五）供应商之间事先约定由某一特定供应商中标、成交；</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（六）供应商之间商定部分供应商放弃参加政府采购活动或者放弃中标、成交；</w:t>
      </w:r>
    </w:p>
    <w:p>
      <w:pPr>
        <w:adjustRightInd w:val="0"/>
        <w:snapToGrid w:val="0"/>
        <w:spacing w:line="520" w:lineRule="exact"/>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（七）供应商与采购人或者采购代理机构之间、供应商相互之间，为谋求特定供应商中标、成交或者排斥其他供应商的其他串通行为。</w:t>
      </w:r>
    </w:p>
    <w:p>
      <w:pPr>
        <w:adjustRightInd w:val="0"/>
        <w:snapToGrid w:val="0"/>
        <w:spacing w:line="520" w:lineRule="exact"/>
        <w:rPr>
          <w:rFonts w:ascii="宋体" w:hAnsi="宋体"/>
          <w:color w:val="auto"/>
          <w:sz w:val="24"/>
          <w:highlight w:val="none"/>
        </w:rPr>
      </w:pPr>
      <w:r>
        <w:rPr>
          <w:rFonts w:hint="eastAsia" w:ascii="宋体" w:hAnsi="宋体"/>
          <w:color w:val="auto"/>
          <w:sz w:val="24"/>
          <w:highlight w:val="none"/>
        </w:rPr>
        <w:t>六、成交结果信息公布与授予合同</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37.</w:t>
      </w:r>
      <w:r>
        <w:rPr>
          <w:rFonts w:hint="eastAsia" w:ascii="宋体" w:hAnsi="宋体"/>
          <w:b/>
          <w:bCs/>
          <w:color w:val="auto"/>
          <w:szCs w:val="21"/>
          <w:highlight w:val="none"/>
        </w:rPr>
        <w:t>成交信息的公布</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37.1</w:t>
      </w:r>
      <w:r>
        <w:rPr>
          <w:rFonts w:hint="eastAsia" w:ascii="宋体" w:hAnsi="宋体"/>
          <w:color w:val="auto"/>
          <w:highlight w:val="none"/>
        </w:rPr>
        <w:t>成交供应商确定后</w:t>
      </w:r>
      <w:r>
        <w:rPr>
          <w:rFonts w:ascii="宋体" w:hAnsi="宋体"/>
          <w:color w:val="auto"/>
          <w:highlight w:val="none"/>
        </w:rPr>
        <w:t>2</w:t>
      </w:r>
      <w:r>
        <w:rPr>
          <w:rFonts w:hint="eastAsia" w:ascii="宋体" w:hAnsi="宋体"/>
          <w:color w:val="auto"/>
          <w:highlight w:val="none"/>
        </w:rPr>
        <w:t>个工作日内，成交结果信息将在</w:t>
      </w:r>
      <w:r>
        <w:rPr>
          <w:rFonts w:hint="eastAsia" w:ascii="宋体" w:hAnsi="宋体"/>
          <w:b/>
          <w:color w:val="auto"/>
          <w:highlight w:val="none"/>
        </w:rPr>
        <w:t>磋商须知前附表</w:t>
      </w:r>
      <w:r>
        <w:rPr>
          <w:rFonts w:hint="eastAsia" w:ascii="宋体" w:hAnsi="宋体"/>
          <w:color w:val="auto"/>
          <w:highlight w:val="none"/>
        </w:rPr>
        <w:t>指定的媒体上公布。</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38.</w:t>
      </w:r>
      <w:r>
        <w:rPr>
          <w:rFonts w:hint="eastAsia" w:ascii="宋体" w:hAnsi="宋体"/>
          <w:b/>
          <w:bCs/>
          <w:color w:val="auto"/>
          <w:szCs w:val="21"/>
          <w:highlight w:val="none"/>
        </w:rPr>
        <w:t>询问及质疑</w:t>
      </w:r>
    </w:p>
    <w:p>
      <w:pPr>
        <w:adjustRightInd w:val="0"/>
        <w:snapToGrid w:val="0"/>
        <w:spacing w:line="520" w:lineRule="exact"/>
        <w:ind w:firstLine="420" w:firstLineChars="200"/>
        <w:jc w:val="left"/>
        <w:rPr>
          <w:rFonts w:ascii="宋体" w:hAnsi="宋体"/>
          <w:color w:val="auto"/>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供应商对政府采购活动事项有疑问的，可以向采购人或采购代理机构提出询问。</w:t>
      </w:r>
    </w:p>
    <w:p>
      <w:pPr>
        <w:adjustRightInd w:val="0"/>
        <w:snapToGrid w:val="0"/>
        <w:spacing w:line="520" w:lineRule="exact"/>
        <w:ind w:firstLine="420" w:firstLineChars="200"/>
        <w:jc w:val="left"/>
        <w:rPr>
          <w:rFonts w:ascii="宋体" w:hAnsi="宋体"/>
          <w:color w:val="auto"/>
          <w:szCs w:val="21"/>
          <w:highlight w:val="none"/>
        </w:rPr>
      </w:pPr>
      <w:r>
        <w:rPr>
          <w:rFonts w:ascii="宋体" w:hAnsi="宋体"/>
          <w:color w:val="auto"/>
          <w:szCs w:val="21"/>
          <w:highlight w:val="none"/>
        </w:rPr>
        <w:t>38.2</w:t>
      </w:r>
      <w:r>
        <w:rPr>
          <w:rFonts w:hint="eastAsia" w:ascii="宋体" w:hAnsi="宋体"/>
          <w:color w:val="auto"/>
          <w:szCs w:val="21"/>
          <w:highlight w:val="none"/>
        </w:rPr>
        <w:t>供应商若认为磋商文件、采购过程和成交结果使自己的权益受到损害，可以按法律、行政法规及湖南省财政厅规范性文件规定向采购人或采购代理机构提出质疑。</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39.</w:t>
      </w:r>
      <w:r>
        <w:rPr>
          <w:rFonts w:hint="eastAsia" w:ascii="宋体" w:hAnsi="宋体"/>
          <w:b/>
          <w:bCs/>
          <w:color w:val="auto"/>
          <w:szCs w:val="21"/>
          <w:highlight w:val="none"/>
        </w:rPr>
        <w:t>成交通知</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39.1</w:t>
      </w:r>
      <w:r>
        <w:rPr>
          <w:rFonts w:hint="eastAsia" w:ascii="宋体" w:hAnsi="宋体"/>
          <w:color w:val="auto"/>
          <w:highlight w:val="none"/>
        </w:rPr>
        <w:t>成交供应商确定后，采购人或采购代理机构将以书面形式向成交供应商发出成交通知书。成交通知书对采购人和成交供应商具有同等法律效力。</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39.2 </w:t>
      </w:r>
      <w:r>
        <w:rPr>
          <w:rFonts w:hint="eastAsia" w:ascii="宋体" w:hAnsi="宋体"/>
          <w:color w:val="auto"/>
          <w:highlight w:val="none"/>
        </w:rPr>
        <w:t>成交通知书是合同文件的组成部分。</w:t>
      </w:r>
    </w:p>
    <w:p>
      <w:pPr>
        <w:tabs>
          <w:tab w:val="left" w:pos="7560"/>
          <w:tab w:val="left" w:pos="7740"/>
          <w:tab w:val="left" w:pos="7920"/>
        </w:tabs>
        <w:autoSpaceDN w:val="0"/>
        <w:adjustRightInd w:val="0"/>
        <w:snapToGrid w:val="0"/>
        <w:spacing w:line="520" w:lineRule="exact"/>
        <w:ind w:firstLine="420" w:firstLineChars="200"/>
        <w:rPr>
          <w:rFonts w:ascii="宋体" w:hAnsi="宋体"/>
          <w:color w:val="auto"/>
          <w:szCs w:val="21"/>
          <w:highlight w:val="none"/>
        </w:rPr>
      </w:pPr>
      <w:r>
        <w:rPr>
          <w:rFonts w:ascii="宋体" w:hAnsi="宋体" w:cs="宋体"/>
          <w:color w:val="auto"/>
          <w:kern w:val="0"/>
          <w:szCs w:val="21"/>
          <w:highlight w:val="none"/>
        </w:rPr>
        <w:t xml:space="preserve">39.3 </w:t>
      </w:r>
      <w:r>
        <w:rPr>
          <w:rFonts w:hint="eastAsia" w:ascii="宋体" w:hAnsi="宋体"/>
          <w:color w:val="auto"/>
          <w:szCs w:val="21"/>
          <w:highlight w:val="none"/>
        </w:rPr>
        <w:t>成交供应商在收到采购代理机构的成交通知书后</w:t>
      </w:r>
      <w:r>
        <w:rPr>
          <w:rFonts w:ascii="宋体" w:hAnsi="宋体"/>
          <w:color w:val="auto"/>
          <w:szCs w:val="21"/>
          <w:highlight w:val="none"/>
        </w:rPr>
        <w:t>10</w:t>
      </w:r>
      <w:r>
        <w:rPr>
          <w:rFonts w:hint="eastAsia" w:ascii="宋体" w:hAnsi="宋体"/>
          <w:color w:val="auto"/>
          <w:szCs w:val="21"/>
          <w:highlight w:val="none"/>
        </w:rPr>
        <w:t>日内，应按照</w:t>
      </w:r>
      <w:r>
        <w:rPr>
          <w:rFonts w:hint="eastAsia" w:ascii="宋体" w:hAnsi="宋体"/>
          <w:b/>
          <w:color w:val="auto"/>
          <w:szCs w:val="21"/>
          <w:highlight w:val="none"/>
        </w:rPr>
        <w:t>磋商须知前附表</w:t>
      </w:r>
      <w:r>
        <w:rPr>
          <w:rFonts w:hint="eastAsia" w:ascii="宋体" w:hAnsi="宋体"/>
          <w:color w:val="auto"/>
          <w:szCs w:val="21"/>
          <w:highlight w:val="none"/>
        </w:rPr>
        <w:t>的规定，向采购人提交履约担保。联合体成交的，履约担保由联合体各方或联合体中牵头人的名义提交。</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39.4 </w:t>
      </w:r>
      <w:r>
        <w:rPr>
          <w:rFonts w:hint="eastAsia" w:ascii="宋体" w:hAnsi="宋体"/>
          <w:color w:val="auto"/>
          <w:highlight w:val="none"/>
        </w:rPr>
        <w:t>成交供应商</w:t>
      </w:r>
      <w:r>
        <w:rPr>
          <w:rFonts w:hint="eastAsia" w:ascii="宋体" w:hAnsi="宋体"/>
          <w:color w:val="auto"/>
          <w:spacing w:val="4"/>
          <w:highlight w:val="none"/>
        </w:rPr>
        <w:t>没有按照本章第</w:t>
      </w:r>
      <w:r>
        <w:rPr>
          <w:rFonts w:ascii="宋体" w:hAnsi="宋体"/>
          <w:color w:val="auto"/>
          <w:spacing w:val="4"/>
          <w:highlight w:val="none"/>
        </w:rPr>
        <w:t>39.3</w:t>
      </w:r>
      <w:r>
        <w:rPr>
          <w:rFonts w:hint="eastAsia" w:ascii="宋体" w:hAnsi="宋体" w:cs="宋体"/>
          <w:color w:val="auto"/>
          <w:highlight w:val="none"/>
          <w:lang w:val="zh-CN"/>
        </w:rPr>
        <w:t>款</w:t>
      </w:r>
      <w:r>
        <w:rPr>
          <w:rFonts w:hint="eastAsia" w:ascii="宋体" w:hAnsi="宋体"/>
          <w:color w:val="auto"/>
          <w:spacing w:val="4"/>
          <w:highlight w:val="none"/>
        </w:rPr>
        <w:t>规定</w:t>
      </w:r>
      <w:r>
        <w:rPr>
          <w:rFonts w:hint="eastAsia" w:ascii="宋体" w:hAnsi="宋体"/>
          <w:color w:val="auto"/>
          <w:highlight w:val="none"/>
        </w:rPr>
        <w:t>提交履约担保的</w:t>
      </w:r>
      <w:r>
        <w:rPr>
          <w:rFonts w:hint="eastAsia" w:ascii="宋体" w:hAnsi="宋体"/>
          <w:color w:val="auto"/>
          <w:spacing w:val="4"/>
          <w:highlight w:val="none"/>
        </w:rPr>
        <w:t>，视为放弃</w:t>
      </w:r>
      <w:r>
        <w:rPr>
          <w:rFonts w:hint="eastAsia" w:ascii="宋体" w:hAnsi="宋体"/>
          <w:color w:val="auto"/>
          <w:highlight w:val="none"/>
        </w:rPr>
        <w:t>成交资格</w:t>
      </w:r>
      <w:r>
        <w:rPr>
          <w:rFonts w:hint="eastAsia" w:ascii="宋体" w:hAnsi="宋体"/>
          <w:color w:val="auto"/>
          <w:spacing w:val="4"/>
          <w:highlight w:val="none"/>
        </w:rPr>
        <w:t>，</w:t>
      </w:r>
      <w:r>
        <w:rPr>
          <w:rFonts w:hint="eastAsia" w:ascii="宋体" w:hAnsi="宋体"/>
          <w:color w:val="auto"/>
          <w:spacing w:val="2"/>
          <w:highlight w:val="none"/>
        </w:rPr>
        <w:t>其保证金不予退还。</w:t>
      </w:r>
    </w:p>
    <w:p>
      <w:pPr>
        <w:adjustRightInd w:val="0"/>
        <w:snapToGrid w:val="0"/>
        <w:spacing w:line="520" w:lineRule="exact"/>
        <w:rPr>
          <w:rFonts w:ascii="宋体" w:hAnsi="宋体"/>
          <w:b/>
          <w:bCs/>
          <w:color w:val="auto"/>
          <w:szCs w:val="21"/>
          <w:highlight w:val="none"/>
        </w:rPr>
      </w:pPr>
      <w:r>
        <w:rPr>
          <w:rFonts w:ascii="宋体" w:hAnsi="宋体"/>
          <w:b/>
          <w:bCs/>
          <w:color w:val="auto"/>
          <w:szCs w:val="21"/>
          <w:highlight w:val="none"/>
        </w:rPr>
        <w:t>40.</w:t>
      </w:r>
      <w:r>
        <w:rPr>
          <w:rFonts w:hint="eastAsia" w:ascii="宋体" w:hAnsi="宋体"/>
          <w:b/>
          <w:bCs/>
          <w:color w:val="auto"/>
          <w:szCs w:val="21"/>
          <w:highlight w:val="none"/>
        </w:rPr>
        <w:t>签订合同</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40.1</w:t>
      </w:r>
      <w:r>
        <w:rPr>
          <w:rFonts w:hint="eastAsia" w:ascii="宋体" w:hAnsi="宋体"/>
          <w:color w:val="auto"/>
          <w:highlight w:val="none"/>
        </w:rPr>
        <w:t>成交供应商应当在成交通知书发出之日起</w:t>
      </w:r>
      <w:r>
        <w:rPr>
          <w:rFonts w:ascii="宋体" w:hAnsi="宋体"/>
          <w:color w:val="auto"/>
          <w:highlight w:val="none"/>
        </w:rPr>
        <w:t>30</w:t>
      </w:r>
      <w:r>
        <w:rPr>
          <w:rFonts w:hint="eastAsia" w:ascii="宋体" w:hAnsi="宋体"/>
          <w:color w:val="auto"/>
          <w:highlight w:val="none"/>
        </w:rPr>
        <w:t>日内与采购人签订政府采购合同。</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40.2</w:t>
      </w:r>
      <w:r>
        <w:rPr>
          <w:rFonts w:hint="eastAsia" w:ascii="宋体" w:hAnsi="宋体"/>
          <w:color w:val="auto"/>
          <w:highlight w:val="none"/>
        </w:rPr>
        <w:t>磋商文件、成交供应商的响应文件等均为签订政府采购合同的依据。</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40.3 </w:t>
      </w:r>
      <w:r>
        <w:rPr>
          <w:rFonts w:hint="eastAsia" w:ascii="宋体" w:hAnsi="宋体"/>
          <w:color w:val="auto"/>
          <w:highlight w:val="none"/>
        </w:rPr>
        <w:t>成交供应商应当按照合同约定履行义务。成交供应商不得向他人转让成交项目，也不得将成交项目分包后分别向他人转让。</w:t>
      </w:r>
    </w:p>
    <w:p>
      <w:pPr>
        <w:adjustRightInd w:val="0"/>
        <w:snapToGrid w:val="0"/>
        <w:spacing w:line="520" w:lineRule="exact"/>
        <w:ind w:firstLine="420" w:firstLineChars="200"/>
        <w:rPr>
          <w:rFonts w:ascii="宋体" w:hAnsi="宋体"/>
          <w:color w:val="auto"/>
          <w:highlight w:val="none"/>
        </w:rPr>
      </w:pPr>
      <w:r>
        <w:rPr>
          <w:rFonts w:ascii="宋体" w:hAnsi="宋体"/>
          <w:color w:val="auto"/>
          <w:highlight w:val="none"/>
        </w:rPr>
        <w:t xml:space="preserve">40.4 </w:t>
      </w:r>
      <w:r>
        <w:rPr>
          <w:rFonts w:hint="eastAsia" w:ascii="宋体" w:hAnsi="宋体"/>
          <w:color w:val="auto"/>
          <w:highlight w:val="none"/>
        </w:rPr>
        <w:t>成交供应商有下列情形之一的，责令限期改正，情节严重的，列入不良行为记录名单，在</w:t>
      </w:r>
      <w:r>
        <w:rPr>
          <w:rFonts w:ascii="宋体" w:hAnsi="宋体"/>
          <w:color w:val="auto"/>
          <w:highlight w:val="none"/>
        </w:rPr>
        <w:t>1</w:t>
      </w:r>
      <w:r>
        <w:rPr>
          <w:rFonts w:hint="eastAsia" w:ascii="宋体" w:hAnsi="宋体"/>
          <w:color w:val="auto"/>
          <w:highlight w:val="none"/>
        </w:rPr>
        <w:t>至</w:t>
      </w:r>
      <w:r>
        <w:rPr>
          <w:rFonts w:ascii="宋体" w:hAnsi="宋体"/>
          <w:color w:val="auto"/>
          <w:highlight w:val="none"/>
        </w:rPr>
        <w:t>3</w:t>
      </w:r>
      <w:r>
        <w:rPr>
          <w:rFonts w:hint="eastAsia" w:ascii="宋体" w:hAnsi="宋体"/>
          <w:color w:val="auto"/>
          <w:highlight w:val="none"/>
        </w:rPr>
        <w:t>年内禁止参加政府采购活动，并予以通报：</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（一）成交后无正当理由不与采购人签订合同的；</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（二）未按照采购文件确定的事项签订政府采购合同，或者与采购人另行订立背离合同实质性内容的协议的；</w:t>
      </w:r>
    </w:p>
    <w:p>
      <w:pPr>
        <w:adjustRightInd w:val="0"/>
        <w:snapToGrid w:val="0"/>
        <w:spacing w:line="520" w:lineRule="exact"/>
        <w:ind w:firstLine="420" w:firstLineChars="200"/>
        <w:rPr>
          <w:rFonts w:ascii="宋体" w:hAnsi="宋体"/>
          <w:color w:val="auto"/>
          <w:highlight w:val="none"/>
        </w:rPr>
      </w:pPr>
      <w:r>
        <w:rPr>
          <w:rFonts w:hint="eastAsia" w:ascii="宋体" w:hAnsi="宋体"/>
          <w:color w:val="auto"/>
          <w:highlight w:val="none"/>
        </w:rPr>
        <w:t>（三）拒绝履行合同义务的；</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olor w:val="auto"/>
          <w:highlight w:val="none"/>
        </w:rPr>
        <w:t>（四）</w:t>
      </w:r>
      <w:r>
        <w:rPr>
          <w:rFonts w:hint="eastAsia" w:ascii="宋体" w:hAnsi="宋体" w:cs="宋体"/>
          <w:color w:val="auto"/>
          <w:highlight w:val="none"/>
        </w:rPr>
        <w:t>违反法律、规章、规范性文件规定的。</w:t>
      </w:r>
    </w:p>
    <w:p>
      <w:pPr>
        <w:adjustRightInd w:val="0"/>
        <w:snapToGrid w:val="0"/>
        <w:spacing w:line="520" w:lineRule="exact"/>
        <w:rPr>
          <w:rFonts w:ascii="宋体" w:hAnsi="宋体"/>
          <w:color w:val="auto"/>
          <w:sz w:val="24"/>
          <w:highlight w:val="none"/>
        </w:rPr>
      </w:pPr>
      <w:r>
        <w:rPr>
          <w:rFonts w:hint="eastAsia" w:ascii="宋体" w:hAnsi="宋体"/>
          <w:color w:val="auto"/>
          <w:sz w:val="24"/>
          <w:highlight w:val="none"/>
        </w:rPr>
        <w:t>七、其他规定</w:t>
      </w:r>
    </w:p>
    <w:p>
      <w:pPr>
        <w:adjustRightInd w:val="0"/>
        <w:snapToGrid w:val="0"/>
        <w:spacing w:line="520" w:lineRule="exact"/>
        <w:jc w:val="left"/>
        <w:rPr>
          <w:rFonts w:ascii="宋体" w:hAnsi="宋体"/>
          <w:b/>
          <w:color w:val="auto"/>
          <w:szCs w:val="21"/>
          <w:highlight w:val="none"/>
        </w:rPr>
      </w:pPr>
      <w:r>
        <w:rPr>
          <w:rFonts w:ascii="宋体" w:hAnsi="宋体"/>
          <w:b/>
          <w:color w:val="auto"/>
          <w:szCs w:val="21"/>
          <w:highlight w:val="none"/>
        </w:rPr>
        <w:t>41.1</w:t>
      </w:r>
      <w:r>
        <w:rPr>
          <w:rFonts w:hint="eastAsia" w:ascii="宋体" w:hAnsi="宋体"/>
          <w:b/>
          <w:color w:val="auto"/>
          <w:szCs w:val="21"/>
          <w:highlight w:val="none"/>
        </w:rPr>
        <w:t>采购代理服务费</w:t>
      </w:r>
    </w:p>
    <w:p>
      <w:pPr>
        <w:tabs>
          <w:tab w:val="left" w:pos="420"/>
          <w:tab w:val="left" w:pos="7560"/>
          <w:tab w:val="left" w:pos="7740"/>
          <w:tab w:val="left" w:pos="7920"/>
        </w:tabs>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41.1</w:t>
      </w:r>
      <w:r>
        <w:rPr>
          <w:rFonts w:hint="eastAsia" w:ascii="宋体" w:hAnsi="宋体"/>
          <w:color w:val="auto"/>
          <w:szCs w:val="21"/>
          <w:highlight w:val="none"/>
        </w:rPr>
        <w:t>采购代理机构应按</w:t>
      </w:r>
      <w:r>
        <w:rPr>
          <w:rFonts w:hint="eastAsia" w:ascii="宋体" w:hAnsi="宋体"/>
          <w:b/>
          <w:color w:val="auto"/>
          <w:szCs w:val="21"/>
          <w:highlight w:val="none"/>
        </w:rPr>
        <w:t>磋商须知前附表</w:t>
      </w:r>
      <w:r>
        <w:rPr>
          <w:rFonts w:hint="eastAsia" w:ascii="宋体" w:hAnsi="宋体"/>
          <w:color w:val="auto"/>
          <w:szCs w:val="21"/>
          <w:highlight w:val="none"/>
        </w:rPr>
        <w:t>规定收取采购代理服务费。</w:t>
      </w:r>
    </w:p>
    <w:p>
      <w:pPr>
        <w:tabs>
          <w:tab w:val="left" w:pos="420"/>
          <w:tab w:val="left" w:pos="7560"/>
          <w:tab w:val="left" w:pos="7740"/>
          <w:tab w:val="left" w:pos="7920"/>
        </w:tabs>
        <w:adjustRightInd w:val="0"/>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41.2</w:t>
      </w:r>
      <w:r>
        <w:rPr>
          <w:rFonts w:hint="eastAsia" w:ascii="宋体" w:hAnsi="宋体"/>
          <w:color w:val="auto"/>
          <w:szCs w:val="21"/>
          <w:highlight w:val="none"/>
        </w:rPr>
        <w:t>集中采购机构不得收取采购代理服务费。</w:t>
      </w:r>
    </w:p>
    <w:p>
      <w:pPr>
        <w:tabs>
          <w:tab w:val="left" w:pos="420"/>
          <w:tab w:val="left" w:pos="7560"/>
          <w:tab w:val="left" w:pos="7740"/>
          <w:tab w:val="left" w:pos="7920"/>
        </w:tabs>
        <w:adjustRightInd w:val="0"/>
        <w:snapToGrid w:val="0"/>
        <w:spacing w:line="520" w:lineRule="exact"/>
        <w:rPr>
          <w:rFonts w:ascii="宋体" w:hAnsi="宋体"/>
          <w:b/>
          <w:color w:val="auto"/>
          <w:highlight w:val="none"/>
        </w:rPr>
      </w:pPr>
      <w:r>
        <w:rPr>
          <w:rFonts w:ascii="宋体" w:hAnsi="宋体"/>
          <w:b/>
          <w:color w:val="auto"/>
          <w:szCs w:val="21"/>
          <w:highlight w:val="none"/>
        </w:rPr>
        <w:t>42.</w:t>
      </w:r>
      <w:r>
        <w:rPr>
          <w:rFonts w:ascii="宋体" w:hAnsi="宋体"/>
          <w:b/>
          <w:color w:val="auto"/>
          <w:highlight w:val="none"/>
        </w:rPr>
        <w:t xml:space="preserve"> </w:t>
      </w:r>
      <w:r>
        <w:rPr>
          <w:rFonts w:hint="eastAsia" w:ascii="宋体" w:hAnsi="宋体"/>
          <w:b/>
          <w:color w:val="auto"/>
          <w:highlight w:val="none"/>
        </w:rPr>
        <w:t>其他规定</w:t>
      </w:r>
    </w:p>
    <w:p>
      <w:pPr>
        <w:tabs>
          <w:tab w:val="left" w:pos="420"/>
          <w:tab w:val="left" w:pos="7560"/>
          <w:tab w:val="left" w:pos="7740"/>
          <w:tab w:val="left" w:pos="7920"/>
        </w:tabs>
        <w:adjustRightInd w:val="0"/>
        <w:snapToGrid w:val="0"/>
        <w:spacing w:line="520" w:lineRule="exact"/>
        <w:ind w:firstLine="420" w:firstLineChars="200"/>
        <w:rPr>
          <w:rFonts w:ascii="宋体" w:hAnsi="宋体"/>
          <w:b/>
          <w:color w:val="auto"/>
          <w:sz w:val="32"/>
          <w:szCs w:val="32"/>
          <w:highlight w:val="none"/>
        </w:rPr>
      </w:pPr>
      <w:r>
        <w:rPr>
          <w:rFonts w:ascii="宋体" w:hAnsi="宋体"/>
          <w:color w:val="auto"/>
          <w:highlight w:val="none"/>
        </w:rPr>
        <w:t>42.1</w:t>
      </w:r>
      <w:r>
        <w:rPr>
          <w:rFonts w:hint="eastAsia" w:ascii="宋体" w:hAnsi="宋体"/>
          <w:color w:val="auto"/>
          <w:szCs w:val="21"/>
          <w:highlight w:val="none"/>
        </w:rPr>
        <w:t>磋商文件</w:t>
      </w:r>
      <w:r>
        <w:rPr>
          <w:rFonts w:hint="eastAsia" w:ascii="宋体" w:hAnsi="宋体"/>
          <w:color w:val="auto"/>
          <w:highlight w:val="none"/>
        </w:rPr>
        <w:t>的其他规定</w:t>
      </w:r>
      <w:r>
        <w:rPr>
          <w:rFonts w:hint="eastAsia" w:ascii="宋体" w:hAnsi="宋体"/>
          <w:color w:val="auto"/>
          <w:szCs w:val="21"/>
          <w:highlight w:val="none"/>
        </w:rPr>
        <w:t>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adjustRightInd w:val="0"/>
        <w:snapToGrid w:val="0"/>
        <w:spacing w:before="156" w:beforeLines="50" w:line="520" w:lineRule="exact"/>
        <w:jc w:val="center"/>
        <w:outlineLvl w:val="0"/>
        <w:rPr>
          <w:rFonts w:ascii="宋体" w:hAnsi="宋体"/>
          <w:b/>
          <w:bCs/>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第三章</w:t>
      </w:r>
      <w:r>
        <w:rPr>
          <w:rFonts w:ascii="宋体" w:hAnsi="宋体"/>
          <w:b/>
          <w:color w:val="auto"/>
          <w:sz w:val="32"/>
          <w:szCs w:val="32"/>
          <w:highlight w:val="none"/>
        </w:rPr>
        <w:t xml:space="preserve">  </w:t>
      </w:r>
      <w:r>
        <w:rPr>
          <w:rFonts w:hint="eastAsia" w:ascii="宋体" w:hAnsi="宋体"/>
          <w:b/>
          <w:bCs/>
          <w:color w:val="auto"/>
          <w:sz w:val="32"/>
          <w:szCs w:val="32"/>
          <w:highlight w:val="none"/>
        </w:rPr>
        <w:t>合同协议</w:t>
      </w:r>
    </w:p>
    <w:p>
      <w:pPr>
        <w:widowControl/>
        <w:tabs>
          <w:tab w:val="left" w:pos="1782"/>
        </w:tabs>
        <w:jc w:val="center"/>
        <w:textAlignment w:val="baseline"/>
        <w:rPr>
          <w:rFonts w:ascii="宋体" w:hAnsi="宋体" w:cs="宋体"/>
          <w:b/>
          <w:bCs/>
          <w:color w:val="auto"/>
          <w:sz w:val="36"/>
          <w:szCs w:val="32"/>
          <w:highlight w:val="none"/>
        </w:rPr>
      </w:pPr>
    </w:p>
    <w:p>
      <w:pPr>
        <w:tabs>
          <w:tab w:val="left" w:pos="8820"/>
          <w:tab w:val="left" w:pos="9345"/>
          <w:tab w:val="left" w:pos="9765"/>
        </w:tabs>
        <w:adjustRightInd w:val="0"/>
        <w:snapToGrid w:val="0"/>
        <w:spacing w:line="400" w:lineRule="exact"/>
        <w:ind w:right="384" w:rightChars="18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一、政府采购合同协议书</w:t>
      </w:r>
    </w:p>
    <w:p>
      <w:pPr>
        <w:ind w:firstLine="4200" w:firstLineChars="200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ind w:firstLine="4200" w:firstLineChars="2000"/>
        <w:rPr>
          <w:rFonts w:hint="eastAsia" w:ascii="宋体" w:hAnsi="宋体" w:cs="宋体"/>
          <w:color w:val="auto"/>
          <w:szCs w:val="21"/>
          <w:highlight w:val="none"/>
        </w:rPr>
      </w:pPr>
    </w:p>
    <w:p>
      <w:pPr>
        <w:ind w:firstLine="5460" w:firstLineChars="2600"/>
        <w:rPr>
          <w:rFonts w:hint="eastAsia" w:ascii="宋体" w:hAnsi="宋体" w:cs="宋体"/>
          <w:b/>
          <w:color w:val="auto"/>
          <w:szCs w:val="21"/>
          <w:highlight w:val="none"/>
        </w:rPr>
      </w:pPr>
      <w:r>
        <w:rPr>
          <w:rFonts w:hint="eastAsia" w:ascii="宋体" w:hAnsi="宋体" w:cs="宋体"/>
          <w:color w:val="auto"/>
          <w:szCs w:val="21"/>
          <w:highlight w:val="none"/>
        </w:rPr>
        <w:t xml:space="preserve"> 采购合同编号：</w:t>
      </w:r>
      <w:r>
        <w:rPr>
          <w:rFonts w:hint="eastAsia" w:ascii="宋体" w:hAnsi="宋体" w:cs="宋体"/>
          <w:color w:val="auto"/>
          <w:szCs w:val="21"/>
          <w:highlight w:val="none"/>
          <w:u w:val="single"/>
        </w:rPr>
        <w:t xml:space="preserve">                 </w:t>
      </w:r>
    </w:p>
    <w:p>
      <w:pPr>
        <w:adjustRightInd w:val="0"/>
        <w:snapToGrid w:val="0"/>
        <w:spacing w:before="120" w:beforeLines="50" w:line="360" w:lineRule="auto"/>
        <w:jc w:val="center"/>
        <w:rPr>
          <w:rFonts w:hint="eastAsia" w:ascii="宋体" w:hAnsi="宋体" w:cs="宋体"/>
          <w:b/>
          <w:color w:val="auto"/>
          <w:szCs w:val="21"/>
          <w:highlight w:val="none"/>
        </w:rPr>
      </w:pP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采购人（全称）：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（甲方）</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供应商（全称）：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（乙方）</w:t>
      </w:r>
    </w:p>
    <w:p>
      <w:pPr>
        <w:pStyle w:val="15"/>
        <w:adjustRightInd w:val="0"/>
        <w:snapToGrid w:val="0"/>
        <w:spacing w:after="0" w:line="360" w:lineRule="auto"/>
        <w:rPr>
          <w:rFonts w:hint="eastAsia" w:ascii="宋体" w:hAnsi="宋体" w:cs="宋体"/>
          <w:color w:val="auto"/>
          <w:szCs w:val="21"/>
          <w:highlight w:val="none"/>
        </w:rPr>
      </w:pPr>
    </w:p>
    <w:p>
      <w:pPr>
        <w:pStyle w:val="15"/>
        <w:adjustRightInd w:val="0"/>
        <w:snapToGrid w:val="0"/>
        <w:spacing w:after="0" w:line="360" w:lineRule="auto"/>
        <w:ind w:left="0" w:leftChars="0"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为了保护甲、乙双方合法权益，根据《中华人民共和国</w:t>
      </w:r>
      <w:r>
        <w:rPr>
          <w:rFonts w:hint="eastAsia" w:ascii="宋体" w:hAnsi="宋体" w:cs="宋体"/>
          <w:color w:val="auto"/>
          <w:szCs w:val="21"/>
          <w:highlight w:val="none"/>
          <w:lang w:eastAsia="zh-CN"/>
        </w:rPr>
        <w:t>民法典</w:t>
      </w:r>
      <w:r>
        <w:rPr>
          <w:rFonts w:hint="eastAsia" w:ascii="宋体" w:hAnsi="宋体" w:cs="宋体"/>
          <w:color w:val="auto"/>
          <w:szCs w:val="21"/>
          <w:highlight w:val="none"/>
        </w:rPr>
        <w:t>》、《中华人民共和国政府采购法》及其他有关法律、法规、规章，双方签订本合同协议书。</w:t>
      </w:r>
    </w:p>
    <w:p>
      <w:pPr>
        <w:adjustRightInd w:val="0"/>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1.项目信息</w:t>
      </w:r>
    </w:p>
    <w:p>
      <w:pPr>
        <w:pStyle w:val="15"/>
        <w:adjustRightInd w:val="0"/>
        <w:snapToGrid w:val="0"/>
        <w:spacing w:after="0" w:line="360" w:lineRule="auto"/>
        <w:rPr>
          <w:rFonts w:hint="eastAsia" w:ascii="宋体" w:hAnsi="宋体" w:cs="宋体"/>
          <w:color w:val="auto"/>
          <w:szCs w:val="21"/>
          <w:highlight w:val="none"/>
        </w:rPr>
      </w:pPr>
      <w:r>
        <w:rPr>
          <w:rFonts w:hint="eastAsia" w:ascii="宋体" w:hAnsi="宋体" w:cs="宋体"/>
          <w:color w:val="auto"/>
          <w:szCs w:val="21"/>
          <w:highlight w:val="none"/>
        </w:rPr>
        <w:t>（1）采购项目名称：</w:t>
      </w:r>
      <w:r>
        <w:rPr>
          <w:rFonts w:hint="eastAsia" w:ascii="宋体" w:hAnsi="宋体" w:cs="宋体"/>
          <w:color w:val="auto"/>
          <w:szCs w:val="21"/>
          <w:highlight w:val="none"/>
          <w:u w:val="single"/>
        </w:rPr>
        <w:t xml:space="preserve">                                          </w:t>
      </w:r>
    </w:p>
    <w:p>
      <w:pPr>
        <w:pStyle w:val="15"/>
        <w:adjustRightInd w:val="0"/>
        <w:snapToGrid w:val="0"/>
        <w:spacing w:after="0" w:line="360" w:lineRule="auto"/>
        <w:rPr>
          <w:rFonts w:hint="eastAsia" w:ascii="宋体" w:hAnsi="宋体" w:cs="宋体"/>
          <w:color w:val="auto"/>
          <w:szCs w:val="21"/>
          <w:highlight w:val="none"/>
        </w:rPr>
      </w:pPr>
      <w:r>
        <w:rPr>
          <w:rFonts w:hint="eastAsia" w:ascii="宋体" w:hAnsi="宋体" w:cs="宋体"/>
          <w:color w:val="auto"/>
          <w:szCs w:val="21"/>
          <w:highlight w:val="none"/>
        </w:rPr>
        <w:t>（2）采购计划编号：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（3）项目内容：</w:t>
      </w:r>
      <w:r>
        <w:rPr>
          <w:rFonts w:hint="eastAsia" w:ascii="宋体" w:hAnsi="宋体" w:cs="宋体"/>
          <w:color w:val="auto"/>
          <w:szCs w:val="21"/>
          <w:highlight w:val="none"/>
          <w:u w:val="single"/>
        </w:rPr>
        <w:t xml:space="preserve">                             </w:t>
      </w:r>
    </w:p>
    <w:p>
      <w:pPr>
        <w:adjustRightInd w:val="0"/>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2.合同金额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（1）合同金额小写：</w:t>
      </w:r>
      <w:r>
        <w:rPr>
          <w:rFonts w:hint="eastAsia" w:ascii="宋体" w:hAnsi="宋体" w:cs="宋体"/>
          <w:color w:val="auto"/>
          <w:szCs w:val="21"/>
          <w:highlight w:val="none"/>
          <w:u w:val="single"/>
        </w:rPr>
        <w:t xml:space="preserve">                      </w:t>
      </w:r>
    </w:p>
    <w:p>
      <w:pPr>
        <w:adjustRightInd w:val="0"/>
        <w:snapToGrid w:val="0"/>
        <w:spacing w:line="360" w:lineRule="auto"/>
        <w:ind w:firstLine="1260" w:firstLineChars="600"/>
        <w:rPr>
          <w:rFonts w:hint="eastAsia" w:ascii="宋体" w:hAnsi="宋体" w:cs="宋体"/>
          <w:b/>
          <w:color w:val="auto"/>
          <w:szCs w:val="21"/>
          <w:highlight w:val="none"/>
        </w:rPr>
      </w:pP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（2）具体标的见附件。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（3）合同价格形式：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360" w:lineRule="auto"/>
        <w:ind w:firstLine="422" w:firstLineChars="200"/>
        <w:rPr>
          <w:rFonts w:hint="eastAsia" w:ascii="宋体" w:hAnsi="宋体" w:cs="宋体"/>
          <w:color w:val="auto"/>
          <w:szCs w:val="21"/>
          <w:highlight w:val="none"/>
          <w:u w:val="single"/>
        </w:rPr>
      </w:pPr>
      <w:r>
        <w:rPr>
          <w:rFonts w:hint="eastAsia" w:ascii="宋体" w:hAnsi="宋体" w:cs="宋体"/>
          <w:b/>
          <w:color w:val="auto"/>
          <w:szCs w:val="21"/>
          <w:highlight w:val="none"/>
        </w:rPr>
        <w:t>3.履行合同的期限、地点及方式</w:t>
      </w:r>
      <w:r>
        <w:rPr>
          <w:rFonts w:hint="eastAsia" w:ascii="宋体" w:hAnsi="宋体" w:cs="宋体"/>
          <w:color w:val="auto"/>
          <w:szCs w:val="21"/>
          <w:highlight w:val="none"/>
          <w:u w:val="single"/>
        </w:rPr>
        <w:t xml:space="preserve"> </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起始日期：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日，完成日期：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日。总日历天数：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w:t>
      </w:r>
    </w:p>
    <w:p>
      <w:pPr>
        <w:adjustRightInd w:val="0"/>
        <w:snapToGrid w:val="0"/>
        <w:spacing w:line="360" w:lineRule="auto"/>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地点</w:t>
      </w:r>
      <w:r>
        <w:rPr>
          <w:rFonts w:hint="eastAsia" w:ascii="宋体" w:hAnsi="宋体" w:cs="宋体"/>
          <w:b/>
          <w:color w:val="auto"/>
          <w:szCs w:val="21"/>
          <w:highlight w:val="none"/>
        </w:rPr>
        <w:t>：</w:t>
      </w:r>
      <w:r>
        <w:rPr>
          <w:rFonts w:hint="eastAsia" w:ascii="宋体" w:hAnsi="宋体" w:cs="宋体"/>
          <w:color w:val="auto"/>
          <w:szCs w:val="21"/>
          <w:highlight w:val="none"/>
          <w:u w:val="single"/>
        </w:rPr>
        <w:t xml:space="preserve">                             </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Cs w:val="21"/>
          <w:highlight w:val="none"/>
          <w:u w:val="single"/>
        </w:rPr>
        <w:t xml:space="preserve">                             </w:t>
      </w:r>
    </w:p>
    <w:p>
      <w:pPr>
        <w:adjustRightInd w:val="0"/>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4.付款：</w:t>
      </w:r>
    </w:p>
    <w:p>
      <w:pPr>
        <w:adjustRightInd w:val="0"/>
        <w:snapToGrid w:val="0"/>
        <w:spacing w:line="360" w:lineRule="auto"/>
        <w:ind w:firstLine="630" w:firstLineChars="300"/>
        <w:rPr>
          <w:rFonts w:hint="eastAsia" w:ascii="宋体" w:hAnsi="宋体" w:cs="宋体"/>
          <w:bCs/>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5.解决合同纠纷方式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首先通过双方协商解决，协商解决不成，则通过以下途径之一解决纠纷：</w:t>
      </w:r>
    </w:p>
    <w:p>
      <w:pPr>
        <w:adjustRightInd w:val="0"/>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 提请仲裁       □ 向人民法院提起诉讼</w:t>
      </w:r>
    </w:p>
    <w:p>
      <w:pPr>
        <w:adjustRightInd w:val="0"/>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6.组成合同的文件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本协议书与下列文件一起构成合同文件，如下述文件之间有任何抵触、矛盾或歧义，应按以下顺序解释：</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（1）在采购或合同履行过程中乙方作出的承诺以及双方协商达成的变更或补充协议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（2）成交通知书</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（3）响应文件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（4）政府采购合同格式条款及其附件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（5）专用合同条款</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（6）通用合同条款（如果有）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（7）标准、规范及有关技术文件，图纸，已标价工程量清单或预算书（如果有）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（8）其他合同文件。</w:t>
      </w:r>
    </w:p>
    <w:p>
      <w:pPr>
        <w:adjustRightInd w:val="0"/>
        <w:snapToGrid w:val="0"/>
        <w:spacing w:line="360" w:lineRule="auto"/>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7.合同生效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生效。</w:t>
      </w:r>
    </w:p>
    <w:p>
      <w:pPr>
        <w:adjustRightInd w:val="0"/>
        <w:snapToGrid w:val="0"/>
        <w:spacing w:line="360" w:lineRule="auto"/>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8.合同份数</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份，采购人执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份，供应商执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份，均具有同等法律效力。</w:t>
      </w:r>
    </w:p>
    <w:p>
      <w:pPr>
        <w:adjustRightInd w:val="0"/>
        <w:snapToGrid w:val="0"/>
        <w:spacing w:line="360" w:lineRule="auto"/>
        <w:rPr>
          <w:rFonts w:hint="eastAsia" w:ascii="宋体" w:hAnsi="宋体" w:cs="宋体"/>
          <w:color w:val="auto"/>
          <w:szCs w:val="21"/>
          <w:highlight w:val="none"/>
        </w:rPr>
      </w:pP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合同订立地点：</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甲      方：（公章）                     乙      方：（公章）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委托代理人：</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      真：</w:t>
      </w:r>
      <w:r>
        <w:rPr>
          <w:rFonts w:hint="eastAsia" w:ascii="宋体" w:hAnsi="宋体" w:cs="宋体"/>
          <w:color w:val="auto"/>
          <w:szCs w:val="21"/>
          <w:highlight w:val="none"/>
          <w:u w:val="single"/>
        </w:rPr>
        <w:t xml:space="preserve">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开 户 银 行：</w:t>
      </w:r>
      <w:r>
        <w:rPr>
          <w:rFonts w:hint="eastAsia" w:ascii="宋体" w:hAnsi="宋体" w:cs="宋体"/>
          <w:color w:val="auto"/>
          <w:szCs w:val="21"/>
          <w:highlight w:val="none"/>
          <w:u w:val="single"/>
        </w:rPr>
        <w:t xml:space="preserve">                  </w:t>
      </w:r>
    </w:p>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账</w:t>
      </w:r>
      <w:r>
        <w:rPr>
          <w:rFonts w:hint="eastAsia" w:ascii="宋体" w:hAnsi="宋体" w:cs="宋体"/>
          <w:color w:val="auto"/>
          <w:szCs w:val="21"/>
          <w:highlight w:val="none"/>
        </w:rPr>
        <w:t xml:space="preserve">       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pacing w:line="400" w:lineRule="exact"/>
        <w:ind w:firstLine="420" w:firstLineChars="200"/>
        <w:rPr>
          <w:rFonts w:hint="eastAsia" w:ascii="宋体" w:hAnsi="宋体" w:cs="宋体"/>
          <w:color w:val="auto"/>
          <w:szCs w:val="21"/>
          <w:highlight w:val="none"/>
        </w:rPr>
      </w:pPr>
    </w:p>
    <w:p>
      <w:pPr>
        <w:tabs>
          <w:tab w:val="left" w:pos="8820"/>
          <w:tab w:val="left" w:pos="9345"/>
          <w:tab w:val="left" w:pos="9765"/>
        </w:tabs>
        <w:adjustRightInd w:val="0"/>
        <w:snapToGrid w:val="0"/>
        <w:spacing w:line="400" w:lineRule="exact"/>
        <w:ind w:right="384" w:rightChars="183"/>
        <w:rPr>
          <w:rFonts w:hint="eastAsia" w:ascii="宋体" w:hAnsi="宋体" w:cs="宋体"/>
          <w:b/>
          <w:bCs/>
          <w:color w:val="auto"/>
          <w:sz w:val="32"/>
          <w:szCs w:val="32"/>
          <w:highlight w:val="none"/>
        </w:rPr>
      </w:pPr>
      <w:r>
        <w:rPr>
          <w:rFonts w:hint="eastAsia" w:ascii="宋体" w:hAnsi="宋体" w:cs="宋体"/>
          <w:b w:val="0"/>
          <w:bCs w:val="0"/>
          <w:color w:val="auto"/>
          <w:sz w:val="21"/>
          <w:szCs w:val="21"/>
          <w:highlight w:val="none"/>
          <w:lang w:val="en-US" w:eastAsia="zh-CN"/>
        </w:rPr>
        <w:t>注：此为《</w:t>
      </w:r>
      <w:r>
        <w:rPr>
          <w:rFonts w:hint="eastAsia" w:ascii="宋体" w:hAnsi="宋体" w:eastAsia="宋体" w:cs="宋体"/>
          <w:b w:val="0"/>
          <w:bCs w:val="0"/>
          <w:color w:val="auto"/>
          <w:sz w:val="21"/>
          <w:szCs w:val="21"/>
          <w:highlight w:val="none"/>
        </w:rPr>
        <w:t>政府采购合同协议书</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的协议书范本，最终以采购人与成交人签订的合同为准。</w:t>
      </w:r>
      <w:r>
        <w:rPr>
          <w:rFonts w:hint="eastAsia" w:ascii="宋体" w:hAnsi="宋体" w:cs="宋体"/>
          <w:b/>
          <w:bCs/>
          <w:color w:val="auto"/>
          <w:sz w:val="32"/>
          <w:szCs w:val="32"/>
          <w:highlight w:val="none"/>
        </w:rPr>
        <w:br w:type="page"/>
      </w:r>
    </w:p>
    <w:p>
      <w:pPr>
        <w:tabs>
          <w:tab w:val="left" w:pos="8820"/>
          <w:tab w:val="left" w:pos="9345"/>
          <w:tab w:val="left" w:pos="9765"/>
        </w:tabs>
        <w:adjustRightInd w:val="0"/>
        <w:snapToGrid w:val="0"/>
        <w:spacing w:line="400" w:lineRule="exact"/>
        <w:ind w:right="384" w:rightChars="183"/>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二、政府采购合同通用条款</w:t>
      </w:r>
    </w:p>
    <w:p>
      <w:pPr>
        <w:spacing w:line="400" w:lineRule="exact"/>
        <w:jc w:val="center"/>
        <w:rPr>
          <w:rFonts w:hint="eastAsia" w:ascii="宋体" w:hAnsi="宋体" w:cs="宋体"/>
          <w:b/>
          <w:color w:val="auto"/>
          <w:sz w:val="28"/>
          <w:highlight w:val="none"/>
        </w:rPr>
      </w:pPr>
    </w:p>
    <w:p>
      <w:pPr>
        <w:adjustRightInd w:val="0"/>
        <w:snapToGrid w:val="0"/>
        <w:spacing w:line="400" w:lineRule="exact"/>
        <w:jc w:val="left"/>
        <w:rPr>
          <w:rFonts w:hint="eastAsia" w:ascii="宋体" w:hAnsi="宋体" w:cs="宋体"/>
          <w:color w:val="auto"/>
          <w:szCs w:val="21"/>
          <w:highlight w:val="none"/>
        </w:rPr>
      </w:pPr>
    </w:p>
    <w:p>
      <w:pPr>
        <w:tabs>
          <w:tab w:val="left" w:pos="8820"/>
          <w:tab w:val="left" w:pos="9345"/>
          <w:tab w:val="left" w:pos="9765"/>
        </w:tabs>
        <w:adjustRightInd w:val="0"/>
        <w:snapToGrid w:val="0"/>
        <w:spacing w:before="120" w:beforeLines="50" w:line="360" w:lineRule="auto"/>
        <w:ind w:right="384" w:rightChars="183"/>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政府采购合同通用条款（服务类）</w:t>
      </w:r>
    </w:p>
    <w:p>
      <w:pPr>
        <w:adjustRightInd w:val="0"/>
        <w:snapToGrid w:val="0"/>
        <w:spacing w:line="360" w:lineRule="auto"/>
        <w:ind w:firstLine="420" w:firstLineChars="200"/>
        <w:rPr>
          <w:rFonts w:hint="eastAsia" w:ascii="宋体" w:hAnsi="宋体" w:cs="宋体"/>
          <w:b/>
          <w:color w:val="auto"/>
          <w:sz w:val="30"/>
          <w:szCs w:val="30"/>
          <w:highlight w:val="none"/>
        </w:rPr>
      </w:pPr>
      <w:r>
        <w:rPr>
          <w:rFonts w:hint="eastAsia" w:ascii="宋体" w:hAnsi="宋体" w:cs="宋体"/>
          <w:bCs/>
          <w:color w:val="auto"/>
          <w:szCs w:val="21"/>
          <w:highlight w:val="none"/>
        </w:rPr>
        <w:t>服务类政府采购合同格式文本</w:t>
      </w:r>
      <w:r>
        <w:rPr>
          <w:rFonts w:hint="eastAsia" w:ascii="宋体" w:hAnsi="宋体" w:cs="宋体"/>
          <w:color w:val="auto"/>
          <w:szCs w:val="21"/>
          <w:highlight w:val="none"/>
        </w:rPr>
        <w:t>省级以上政府部门或行业组织有标准或示范文本的，应按照其文本确定</w:t>
      </w:r>
      <w:r>
        <w:rPr>
          <w:rFonts w:hint="eastAsia" w:ascii="宋体" w:hAnsi="宋体" w:cs="宋体"/>
          <w:bCs/>
          <w:color w:val="auto"/>
          <w:szCs w:val="21"/>
          <w:highlight w:val="none"/>
        </w:rPr>
        <w:t>合同格式</w:t>
      </w:r>
      <w:r>
        <w:rPr>
          <w:rFonts w:hint="eastAsia" w:ascii="宋体" w:hAnsi="宋体" w:cs="宋体"/>
          <w:color w:val="auto"/>
          <w:szCs w:val="21"/>
          <w:highlight w:val="none"/>
        </w:rPr>
        <w:t>。没有文本的，按照《中华人民共和国合同法》及采购项目特点自行拟定特定文本确定</w:t>
      </w:r>
      <w:r>
        <w:rPr>
          <w:rFonts w:hint="eastAsia" w:ascii="宋体" w:hAnsi="宋体" w:cs="宋体"/>
          <w:bCs/>
          <w:color w:val="auto"/>
          <w:szCs w:val="21"/>
          <w:highlight w:val="none"/>
        </w:rPr>
        <w:t>合同格式</w:t>
      </w:r>
      <w:r>
        <w:rPr>
          <w:rFonts w:hint="eastAsia" w:ascii="宋体" w:hAnsi="宋体" w:cs="宋体"/>
          <w:color w:val="auto"/>
          <w:szCs w:val="21"/>
          <w:highlight w:val="none"/>
        </w:rPr>
        <w:t>。</w:t>
      </w:r>
    </w:p>
    <w:p>
      <w:pPr>
        <w:adjustRightInd w:val="0"/>
        <w:snapToGrid w:val="0"/>
        <w:spacing w:line="400" w:lineRule="exact"/>
        <w:rPr>
          <w:rFonts w:hint="eastAsia" w:ascii="宋体" w:hAnsi="宋体" w:cs="宋体"/>
          <w:color w:val="auto"/>
          <w:szCs w:val="21"/>
          <w:highlight w:val="none"/>
        </w:rPr>
      </w:pPr>
    </w:p>
    <w:p>
      <w:pPr>
        <w:tabs>
          <w:tab w:val="left" w:pos="8820"/>
          <w:tab w:val="left" w:pos="9345"/>
          <w:tab w:val="left" w:pos="9765"/>
        </w:tabs>
        <w:adjustRightInd w:val="0"/>
        <w:snapToGrid w:val="0"/>
        <w:spacing w:line="400" w:lineRule="exact"/>
        <w:ind w:right="384" w:rightChars="183"/>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三、政府采购合同专用条款</w:t>
      </w:r>
    </w:p>
    <w:p>
      <w:pPr>
        <w:pStyle w:val="14"/>
        <w:snapToGrid w:val="0"/>
        <w:ind w:left="105" w:leftChars="50"/>
        <w:jc w:val="center"/>
        <w:rPr>
          <w:rFonts w:hint="eastAsia" w:ascii="宋体" w:hAnsi="宋体" w:cs="宋体"/>
          <w:b/>
          <w:bCs/>
          <w:color w:val="auto"/>
          <w:sz w:val="36"/>
          <w:szCs w:val="36"/>
          <w:highlight w:val="none"/>
        </w:rPr>
      </w:pPr>
    </w:p>
    <w:p>
      <w:pPr>
        <w:pStyle w:val="14"/>
        <w:snapToGrid w:val="0"/>
        <w:ind w:left="105" w:leftChars="5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政府采购合同专用条款（服务类）</w:t>
      </w:r>
    </w:p>
    <w:p>
      <w:pPr>
        <w:pStyle w:val="14"/>
        <w:snapToGrid w:val="0"/>
        <w:ind w:left="105" w:leftChars="50"/>
        <w:rPr>
          <w:rFonts w:hint="eastAsia" w:ascii="宋体" w:hAnsi="宋体" w:cs="宋体"/>
          <w:bCs/>
          <w:color w:val="auto"/>
          <w:szCs w:val="21"/>
          <w:highlight w:val="none"/>
        </w:rPr>
      </w:pPr>
      <w:r>
        <w:rPr>
          <w:rFonts w:hint="eastAsia" w:ascii="宋体" w:hAnsi="宋体" w:cs="宋体"/>
          <w:bCs/>
          <w:color w:val="auto"/>
          <w:szCs w:val="21"/>
          <w:highlight w:val="none"/>
        </w:rPr>
        <w:t>服务类政府采购合同专用条款参照（货物类）专用条款的格式和相关内容，根据项目的实际情况，按照服务内容、服务要求、服务期限、服务流程、考核方式等内容进行编制。</w:t>
      </w:r>
    </w:p>
    <w:p>
      <w:pPr>
        <w:adjustRightInd w:val="0"/>
        <w:snapToGrid w:val="0"/>
        <w:spacing w:line="400" w:lineRule="exact"/>
        <w:ind w:firstLine="420" w:firstLineChars="200"/>
        <w:rPr>
          <w:rFonts w:hint="eastAsia" w:ascii="宋体" w:hAnsi="宋体" w:cs="宋体"/>
          <w:color w:val="auto"/>
          <w:szCs w:val="21"/>
          <w:highlight w:val="none"/>
        </w:rPr>
      </w:pPr>
    </w:p>
    <w:p>
      <w:pPr>
        <w:pStyle w:val="14"/>
        <w:snapToGrid w:val="0"/>
        <w:spacing w:after="0" w:line="400" w:lineRule="exact"/>
        <w:ind w:left="105" w:leftChars="50"/>
        <w:rPr>
          <w:rFonts w:hint="eastAsia" w:ascii="宋体" w:hAnsi="宋体" w:cs="宋体"/>
          <w:bCs/>
          <w:color w:val="auto"/>
          <w:szCs w:val="21"/>
          <w:highlight w:val="none"/>
        </w:rPr>
      </w:pPr>
    </w:p>
    <w:p>
      <w:pPr>
        <w:spacing w:line="520" w:lineRule="exact"/>
        <w:rPr>
          <w:rFonts w:ascii="宋体" w:hAnsi="宋体"/>
          <w:b/>
          <w:bCs/>
          <w:color w:val="auto"/>
          <w:sz w:val="32"/>
          <w:szCs w:val="32"/>
          <w:highlight w:val="none"/>
        </w:rPr>
      </w:pPr>
    </w:p>
    <w:p>
      <w:pPr>
        <w:spacing w:line="240" w:lineRule="auto"/>
        <w:jc w:val="left"/>
        <w:outlineLvl w:val="9"/>
        <w:rPr>
          <w:rFonts w:hint="eastAsia" w:ascii="宋体" w:hAnsi="宋体"/>
          <w:b/>
          <w:bCs/>
          <w:color w:val="auto"/>
          <w:sz w:val="32"/>
          <w:szCs w:val="32"/>
          <w:highlight w:val="none"/>
        </w:rPr>
      </w:pPr>
      <w:r>
        <w:rPr>
          <w:rFonts w:hint="eastAsia" w:ascii="宋体" w:hAnsi="宋体"/>
          <w:b/>
          <w:bCs/>
          <w:color w:val="auto"/>
          <w:sz w:val="32"/>
          <w:szCs w:val="32"/>
          <w:highlight w:val="none"/>
        </w:rPr>
        <w:br w:type="page"/>
      </w:r>
    </w:p>
    <w:p>
      <w:pPr>
        <w:spacing w:line="520" w:lineRule="exact"/>
        <w:jc w:val="center"/>
        <w:outlineLvl w:val="0"/>
        <w:rPr>
          <w:rFonts w:ascii="宋体" w:hAnsi="宋体"/>
          <w:b/>
          <w:color w:val="auto"/>
          <w:sz w:val="32"/>
          <w:szCs w:val="32"/>
          <w:highlight w:val="none"/>
        </w:rPr>
      </w:pPr>
      <w:r>
        <w:rPr>
          <w:rFonts w:hint="eastAsia" w:ascii="宋体" w:hAnsi="宋体"/>
          <w:b/>
          <w:bCs/>
          <w:color w:val="auto"/>
          <w:sz w:val="32"/>
          <w:szCs w:val="32"/>
          <w:highlight w:val="none"/>
        </w:rPr>
        <w:t>第四章</w:t>
      </w:r>
      <w:r>
        <w:rPr>
          <w:rFonts w:ascii="宋体" w:hAnsi="宋体"/>
          <w:b/>
          <w:bCs/>
          <w:color w:val="auto"/>
          <w:sz w:val="32"/>
          <w:szCs w:val="32"/>
          <w:highlight w:val="none"/>
        </w:rPr>
        <w:t xml:space="preserve"> </w:t>
      </w:r>
      <w:r>
        <w:rPr>
          <w:rFonts w:hint="eastAsia" w:ascii="宋体" w:hAnsi="宋体"/>
          <w:b/>
          <w:color w:val="auto"/>
          <w:sz w:val="32"/>
          <w:szCs w:val="32"/>
          <w:highlight w:val="none"/>
        </w:rPr>
        <w:t>采购需求</w:t>
      </w:r>
    </w:p>
    <w:p>
      <w:pPr>
        <w:numPr>
          <w:ilvl w:val="0"/>
          <w:numId w:val="1"/>
        </w:numPr>
        <w:spacing w:line="520" w:lineRule="exact"/>
        <w:ind w:left="0" w:firstLine="371" w:firstLineChars="176"/>
        <w:jc w:val="left"/>
        <w:textAlignment w:val="center"/>
        <w:rPr>
          <w:b/>
          <w:color w:val="auto"/>
          <w:szCs w:val="21"/>
          <w:highlight w:val="none"/>
        </w:rPr>
      </w:pPr>
      <w:r>
        <w:rPr>
          <w:b/>
          <w:color w:val="auto"/>
          <w:szCs w:val="21"/>
          <w:highlight w:val="none"/>
        </w:rPr>
        <w:t>项目名称</w:t>
      </w:r>
    </w:p>
    <w:p>
      <w:pPr>
        <w:spacing w:line="520" w:lineRule="exact"/>
        <w:ind w:firstLine="420" w:firstLineChars="200"/>
        <w:jc w:val="left"/>
        <w:textAlignment w:val="center"/>
        <w:rPr>
          <w:rFonts w:hint="eastAsia" w:eastAsia="宋体"/>
          <w:bCs/>
          <w:color w:val="auto"/>
          <w:szCs w:val="21"/>
          <w:highlight w:val="none"/>
          <w:lang w:eastAsia="zh-CN"/>
        </w:rPr>
      </w:pPr>
      <w:r>
        <w:rPr>
          <w:rFonts w:hint="eastAsia" w:ascii="宋体" w:hAnsi="宋体"/>
          <w:color w:val="auto"/>
          <w:highlight w:val="none"/>
        </w:rPr>
        <w:t>玉赤河景观廊道二期工程项目概念规划设计</w:t>
      </w:r>
      <w:r>
        <w:rPr>
          <w:rFonts w:hint="eastAsia" w:ascii="宋体" w:hAnsi="宋体"/>
          <w:color w:val="auto"/>
          <w:highlight w:val="none"/>
          <w:lang w:eastAsia="zh-CN"/>
        </w:rPr>
        <w:t>服务。</w:t>
      </w:r>
    </w:p>
    <w:p>
      <w:pPr>
        <w:numPr>
          <w:ilvl w:val="0"/>
          <w:numId w:val="1"/>
        </w:numPr>
        <w:spacing w:line="520" w:lineRule="exact"/>
        <w:ind w:left="0" w:firstLine="371" w:firstLineChars="176"/>
        <w:jc w:val="left"/>
        <w:textAlignment w:val="center"/>
        <w:rPr>
          <w:b/>
          <w:color w:val="auto"/>
          <w:szCs w:val="21"/>
          <w:highlight w:val="none"/>
        </w:rPr>
      </w:pPr>
      <w:r>
        <w:rPr>
          <w:rFonts w:hint="eastAsia"/>
          <w:b/>
          <w:color w:val="auto"/>
          <w:szCs w:val="21"/>
          <w:highlight w:val="none"/>
        </w:rPr>
        <w:t>项目</w:t>
      </w:r>
      <w:r>
        <w:rPr>
          <w:b/>
          <w:color w:val="auto"/>
          <w:szCs w:val="21"/>
          <w:highlight w:val="none"/>
        </w:rPr>
        <w:t>地点</w:t>
      </w:r>
      <w:r>
        <w:rPr>
          <w:rFonts w:hint="eastAsia"/>
          <w:b/>
          <w:color w:val="auto"/>
          <w:szCs w:val="21"/>
          <w:highlight w:val="none"/>
        </w:rPr>
        <w:t>及区域</w:t>
      </w:r>
    </w:p>
    <w:p>
      <w:pPr>
        <w:spacing w:line="520" w:lineRule="exact"/>
        <w:ind w:firstLine="420" w:firstLineChars="200"/>
        <w:jc w:val="left"/>
        <w:textAlignment w:val="center"/>
        <w:rPr>
          <w:color w:val="auto"/>
          <w:highlight w:val="none"/>
        </w:rPr>
      </w:pPr>
      <w:r>
        <w:rPr>
          <w:rFonts w:hint="eastAsia" w:ascii="宋体" w:hAnsi="宋体" w:cs="宋体"/>
          <w:color w:val="auto"/>
          <w:highlight w:val="none"/>
        </w:rPr>
        <w:t>该项目位于玉赤河流域中下游段（茯苓路至靳江河段）片区、玉华山北部及东部区域，南至望江路，东至东山湾路，沿玉赤河下游河道两岸以及雅河下游河段两岸区域进行保护性开发。</w:t>
      </w:r>
    </w:p>
    <w:p>
      <w:pPr>
        <w:numPr>
          <w:ilvl w:val="0"/>
          <w:numId w:val="1"/>
        </w:numPr>
        <w:spacing w:line="520" w:lineRule="exact"/>
        <w:ind w:left="0" w:firstLine="371" w:firstLineChars="176"/>
        <w:jc w:val="left"/>
        <w:textAlignment w:val="center"/>
        <w:rPr>
          <w:b/>
          <w:color w:val="auto"/>
          <w:szCs w:val="21"/>
          <w:highlight w:val="none"/>
        </w:rPr>
      </w:pPr>
      <w:r>
        <w:rPr>
          <w:rFonts w:hint="eastAsia"/>
          <w:b/>
          <w:color w:val="auto"/>
          <w:szCs w:val="21"/>
          <w:highlight w:val="none"/>
        </w:rPr>
        <w:t>项目</w:t>
      </w:r>
      <w:r>
        <w:rPr>
          <w:b/>
          <w:color w:val="auto"/>
          <w:szCs w:val="21"/>
          <w:highlight w:val="none"/>
        </w:rPr>
        <w:t>概况</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该项目区域总体面积约160公顷，用地性质主要包括公园绿地、农林用地（含大量基本农田）、河流水域以及各类建设用地等。为进一步完善园区配套设施建设，提升片区人居环境品质和土地价值，我司计划从片区生态综合体的整体设计理念和开发运营角度出发，致力于将该项目打造成位于长沙西南近郊、充分融合自然山林、田园风光及水系流域的沉浸式中高端文化旅游生态休闲生活区。此外，项目整体区域范围内亦包含多宗商住地块及文体产业地块等建设用地规划落位与开发。</w:t>
      </w:r>
    </w:p>
    <w:p>
      <w:pPr>
        <w:spacing w:line="520" w:lineRule="exact"/>
        <w:ind w:firstLine="420" w:firstLineChars="200"/>
        <w:textAlignment w:val="center"/>
        <w:rPr>
          <w:color w:val="auto"/>
          <w:highlight w:val="none"/>
        </w:rPr>
      </w:pPr>
      <w:r>
        <w:rPr>
          <w:rFonts w:hint="eastAsia" w:ascii="宋体" w:hAnsi="宋体"/>
          <w:color w:val="auto"/>
          <w:szCs w:val="21"/>
          <w:highlight w:val="none"/>
        </w:rPr>
        <w:t>为确保项目片区开发顶层设计工作前置，优先明确空间概念规划和区域业态定位，同时理清项目落地实施路径和相关政策法规要求，我司现拟聘请专业服务单位编制该项目片区整体概念规划设计。</w:t>
      </w:r>
    </w:p>
    <w:p>
      <w:pPr>
        <w:numPr>
          <w:ilvl w:val="0"/>
          <w:numId w:val="1"/>
        </w:numPr>
        <w:spacing w:line="520" w:lineRule="exact"/>
        <w:ind w:left="0" w:firstLine="371" w:firstLineChars="176"/>
        <w:jc w:val="left"/>
        <w:textAlignment w:val="center"/>
        <w:rPr>
          <w:b/>
          <w:color w:val="auto"/>
          <w:szCs w:val="21"/>
          <w:highlight w:val="none"/>
        </w:rPr>
      </w:pPr>
      <w:r>
        <w:rPr>
          <w:b/>
          <w:color w:val="auto"/>
          <w:szCs w:val="21"/>
          <w:highlight w:val="none"/>
        </w:rPr>
        <w:t>设计周期</w:t>
      </w:r>
    </w:p>
    <w:p>
      <w:pPr>
        <w:spacing w:line="520" w:lineRule="exact"/>
        <w:ind w:firstLine="420" w:firstLineChars="200"/>
        <w:jc w:val="left"/>
        <w:textAlignment w:val="center"/>
        <w:rPr>
          <w:color w:val="auto"/>
          <w:highlight w:val="none"/>
        </w:rPr>
      </w:pPr>
      <w:r>
        <w:rPr>
          <w:bCs/>
          <w:color w:val="auto"/>
          <w:szCs w:val="21"/>
          <w:highlight w:val="none"/>
        </w:rPr>
        <w:t>设计总周期30日历天</w:t>
      </w:r>
      <w:r>
        <w:rPr>
          <w:color w:val="auto"/>
          <w:highlight w:val="none"/>
        </w:rPr>
        <w:t>（所有阶段完成时间均不含行政批复时间</w:t>
      </w:r>
      <w:r>
        <w:rPr>
          <w:rFonts w:hint="eastAsia"/>
          <w:color w:val="auto"/>
          <w:highlight w:val="none"/>
          <w:lang w:eastAsia="zh-CN"/>
        </w:rPr>
        <w:t>、</w:t>
      </w:r>
      <w:r>
        <w:rPr>
          <w:rFonts w:hint="eastAsia"/>
          <w:color w:val="auto"/>
          <w:highlight w:val="none"/>
          <w:lang w:val="en-US" w:eastAsia="zh-CN"/>
        </w:rPr>
        <w:t>主管单位过会时间</w:t>
      </w:r>
      <w:r>
        <w:rPr>
          <w:color w:val="auto"/>
          <w:highlight w:val="none"/>
        </w:rPr>
        <w:t>）。具体以合同签订为准。</w:t>
      </w:r>
    </w:p>
    <w:p>
      <w:pPr>
        <w:numPr>
          <w:ilvl w:val="0"/>
          <w:numId w:val="1"/>
        </w:numPr>
        <w:spacing w:line="520" w:lineRule="exact"/>
        <w:ind w:left="0" w:firstLine="371" w:firstLineChars="176"/>
        <w:jc w:val="left"/>
        <w:textAlignment w:val="center"/>
        <w:rPr>
          <w:b/>
          <w:color w:val="auto"/>
          <w:szCs w:val="21"/>
          <w:highlight w:val="none"/>
        </w:rPr>
      </w:pPr>
      <w:r>
        <w:rPr>
          <w:b/>
          <w:color w:val="auto"/>
          <w:szCs w:val="21"/>
          <w:highlight w:val="none"/>
        </w:rPr>
        <w:t>招标范围</w:t>
      </w:r>
    </w:p>
    <w:p>
      <w:pPr>
        <w:spacing w:line="360" w:lineRule="auto"/>
        <w:ind w:firstLine="420" w:firstLineChars="200"/>
        <w:textAlignment w:val="center"/>
        <w:rPr>
          <w:rFonts w:hint="eastAsia"/>
          <w:color w:val="auto"/>
          <w:highlight w:val="none"/>
        </w:rPr>
      </w:pPr>
      <w:r>
        <w:rPr>
          <w:rFonts w:hint="eastAsia"/>
          <w:color w:val="auto"/>
          <w:highlight w:val="none"/>
        </w:rPr>
        <w:t>包括但不限于以下服务内容：</w:t>
      </w:r>
    </w:p>
    <w:p>
      <w:pPr>
        <w:spacing w:line="360" w:lineRule="auto"/>
        <w:ind w:firstLine="420" w:firstLineChars="200"/>
        <w:textAlignment w:val="center"/>
        <w:rPr>
          <w:rFonts w:hint="eastAsia"/>
          <w:color w:val="auto"/>
          <w:highlight w:val="none"/>
        </w:rPr>
      </w:pPr>
      <w:r>
        <w:rPr>
          <w:rFonts w:hint="eastAsia"/>
          <w:color w:val="auto"/>
          <w:highlight w:val="none"/>
        </w:rPr>
        <w:t>1.玉赤河二期生态综合体周边产业发展研究：对片区进行整体发展定位研究，综合确定该片区域的发展方向、经营性项目与非经营性项目的布局、以及各类技术指标（即各类面积指标容量，对下一步概念规划提出引导要求）。</w:t>
      </w:r>
    </w:p>
    <w:p>
      <w:pPr>
        <w:spacing w:line="360" w:lineRule="auto"/>
        <w:ind w:firstLine="420" w:firstLineChars="200"/>
        <w:textAlignment w:val="center"/>
        <w:rPr>
          <w:rFonts w:hint="eastAsia"/>
          <w:color w:val="auto"/>
          <w:highlight w:val="none"/>
        </w:rPr>
      </w:pPr>
      <w:r>
        <w:rPr>
          <w:rFonts w:hint="eastAsia"/>
          <w:color w:val="auto"/>
          <w:highlight w:val="none"/>
        </w:rPr>
        <w:t>2.玉赤河二期生态综合体山体公园概念方案及规划设计：在片区产业发展研究基础上，进一步研究片区用地与空间关系，分析物质形态、功能形态、社会文化三大要素，确定片区发展定位，优化用地与空间布局，制定道路交通系统、公共服务设施系统、景观环境系统、空间形态系统、地下空间系统以及运营实施等方面规划。</w:t>
      </w:r>
    </w:p>
    <w:p>
      <w:pPr>
        <w:spacing w:line="360" w:lineRule="auto"/>
        <w:ind w:firstLine="420" w:firstLineChars="200"/>
        <w:textAlignment w:val="center"/>
        <w:rPr>
          <w:rFonts w:hint="eastAsia"/>
          <w:color w:val="auto"/>
          <w:highlight w:val="none"/>
        </w:rPr>
      </w:pPr>
      <w:r>
        <w:rPr>
          <w:rFonts w:hint="eastAsia"/>
          <w:color w:val="auto"/>
          <w:highlight w:val="none"/>
        </w:rPr>
        <w:t>3.玉赤河二期生态综合体农林用地及山体林相规划：在完善整体概念方案及规划设计后，对于专题农林用地、山体林相规划进行优化，突出以视觉景观形象为主导的农林山体园绿地，并在部分地区满足人们的行为活动，开辟林下活动空间。发挥景区的生态、景观、社会效益。</w:t>
      </w:r>
    </w:p>
    <w:p>
      <w:pPr>
        <w:spacing w:line="360" w:lineRule="auto"/>
        <w:ind w:firstLine="420" w:firstLineChars="200"/>
        <w:textAlignment w:val="center"/>
        <w:rPr>
          <w:rFonts w:hint="eastAsia"/>
          <w:color w:val="auto"/>
          <w:highlight w:val="none"/>
        </w:rPr>
      </w:pPr>
      <w:r>
        <w:rPr>
          <w:rFonts w:hint="eastAsia"/>
          <w:color w:val="auto"/>
          <w:highlight w:val="none"/>
        </w:rPr>
        <w:t>4.此外，采购内容还需包含：项目总投资估算、项目后期实施路径解析、政策法规研究分析等内容。</w:t>
      </w:r>
    </w:p>
    <w:p>
      <w:pPr>
        <w:spacing w:line="360" w:lineRule="auto"/>
        <w:ind w:firstLine="420" w:firstLineChars="200"/>
        <w:textAlignment w:val="center"/>
        <w:rPr>
          <w:color w:val="auto"/>
          <w:highlight w:val="none"/>
        </w:rPr>
      </w:pPr>
      <w:r>
        <w:rPr>
          <w:rFonts w:hint="eastAsia"/>
          <w:color w:val="auto"/>
          <w:highlight w:val="none"/>
        </w:rPr>
        <w:t>5.该项目整体概念规划设计范围面积约</w:t>
      </w:r>
      <w:r>
        <w:rPr>
          <w:rFonts w:hint="eastAsia"/>
          <w:color w:val="auto"/>
          <w:highlight w:val="none"/>
          <w:lang w:eastAsia="zh-CN"/>
        </w:rPr>
        <w:t>160公顷</w:t>
      </w:r>
      <w:r>
        <w:rPr>
          <w:rFonts w:hint="eastAsia"/>
          <w:color w:val="auto"/>
          <w:highlight w:val="none"/>
        </w:rPr>
        <w:t>。</w:t>
      </w:r>
    </w:p>
    <w:p>
      <w:pPr>
        <w:numPr>
          <w:ilvl w:val="0"/>
          <w:numId w:val="1"/>
        </w:numPr>
        <w:spacing w:line="520" w:lineRule="exact"/>
        <w:ind w:left="0" w:firstLine="371" w:firstLineChars="176"/>
        <w:jc w:val="left"/>
        <w:textAlignment w:val="center"/>
        <w:rPr>
          <w:b/>
          <w:color w:val="auto"/>
          <w:szCs w:val="21"/>
          <w:highlight w:val="none"/>
        </w:rPr>
      </w:pPr>
      <w:r>
        <w:rPr>
          <w:b/>
          <w:color w:val="auto"/>
          <w:szCs w:val="21"/>
          <w:highlight w:val="none"/>
        </w:rPr>
        <w:t>设计成果要求</w:t>
      </w:r>
    </w:p>
    <w:p>
      <w:pPr>
        <w:spacing w:line="360" w:lineRule="auto"/>
        <w:ind w:firstLine="464" w:firstLineChars="221"/>
        <w:textAlignment w:val="center"/>
        <w:rPr>
          <w:color w:val="auto"/>
          <w:szCs w:val="21"/>
          <w:highlight w:val="none"/>
        </w:rPr>
      </w:pPr>
      <w:r>
        <w:rPr>
          <w:rFonts w:hint="eastAsia"/>
          <w:color w:val="auto"/>
          <w:szCs w:val="21"/>
          <w:highlight w:val="none"/>
        </w:rPr>
        <w:t>设计成果通过专家评审会评审，</w:t>
      </w:r>
      <w:r>
        <w:rPr>
          <w:color w:val="auto"/>
          <w:szCs w:val="21"/>
          <w:highlight w:val="none"/>
        </w:rPr>
        <w:t>以书面文本打印形式提交给采购人不少于2份用于存档及电子文件</w:t>
      </w:r>
      <w:r>
        <w:rPr>
          <w:rFonts w:hint="eastAsia"/>
          <w:color w:val="auto"/>
          <w:szCs w:val="21"/>
          <w:highlight w:val="none"/>
        </w:rPr>
        <w:t>，并协助采购人完成设计成果的内部过会决策程序</w:t>
      </w:r>
      <w:r>
        <w:rPr>
          <w:color w:val="auto"/>
          <w:szCs w:val="21"/>
          <w:highlight w:val="none"/>
        </w:rPr>
        <w:t>。</w:t>
      </w:r>
    </w:p>
    <w:p>
      <w:pPr>
        <w:numPr>
          <w:ilvl w:val="0"/>
          <w:numId w:val="1"/>
        </w:numPr>
        <w:spacing w:line="520" w:lineRule="exact"/>
        <w:ind w:left="0" w:firstLine="371" w:firstLineChars="176"/>
        <w:jc w:val="left"/>
        <w:textAlignment w:val="center"/>
        <w:rPr>
          <w:b/>
          <w:color w:val="auto"/>
          <w:szCs w:val="21"/>
          <w:highlight w:val="none"/>
        </w:rPr>
      </w:pPr>
      <w:r>
        <w:rPr>
          <w:b/>
          <w:bCs/>
          <w:color w:val="auto"/>
          <w:kern w:val="0"/>
          <w:szCs w:val="21"/>
          <w:highlight w:val="none"/>
        </w:rPr>
        <w:t>其他事项及说明</w:t>
      </w:r>
    </w:p>
    <w:p>
      <w:pPr>
        <w:spacing w:line="360" w:lineRule="auto"/>
        <w:ind w:firstLine="464" w:firstLineChars="221"/>
        <w:textAlignment w:val="center"/>
        <w:rPr>
          <w:rFonts w:hint="eastAsia"/>
          <w:color w:val="auto"/>
          <w:szCs w:val="21"/>
          <w:highlight w:val="none"/>
          <w:lang w:eastAsia="zh-CN"/>
        </w:rPr>
      </w:pPr>
      <w:r>
        <w:rPr>
          <w:rFonts w:hint="eastAsia"/>
          <w:color w:val="auto"/>
          <w:szCs w:val="21"/>
          <w:highlight w:val="none"/>
          <w:lang w:eastAsia="zh-CN"/>
        </w:rPr>
        <w:t>1. 付款人：湖南智谷投资发展集团有限公司</w:t>
      </w:r>
    </w:p>
    <w:p>
      <w:pPr>
        <w:spacing w:line="360" w:lineRule="auto"/>
        <w:ind w:firstLine="464" w:firstLineChars="221"/>
        <w:textAlignment w:val="center"/>
        <w:rPr>
          <w:rFonts w:hint="eastAsia"/>
          <w:color w:val="auto"/>
          <w:szCs w:val="21"/>
          <w:highlight w:val="none"/>
          <w:lang w:val="zh-TW" w:eastAsia="zh-TW"/>
        </w:rPr>
      </w:pPr>
      <w:r>
        <w:rPr>
          <w:rFonts w:hint="eastAsia"/>
          <w:color w:val="auto"/>
          <w:szCs w:val="21"/>
          <w:highlight w:val="none"/>
          <w:lang w:eastAsia="zh-CN"/>
        </w:rPr>
        <w:t xml:space="preserve">2. </w:t>
      </w:r>
      <w:r>
        <w:rPr>
          <w:rFonts w:hint="eastAsia"/>
          <w:color w:val="auto"/>
          <w:szCs w:val="21"/>
          <w:highlight w:val="none"/>
          <w:lang w:val="zh-TW" w:eastAsia="zh-TW"/>
        </w:rPr>
        <w:t>付款方式：</w:t>
      </w:r>
    </w:p>
    <w:p>
      <w:pPr>
        <w:spacing w:line="360" w:lineRule="auto"/>
        <w:ind w:firstLine="464" w:firstLineChars="221"/>
        <w:textAlignment w:val="center"/>
        <w:rPr>
          <w:rFonts w:hint="eastAsia"/>
          <w:color w:val="auto"/>
          <w:szCs w:val="21"/>
          <w:highlight w:val="none"/>
          <w:lang w:eastAsia="zh-CN"/>
        </w:rPr>
      </w:pPr>
      <w:r>
        <w:rPr>
          <w:rFonts w:hint="eastAsia"/>
          <w:color w:val="auto"/>
          <w:szCs w:val="21"/>
          <w:highlight w:val="none"/>
          <w:lang w:val="zh-TW" w:eastAsia="zh-CN"/>
        </w:rPr>
        <w:t>（</w:t>
      </w:r>
      <w:r>
        <w:rPr>
          <w:rFonts w:hint="eastAsia"/>
          <w:color w:val="auto"/>
          <w:szCs w:val="21"/>
          <w:highlight w:val="none"/>
          <w:lang w:val="en-US" w:eastAsia="zh-CN"/>
        </w:rPr>
        <w:t>1</w:t>
      </w:r>
      <w:r>
        <w:rPr>
          <w:rFonts w:hint="eastAsia"/>
          <w:color w:val="auto"/>
          <w:szCs w:val="21"/>
          <w:highlight w:val="none"/>
          <w:lang w:val="zh-TW" w:eastAsia="zh-CN"/>
        </w:rPr>
        <w:t>）</w:t>
      </w:r>
      <w:r>
        <w:rPr>
          <w:rFonts w:hint="eastAsia"/>
          <w:color w:val="auto"/>
          <w:szCs w:val="21"/>
          <w:highlight w:val="none"/>
          <w:lang w:val="en-US" w:eastAsia="zh-CN"/>
        </w:rPr>
        <w:t>概念规划设计完成专家评审会评审，并按专家及甲方相关职能部门意见修改后，支付至合同金额的40%</w:t>
      </w:r>
      <w:r>
        <w:rPr>
          <w:rFonts w:hint="eastAsia"/>
          <w:color w:val="auto"/>
          <w:szCs w:val="21"/>
          <w:highlight w:val="none"/>
          <w:lang w:eastAsia="zh-CN"/>
        </w:rPr>
        <w:t>。</w:t>
      </w:r>
    </w:p>
    <w:p>
      <w:pPr>
        <w:spacing w:line="360" w:lineRule="auto"/>
        <w:ind w:firstLine="464" w:firstLineChars="221"/>
        <w:textAlignment w:val="center"/>
        <w:rPr>
          <w:rFonts w:hint="eastAsia"/>
          <w:color w:val="auto"/>
          <w:szCs w:val="21"/>
          <w:highlight w:val="none"/>
          <w:lang w:val="en-US" w:eastAsia="zh-CN"/>
        </w:rPr>
      </w:pPr>
      <w:r>
        <w:rPr>
          <w:rFonts w:hint="eastAsia"/>
          <w:color w:val="auto"/>
          <w:szCs w:val="21"/>
          <w:highlight w:val="none"/>
          <w:lang w:eastAsia="zh-CN"/>
        </w:rPr>
        <w:t>（</w:t>
      </w:r>
      <w:r>
        <w:rPr>
          <w:rFonts w:hint="eastAsia"/>
          <w:color w:val="auto"/>
          <w:szCs w:val="21"/>
          <w:highlight w:val="none"/>
          <w:lang w:val="en-US" w:eastAsia="zh-CN"/>
        </w:rPr>
        <w:t>2</w:t>
      </w:r>
      <w:r>
        <w:rPr>
          <w:rFonts w:hint="eastAsia"/>
          <w:color w:val="auto"/>
          <w:szCs w:val="21"/>
          <w:highlight w:val="none"/>
          <w:lang w:eastAsia="zh-CN"/>
        </w:rPr>
        <w:t>）概念规划设计经甲方相关部门及领导审核，并根据意见完成修改后，支付至合同金额的</w:t>
      </w:r>
      <w:r>
        <w:rPr>
          <w:rFonts w:hint="eastAsia"/>
          <w:color w:val="auto"/>
          <w:szCs w:val="21"/>
          <w:highlight w:val="none"/>
          <w:lang w:val="en-US" w:eastAsia="zh-CN"/>
        </w:rPr>
        <w:t>70%。</w:t>
      </w:r>
    </w:p>
    <w:p>
      <w:pPr>
        <w:spacing w:line="360" w:lineRule="auto"/>
        <w:ind w:firstLine="464" w:firstLineChars="221"/>
        <w:textAlignment w:val="center"/>
        <w:rPr>
          <w:rFonts w:hint="eastAsia"/>
          <w:color w:val="auto"/>
          <w:szCs w:val="21"/>
          <w:highlight w:val="none"/>
        </w:rPr>
      </w:pPr>
      <w:r>
        <w:rPr>
          <w:rFonts w:hint="eastAsia"/>
          <w:color w:val="auto"/>
          <w:szCs w:val="21"/>
          <w:highlight w:val="none"/>
          <w:lang w:val="en-US" w:eastAsia="zh-CN"/>
        </w:rPr>
        <w:t>（3）完成概念规划设计最终定稿并盖章确认，并配合甲方完成过会决策，支付剩余尾款。</w:t>
      </w:r>
    </w:p>
    <w:p>
      <w:pPr>
        <w:spacing w:line="360" w:lineRule="auto"/>
        <w:ind w:firstLine="464" w:firstLineChars="221"/>
        <w:textAlignment w:val="center"/>
        <w:rPr>
          <w:rFonts w:hint="eastAsia"/>
          <w:color w:val="auto"/>
          <w:szCs w:val="21"/>
          <w:highlight w:val="none"/>
          <w:lang w:val="zh-TW" w:eastAsia="zh-TW"/>
        </w:rPr>
      </w:pPr>
      <w:r>
        <w:rPr>
          <w:rFonts w:hint="eastAsia"/>
          <w:color w:val="auto"/>
          <w:szCs w:val="21"/>
          <w:highlight w:val="none"/>
          <w:lang w:eastAsia="zh-CN"/>
        </w:rPr>
        <w:t xml:space="preserve">3. </w:t>
      </w:r>
      <w:r>
        <w:rPr>
          <w:rFonts w:hint="eastAsia"/>
          <w:color w:val="auto"/>
          <w:szCs w:val="21"/>
          <w:highlight w:val="none"/>
          <w:lang w:val="zh-TW" w:eastAsia="zh-CN"/>
        </w:rPr>
        <w:t>服务</w:t>
      </w:r>
      <w:r>
        <w:rPr>
          <w:rFonts w:hint="eastAsia"/>
          <w:color w:val="auto"/>
          <w:szCs w:val="21"/>
          <w:highlight w:val="none"/>
          <w:lang w:val="zh-TW" w:eastAsia="zh-TW"/>
        </w:rPr>
        <w:t>时间及地点</w:t>
      </w:r>
    </w:p>
    <w:p>
      <w:pPr>
        <w:spacing w:line="360" w:lineRule="auto"/>
        <w:ind w:firstLine="464" w:firstLineChars="221"/>
        <w:textAlignment w:val="center"/>
        <w:rPr>
          <w:rFonts w:hint="eastAsia"/>
          <w:color w:val="auto"/>
          <w:szCs w:val="21"/>
          <w:highlight w:val="none"/>
          <w:lang w:val="zh-TW" w:eastAsia="zh-TW"/>
        </w:rPr>
      </w:pPr>
      <w:r>
        <w:rPr>
          <w:rFonts w:hint="eastAsia"/>
          <w:color w:val="auto"/>
          <w:szCs w:val="21"/>
          <w:highlight w:val="none"/>
          <w:lang w:eastAsia="zh-CN"/>
        </w:rPr>
        <w:t>3</w:t>
      </w:r>
      <w:r>
        <w:rPr>
          <w:rFonts w:hint="eastAsia"/>
          <w:color w:val="auto"/>
          <w:szCs w:val="21"/>
          <w:highlight w:val="none"/>
          <w:lang w:val="zh-TW" w:eastAsia="zh-TW"/>
        </w:rPr>
        <w:t>.</w:t>
      </w:r>
      <w:r>
        <w:rPr>
          <w:rFonts w:hint="eastAsia"/>
          <w:color w:val="auto"/>
          <w:szCs w:val="21"/>
          <w:highlight w:val="none"/>
          <w:lang w:val="zh-TW" w:eastAsia="zh-CN"/>
        </w:rPr>
        <w:t>1.</w:t>
      </w:r>
      <w:r>
        <w:rPr>
          <w:rFonts w:hint="eastAsia"/>
          <w:color w:val="auto"/>
          <w:szCs w:val="21"/>
          <w:highlight w:val="none"/>
          <w:lang w:val="zh-TW" w:eastAsia="zh-TW"/>
        </w:rPr>
        <w:t>项目</w:t>
      </w:r>
      <w:r>
        <w:rPr>
          <w:rFonts w:hint="eastAsia"/>
          <w:color w:val="auto"/>
          <w:szCs w:val="21"/>
          <w:highlight w:val="none"/>
          <w:lang w:val="zh-TW" w:eastAsia="zh-CN"/>
        </w:rPr>
        <w:t>服务</w:t>
      </w:r>
      <w:r>
        <w:rPr>
          <w:rFonts w:hint="eastAsia"/>
          <w:color w:val="auto"/>
          <w:szCs w:val="21"/>
          <w:highlight w:val="none"/>
          <w:lang w:val="zh-TW" w:eastAsia="zh-TW"/>
        </w:rPr>
        <w:t>时间：</w:t>
      </w:r>
    </w:p>
    <w:p>
      <w:pPr>
        <w:spacing w:line="360" w:lineRule="auto"/>
        <w:ind w:firstLine="464" w:firstLineChars="221"/>
        <w:textAlignment w:val="center"/>
        <w:rPr>
          <w:rFonts w:hint="eastAsia"/>
          <w:color w:val="auto"/>
          <w:szCs w:val="21"/>
          <w:highlight w:val="none"/>
          <w:lang w:val="zh-TW" w:eastAsia="zh-CN"/>
        </w:rPr>
      </w:pPr>
      <w:r>
        <w:rPr>
          <w:rFonts w:hint="eastAsia"/>
          <w:color w:val="auto"/>
          <w:szCs w:val="21"/>
          <w:highlight w:val="none"/>
          <w:lang w:eastAsia="zh-CN"/>
        </w:rPr>
        <w:t>中标（成交）通知书发出后</w:t>
      </w:r>
      <w:r>
        <w:rPr>
          <w:rFonts w:hint="eastAsia"/>
          <w:color w:val="auto"/>
          <w:szCs w:val="21"/>
          <w:highlight w:val="none"/>
          <w:lang w:val="en-US" w:eastAsia="zh-CN"/>
        </w:rPr>
        <w:t>30</w:t>
      </w:r>
      <w:r>
        <w:rPr>
          <w:rFonts w:hint="eastAsia"/>
          <w:color w:val="auto"/>
          <w:szCs w:val="21"/>
          <w:highlight w:val="none"/>
          <w:lang w:eastAsia="zh-CN"/>
        </w:rPr>
        <w:t>天内</w:t>
      </w:r>
      <w:r>
        <w:rPr>
          <w:rFonts w:hint="eastAsia"/>
          <w:color w:val="auto"/>
          <w:szCs w:val="21"/>
          <w:highlight w:val="none"/>
          <w:lang w:val="en-US" w:eastAsia="zh-CN"/>
        </w:rPr>
        <w:t>完成概念规划设计</w:t>
      </w:r>
      <w:r>
        <w:rPr>
          <w:rFonts w:hint="eastAsia"/>
          <w:color w:val="auto"/>
          <w:szCs w:val="21"/>
          <w:highlight w:val="none"/>
          <w:lang w:eastAsia="zh-CN"/>
        </w:rPr>
        <w:t>；以上时间不含主管单位</w:t>
      </w:r>
      <w:r>
        <w:rPr>
          <w:rFonts w:hint="eastAsia"/>
          <w:color w:val="auto"/>
          <w:szCs w:val="21"/>
          <w:highlight w:val="none"/>
          <w:lang w:val="en-US" w:eastAsia="zh-CN"/>
        </w:rPr>
        <w:t>过会、</w:t>
      </w:r>
      <w:r>
        <w:rPr>
          <w:rFonts w:hint="eastAsia"/>
          <w:color w:val="auto"/>
          <w:szCs w:val="21"/>
          <w:highlight w:val="none"/>
          <w:lang w:eastAsia="zh-CN"/>
        </w:rPr>
        <w:t>审批时间，具体以合同签订为准。</w:t>
      </w:r>
    </w:p>
    <w:p>
      <w:pPr>
        <w:spacing w:line="360" w:lineRule="auto"/>
        <w:ind w:firstLine="464" w:firstLineChars="221"/>
        <w:textAlignment w:val="center"/>
        <w:rPr>
          <w:rFonts w:hint="eastAsia"/>
          <w:color w:val="auto"/>
          <w:szCs w:val="21"/>
          <w:highlight w:val="none"/>
          <w:lang w:val="zh-TW" w:eastAsia="zh-TW"/>
        </w:rPr>
      </w:pPr>
      <w:r>
        <w:rPr>
          <w:rFonts w:hint="eastAsia"/>
          <w:color w:val="auto"/>
          <w:szCs w:val="21"/>
          <w:highlight w:val="none"/>
          <w:lang w:eastAsia="zh-CN"/>
        </w:rPr>
        <w:t>3</w:t>
      </w:r>
      <w:r>
        <w:rPr>
          <w:rFonts w:hint="eastAsia"/>
          <w:color w:val="auto"/>
          <w:szCs w:val="21"/>
          <w:highlight w:val="none"/>
          <w:lang w:val="zh-TW" w:eastAsia="zh-TW"/>
        </w:rPr>
        <w:t>.2.</w:t>
      </w:r>
      <w:r>
        <w:rPr>
          <w:rFonts w:hint="eastAsia"/>
          <w:color w:val="auto"/>
          <w:szCs w:val="21"/>
          <w:highlight w:val="none"/>
          <w:lang w:val="zh-TW" w:eastAsia="zh-CN"/>
        </w:rPr>
        <w:t>服务</w:t>
      </w:r>
      <w:r>
        <w:rPr>
          <w:rFonts w:hint="eastAsia"/>
          <w:color w:val="auto"/>
          <w:szCs w:val="21"/>
          <w:highlight w:val="none"/>
          <w:lang w:val="zh-TW" w:eastAsia="zh-TW"/>
        </w:rPr>
        <w:t>地点：</w:t>
      </w:r>
      <w:r>
        <w:rPr>
          <w:rFonts w:hint="eastAsia"/>
          <w:color w:val="auto"/>
          <w:szCs w:val="21"/>
          <w:highlight w:val="none"/>
          <w:lang w:val="zh-TW" w:eastAsia="zh-CN"/>
        </w:rPr>
        <w:t>采购人</w:t>
      </w:r>
      <w:r>
        <w:rPr>
          <w:rFonts w:hint="eastAsia"/>
          <w:color w:val="auto"/>
          <w:szCs w:val="21"/>
          <w:highlight w:val="none"/>
          <w:lang w:val="zh-TW" w:eastAsia="zh-TW"/>
        </w:rPr>
        <w:t>指定地点。</w:t>
      </w:r>
    </w:p>
    <w:p>
      <w:pPr>
        <w:spacing w:line="360" w:lineRule="auto"/>
        <w:ind w:firstLine="464" w:firstLineChars="221"/>
        <w:textAlignment w:val="center"/>
        <w:rPr>
          <w:rFonts w:hint="eastAsia"/>
          <w:color w:val="auto"/>
          <w:szCs w:val="21"/>
          <w:highlight w:val="none"/>
          <w:lang w:eastAsia="zh-CN"/>
        </w:rPr>
      </w:pPr>
      <w:r>
        <w:rPr>
          <w:rFonts w:hint="eastAsia"/>
          <w:color w:val="auto"/>
          <w:szCs w:val="21"/>
          <w:highlight w:val="none"/>
          <w:lang w:eastAsia="zh-CN"/>
        </w:rPr>
        <w:t>4. 必须遵守招标单位相关管理办法，服从招标单位指挥和安排。</w:t>
      </w:r>
    </w:p>
    <w:p>
      <w:pPr>
        <w:spacing w:line="360" w:lineRule="auto"/>
        <w:ind w:firstLine="464" w:firstLineChars="221"/>
        <w:textAlignment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5.本项目采用费用包干方式，包含完成项目所需的人工、管理、财务、</w:t>
      </w:r>
      <w:r>
        <w:rPr>
          <w:rFonts w:hint="eastAsia"/>
          <w:color w:val="auto"/>
          <w:szCs w:val="21"/>
          <w:highlight w:val="none"/>
          <w:lang w:val="en-US" w:eastAsia="zh-CN"/>
        </w:rPr>
        <w:t>专家评审会评审费</w:t>
      </w:r>
      <w:r>
        <w:rPr>
          <w:rFonts w:hint="eastAsia" w:ascii="Times New Roman" w:hAnsi="Times New Roman" w:cs="Times New Roman"/>
          <w:color w:val="auto"/>
          <w:szCs w:val="21"/>
          <w:highlight w:val="none"/>
          <w:lang w:val="en-US" w:eastAsia="zh-CN"/>
        </w:rPr>
        <w:t>等所有费用，如一旦中标，在项目实施中出现任何遗漏，均由中标人免费提供，采购人不再支付任何费用。</w:t>
      </w:r>
    </w:p>
    <w:p>
      <w:pPr>
        <w:spacing w:line="520" w:lineRule="exact"/>
        <w:ind w:firstLine="420" w:firstLineChars="200"/>
        <w:rPr>
          <w:rFonts w:ascii="宋体" w:hAnsi="宋体" w:cs="宋体"/>
          <w:color w:val="auto"/>
          <w:szCs w:val="21"/>
          <w:highlight w:val="none"/>
        </w:rPr>
      </w:pPr>
    </w:p>
    <w:p>
      <w:pPr>
        <w:pStyle w:val="18"/>
        <w:adjustRightInd w:val="0"/>
        <w:snapToGrid w:val="0"/>
        <w:spacing w:line="360" w:lineRule="auto"/>
        <w:ind w:firstLine="482" w:firstLineChars="200"/>
        <w:jc w:val="left"/>
        <w:rPr>
          <w:rFonts w:hAnsi="宋体" w:cs="宋体"/>
          <w:color w:val="auto"/>
          <w:highlight w:val="none"/>
          <w:lang w:val="zh-TW" w:bidi="zh-TW"/>
        </w:rPr>
      </w:pPr>
      <w:r>
        <w:rPr>
          <w:rFonts w:hint="eastAsia" w:hAnsi="宋体" w:cs="宋体"/>
          <w:b/>
          <w:color w:val="auto"/>
          <w:sz w:val="24"/>
          <w:szCs w:val="24"/>
          <w:highlight w:val="none"/>
        </w:rPr>
        <w:t>对于上述项目要求，供应商应在响应文件中进行回应，做出承诺及说明。</w:t>
      </w:r>
    </w:p>
    <w:p>
      <w:pPr>
        <w:adjustRightInd w:val="0"/>
        <w:snapToGrid w:val="0"/>
        <w:spacing w:line="520" w:lineRule="exact"/>
        <w:ind w:firstLine="371" w:firstLineChars="176"/>
        <w:jc w:val="left"/>
        <w:rPr>
          <w:rFonts w:ascii="宋体" w:hAnsi="宋体" w:cs="宋体"/>
          <w:b/>
          <w:color w:val="auto"/>
          <w:szCs w:val="21"/>
          <w:highlight w:val="none"/>
        </w:rPr>
      </w:pPr>
    </w:p>
    <w:p>
      <w:pPr>
        <w:adjustRightInd w:val="0"/>
        <w:snapToGrid w:val="0"/>
        <w:spacing w:line="520" w:lineRule="exact"/>
        <w:ind w:firstLine="620" w:firstLineChars="193"/>
        <w:jc w:val="center"/>
        <w:outlineLvl w:val="0"/>
        <w:rPr>
          <w:rFonts w:ascii="宋体" w:hAnsi="宋体" w:cs="宋体"/>
          <w:b/>
          <w:color w:val="auto"/>
          <w:sz w:val="32"/>
          <w:szCs w:val="32"/>
          <w:highlight w:val="none"/>
        </w:rPr>
      </w:pPr>
      <w:r>
        <w:rPr>
          <w:rFonts w:ascii="宋体" w:hAnsi="宋体" w:cs="宋体"/>
          <w:b/>
          <w:color w:val="auto"/>
          <w:sz w:val="32"/>
          <w:szCs w:val="32"/>
          <w:highlight w:val="none"/>
        </w:rPr>
        <w:br w:type="page"/>
      </w:r>
      <w:r>
        <w:rPr>
          <w:rFonts w:hint="eastAsia" w:ascii="宋体" w:hAnsi="宋体" w:cs="宋体"/>
          <w:b/>
          <w:color w:val="auto"/>
          <w:sz w:val="32"/>
          <w:szCs w:val="32"/>
          <w:highlight w:val="none"/>
        </w:rPr>
        <w:t>第五章</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响应文件组成</w:t>
      </w: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r>
        <w:rPr>
          <w:rFonts w:hint="eastAsia" w:ascii="宋体" w:hAnsi="宋体" w:cs="宋体"/>
          <w:color w:val="auto"/>
          <w:highlight w:val="none"/>
        </w:rPr>
        <w:t>供应商的响应文件应包含以下部分：</w:t>
      </w:r>
    </w:p>
    <w:p>
      <w:pPr>
        <w:adjustRightInd w:val="0"/>
        <w:snapToGrid w:val="0"/>
        <w:spacing w:line="520" w:lineRule="exact"/>
        <w:jc w:val="left"/>
        <w:rPr>
          <w:rFonts w:ascii="宋体" w:hAnsi="宋体" w:cs="宋体"/>
          <w:b/>
          <w:color w:val="auto"/>
          <w:szCs w:val="21"/>
          <w:highlight w:val="none"/>
        </w:rPr>
      </w:pPr>
      <w:r>
        <w:rPr>
          <w:rFonts w:hint="eastAsia" w:ascii="宋体" w:hAnsi="宋体" w:cs="宋体"/>
          <w:b/>
          <w:color w:val="auto"/>
          <w:szCs w:val="21"/>
          <w:highlight w:val="none"/>
        </w:rPr>
        <w:t>一、磋商响应声明</w:t>
      </w:r>
    </w:p>
    <w:p>
      <w:pPr>
        <w:adjustRightInd w:val="0"/>
        <w:snapToGrid w:val="0"/>
        <w:spacing w:line="5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附件</w:t>
      </w:r>
      <w:r>
        <w:rPr>
          <w:rFonts w:ascii="宋体" w:hAnsi="宋体" w:cs="宋体"/>
          <w:color w:val="auto"/>
          <w:szCs w:val="21"/>
          <w:highlight w:val="none"/>
        </w:rPr>
        <w:t>1</w:t>
      </w:r>
      <w:r>
        <w:rPr>
          <w:rFonts w:hint="eastAsia" w:ascii="宋体" w:hAnsi="宋体" w:cs="宋体"/>
          <w:color w:val="auto"/>
          <w:szCs w:val="21"/>
          <w:highlight w:val="none"/>
        </w:rPr>
        <w:t>：法定代表人身份证明</w:t>
      </w:r>
    </w:p>
    <w:p>
      <w:pPr>
        <w:adjustRightInd w:val="0"/>
        <w:snapToGrid w:val="0"/>
        <w:spacing w:line="5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附件</w:t>
      </w:r>
      <w:r>
        <w:rPr>
          <w:rFonts w:ascii="宋体" w:hAnsi="宋体" w:cs="宋体"/>
          <w:color w:val="auto"/>
          <w:szCs w:val="21"/>
          <w:highlight w:val="none"/>
        </w:rPr>
        <w:t>2</w:t>
      </w:r>
      <w:r>
        <w:rPr>
          <w:rFonts w:hint="eastAsia" w:ascii="宋体" w:hAnsi="宋体" w:cs="宋体"/>
          <w:color w:val="auto"/>
          <w:szCs w:val="21"/>
          <w:highlight w:val="none"/>
        </w:rPr>
        <w:t>：法定代表人授权委托书</w:t>
      </w:r>
    </w:p>
    <w:p>
      <w:pPr>
        <w:adjustRightInd w:val="0"/>
        <w:snapToGrid w:val="0"/>
        <w:spacing w:line="520" w:lineRule="exact"/>
        <w:jc w:val="left"/>
        <w:rPr>
          <w:rFonts w:ascii="宋体" w:hAnsi="宋体" w:cs="宋体"/>
          <w:b/>
          <w:color w:val="auto"/>
          <w:szCs w:val="21"/>
          <w:highlight w:val="none"/>
        </w:rPr>
      </w:pPr>
      <w:r>
        <w:rPr>
          <w:rFonts w:hint="eastAsia" w:ascii="宋体" w:hAnsi="宋体" w:cs="宋体"/>
          <w:b/>
          <w:color w:val="auto"/>
          <w:szCs w:val="21"/>
          <w:highlight w:val="none"/>
        </w:rPr>
        <w:t>二、磋商保证金缴纳证明材料</w:t>
      </w:r>
    </w:p>
    <w:p>
      <w:pPr>
        <w:adjustRightInd w:val="0"/>
        <w:snapToGrid w:val="0"/>
        <w:spacing w:line="520" w:lineRule="exact"/>
        <w:jc w:val="left"/>
        <w:rPr>
          <w:rFonts w:ascii="宋体" w:hAnsi="宋体" w:cs="宋体"/>
          <w:b/>
          <w:color w:val="auto"/>
          <w:szCs w:val="21"/>
          <w:highlight w:val="none"/>
        </w:rPr>
      </w:pPr>
      <w:r>
        <w:rPr>
          <w:rFonts w:hint="eastAsia" w:ascii="宋体" w:hAnsi="宋体" w:cs="宋体"/>
          <w:b/>
          <w:color w:val="auto"/>
          <w:szCs w:val="21"/>
          <w:highlight w:val="none"/>
        </w:rPr>
        <w:t>三、供应商的资格证明资料</w:t>
      </w:r>
    </w:p>
    <w:p>
      <w:pPr>
        <w:adjustRightInd w:val="0"/>
        <w:snapToGrid w:val="0"/>
        <w:spacing w:line="5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附件</w:t>
      </w:r>
      <w:r>
        <w:rPr>
          <w:rFonts w:ascii="宋体" w:hAnsi="宋体" w:cs="宋体"/>
          <w:color w:val="auto"/>
          <w:szCs w:val="21"/>
          <w:highlight w:val="none"/>
        </w:rPr>
        <w:t>3</w:t>
      </w:r>
      <w:r>
        <w:rPr>
          <w:rFonts w:hint="eastAsia" w:ascii="宋体" w:hAnsi="宋体" w:cs="宋体"/>
          <w:color w:val="auto"/>
          <w:szCs w:val="21"/>
          <w:highlight w:val="none"/>
        </w:rPr>
        <w:t>：供应商基本情况表</w:t>
      </w:r>
    </w:p>
    <w:p>
      <w:pPr>
        <w:adjustRightInd w:val="0"/>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附件</w:t>
      </w:r>
      <w:r>
        <w:rPr>
          <w:rFonts w:ascii="宋体" w:hAnsi="宋体" w:cs="宋体"/>
          <w:color w:val="auto"/>
          <w:szCs w:val="21"/>
          <w:highlight w:val="none"/>
        </w:rPr>
        <w:t>4</w:t>
      </w:r>
      <w:r>
        <w:rPr>
          <w:rFonts w:hint="eastAsia" w:ascii="宋体" w:hAnsi="宋体" w:cs="宋体"/>
          <w:color w:val="auto"/>
          <w:szCs w:val="21"/>
          <w:highlight w:val="none"/>
        </w:rPr>
        <w:t>：磋商文件规定的基本资格条件证明资料</w:t>
      </w:r>
    </w:p>
    <w:p>
      <w:pPr>
        <w:adjustRightInd w:val="0"/>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附件</w:t>
      </w:r>
      <w:r>
        <w:rPr>
          <w:rFonts w:ascii="宋体" w:hAnsi="宋体" w:cs="宋体"/>
          <w:color w:val="auto"/>
          <w:szCs w:val="21"/>
          <w:highlight w:val="none"/>
        </w:rPr>
        <w:t>5</w:t>
      </w:r>
      <w:r>
        <w:rPr>
          <w:rFonts w:hint="eastAsia" w:ascii="宋体" w:hAnsi="宋体" w:cs="宋体"/>
          <w:color w:val="auto"/>
          <w:szCs w:val="21"/>
          <w:highlight w:val="none"/>
        </w:rPr>
        <w:t>：磋商文件规定的特定资格条件证明资料</w:t>
      </w:r>
    </w:p>
    <w:p>
      <w:pPr>
        <w:adjustRightInd w:val="0"/>
        <w:snapToGrid w:val="0"/>
        <w:spacing w:line="5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附件</w:t>
      </w:r>
      <w:r>
        <w:rPr>
          <w:rFonts w:ascii="宋体" w:hAnsi="宋体" w:cs="宋体"/>
          <w:bCs/>
          <w:color w:val="auto"/>
          <w:szCs w:val="21"/>
          <w:highlight w:val="none"/>
        </w:rPr>
        <w:t>6</w:t>
      </w:r>
      <w:r>
        <w:rPr>
          <w:rFonts w:hint="eastAsia" w:ascii="宋体" w:hAnsi="宋体" w:cs="宋体"/>
          <w:bCs/>
          <w:color w:val="auto"/>
          <w:szCs w:val="21"/>
          <w:highlight w:val="none"/>
        </w:rPr>
        <w:t>：其它说明</w:t>
      </w:r>
    </w:p>
    <w:p>
      <w:pPr>
        <w:adjustRightInd w:val="0"/>
        <w:snapToGrid w:val="0"/>
        <w:spacing w:line="520" w:lineRule="exact"/>
        <w:rPr>
          <w:rFonts w:ascii="宋体" w:hAnsi="宋体" w:cs="宋体"/>
          <w:b/>
          <w:color w:val="auto"/>
          <w:highlight w:val="none"/>
        </w:rPr>
      </w:pPr>
      <w:r>
        <w:rPr>
          <w:rFonts w:hint="eastAsia" w:ascii="宋体" w:hAnsi="宋体" w:cs="宋体"/>
          <w:b/>
          <w:color w:val="auto"/>
          <w:highlight w:val="none"/>
        </w:rPr>
        <w:t>四、服务方案</w:t>
      </w:r>
    </w:p>
    <w:p>
      <w:pPr>
        <w:adjustRightInd w:val="0"/>
        <w:snapToGrid w:val="0"/>
        <w:spacing w:line="520" w:lineRule="exact"/>
        <w:rPr>
          <w:rFonts w:ascii="宋体" w:hAnsi="宋体" w:cs="宋体"/>
          <w:b/>
          <w:color w:val="auto"/>
          <w:highlight w:val="none"/>
        </w:rPr>
      </w:pPr>
      <w:r>
        <w:rPr>
          <w:rFonts w:hint="eastAsia" w:ascii="宋体" w:hAnsi="宋体" w:cs="宋体"/>
          <w:b/>
          <w:color w:val="auto"/>
          <w:highlight w:val="none"/>
        </w:rPr>
        <w:t>五、技术</w:t>
      </w:r>
      <w:r>
        <w:rPr>
          <w:rFonts w:ascii="宋体" w:hAnsi="宋体" w:cs="宋体"/>
          <w:b/>
          <w:color w:val="auto"/>
          <w:highlight w:val="none"/>
        </w:rPr>
        <w:t>/</w:t>
      </w:r>
      <w:r>
        <w:rPr>
          <w:rFonts w:hint="eastAsia" w:ascii="宋体" w:hAnsi="宋体" w:cs="宋体"/>
          <w:b/>
          <w:color w:val="auto"/>
          <w:highlight w:val="none"/>
        </w:rPr>
        <w:t>商务响应与偏离表</w:t>
      </w:r>
    </w:p>
    <w:p>
      <w:pPr>
        <w:adjustRightInd w:val="0"/>
        <w:snapToGrid w:val="0"/>
        <w:spacing w:line="520" w:lineRule="exact"/>
        <w:rPr>
          <w:rFonts w:ascii="宋体" w:hAnsi="宋体"/>
          <w:b/>
          <w:color w:val="auto"/>
          <w:highlight w:val="none"/>
        </w:rPr>
      </w:pPr>
      <w:r>
        <w:rPr>
          <w:rFonts w:hint="eastAsia" w:ascii="宋体" w:hAnsi="宋体" w:cs="宋体"/>
          <w:b/>
          <w:color w:val="auto"/>
          <w:highlight w:val="none"/>
        </w:rPr>
        <w:t>六、</w:t>
      </w:r>
      <w:r>
        <w:rPr>
          <w:rFonts w:hint="eastAsia" w:ascii="宋体" w:hAnsi="宋体"/>
          <w:b/>
          <w:color w:val="auto"/>
          <w:highlight w:val="none"/>
        </w:rPr>
        <w:t>报价一览表</w:t>
      </w:r>
    </w:p>
    <w:p>
      <w:pPr>
        <w:adjustRightInd w:val="0"/>
        <w:snapToGrid w:val="0"/>
        <w:spacing w:line="520" w:lineRule="exact"/>
        <w:jc w:val="left"/>
        <w:rPr>
          <w:rFonts w:ascii="宋体" w:hAnsi="宋体" w:cs="宋体"/>
          <w:b/>
          <w:bCs/>
          <w:color w:val="auto"/>
          <w:highlight w:val="none"/>
        </w:rPr>
      </w:pPr>
      <w:r>
        <w:rPr>
          <w:rFonts w:hint="eastAsia" w:ascii="宋体" w:hAnsi="宋体" w:cs="宋体"/>
          <w:b/>
          <w:bCs/>
          <w:color w:val="auto"/>
          <w:highlight w:val="none"/>
        </w:rPr>
        <w:t>七、</w:t>
      </w:r>
      <w:r>
        <w:rPr>
          <w:rFonts w:hint="eastAsia" w:ascii="宋体" w:hAnsi="宋体" w:cs="宋体"/>
          <w:b/>
          <w:color w:val="auto"/>
          <w:highlight w:val="none"/>
        </w:rPr>
        <w:t>供应商认为需提供的其它资料</w:t>
      </w:r>
    </w:p>
    <w:p>
      <w:pPr>
        <w:adjustRightInd w:val="0"/>
        <w:snapToGrid w:val="0"/>
        <w:spacing w:line="520" w:lineRule="exact"/>
        <w:jc w:val="left"/>
        <w:rPr>
          <w:rFonts w:ascii="宋体" w:hAnsi="宋体"/>
          <w:bCs/>
          <w:color w:val="auto"/>
          <w:szCs w:val="21"/>
          <w:highlight w:val="none"/>
        </w:rPr>
      </w:pPr>
      <w:r>
        <w:rPr>
          <w:rFonts w:hint="eastAsia" w:ascii="宋体" w:hAnsi="宋体" w:cs="宋体"/>
          <w:b/>
          <w:bCs/>
          <w:color w:val="auto"/>
          <w:highlight w:val="none"/>
        </w:rPr>
        <w:t>八、</w:t>
      </w:r>
      <w:r>
        <w:rPr>
          <w:rFonts w:hint="eastAsia" w:ascii="宋体" w:hAnsi="宋体" w:cs="宋体"/>
          <w:b/>
          <w:color w:val="auto"/>
          <w:highlight w:val="none"/>
        </w:rPr>
        <w:t>最后报价</w:t>
      </w:r>
    </w:p>
    <w:p>
      <w:pPr>
        <w:adjustRightInd w:val="0"/>
        <w:snapToGrid w:val="0"/>
        <w:spacing w:line="520" w:lineRule="exact"/>
        <w:rPr>
          <w:rFonts w:ascii="宋体" w:hAnsi="宋体" w:cs="宋体"/>
          <w:b/>
          <w:color w:val="auto"/>
          <w:highlight w:val="none"/>
        </w:rPr>
      </w:pPr>
    </w:p>
    <w:p>
      <w:pPr>
        <w:adjustRightInd w:val="0"/>
        <w:snapToGrid w:val="0"/>
        <w:spacing w:line="520" w:lineRule="exact"/>
        <w:rPr>
          <w:rFonts w:ascii="宋体" w:hAnsi="宋体" w:cs="宋体"/>
          <w:b/>
          <w:color w:val="auto"/>
          <w:highlight w:val="none"/>
        </w:rPr>
      </w:pPr>
    </w:p>
    <w:p>
      <w:pPr>
        <w:adjustRightInd w:val="0"/>
        <w:snapToGrid w:val="0"/>
        <w:spacing w:line="520" w:lineRule="exact"/>
        <w:rPr>
          <w:rFonts w:ascii="宋体" w:hAnsi="宋体" w:cs="宋体"/>
          <w:b/>
          <w:color w:val="auto"/>
          <w:highlight w:val="none"/>
        </w:rPr>
      </w:pPr>
    </w:p>
    <w:p>
      <w:pPr>
        <w:spacing w:line="520" w:lineRule="exact"/>
        <w:rPr>
          <w:rFonts w:ascii="宋体" w:hAnsi="宋体" w:cs="宋体"/>
          <w:color w:val="auto"/>
          <w:sz w:val="32"/>
          <w:szCs w:val="32"/>
          <w:highlight w:val="none"/>
        </w:rPr>
      </w:pPr>
    </w:p>
    <w:p>
      <w:pPr>
        <w:spacing w:line="520" w:lineRule="exact"/>
        <w:jc w:val="center"/>
        <w:rPr>
          <w:rFonts w:ascii="宋体" w:hAnsi="宋体" w:cs="宋体"/>
          <w:color w:val="auto"/>
          <w:sz w:val="32"/>
          <w:szCs w:val="32"/>
          <w:highlight w:val="none"/>
        </w:rPr>
      </w:pPr>
    </w:p>
    <w:p>
      <w:pPr>
        <w:spacing w:line="520" w:lineRule="exact"/>
        <w:jc w:val="center"/>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pStyle w:val="18"/>
        <w:rPr>
          <w:rFonts w:ascii="宋体" w:hAnsi="宋体" w:cs="宋体"/>
          <w:b/>
          <w:color w:val="auto"/>
          <w:sz w:val="32"/>
          <w:szCs w:val="32"/>
          <w:highlight w:val="none"/>
        </w:rPr>
      </w:pPr>
      <w:r>
        <w:rPr>
          <w:rFonts w:ascii="宋体" w:hAnsi="宋体" w:cs="宋体"/>
          <w:b/>
          <w:color w:val="auto"/>
          <w:sz w:val="32"/>
          <w:szCs w:val="32"/>
          <w:highlight w:val="none"/>
        </w:rPr>
        <w:br w:type="page"/>
      </w:r>
    </w:p>
    <w:p>
      <w:pPr>
        <w:pStyle w:val="18"/>
        <w:rPr>
          <w:rFonts w:hint="eastAsia" w:hAnsi="宋体" w:cs="宋体"/>
          <w:b/>
          <w:color w:val="auto"/>
          <w:sz w:val="72"/>
          <w:szCs w:val="72"/>
          <w:highlight w:val="none"/>
        </w:rPr>
      </w:pPr>
      <w:r>
        <w:rPr>
          <w:rFonts w:hint="eastAsia" w:hAnsi="宋体" w:cs="宋体"/>
          <w:color w:val="auto"/>
          <w:sz w:val="72"/>
          <w:highlight w:val="none"/>
        </w:rPr>
        <mc:AlternateContent>
          <mc:Choice Requires="wps">
            <w:drawing>
              <wp:anchor distT="0" distB="0" distL="114300" distR="114300" simplePos="0" relativeHeight="251659264" behindDoc="0" locked="0" layoutInCell="1" allowOverlap="1">
                <wp:simplePos x="0" y="0"/>
                <wp:positionH relativeFrom="column">
                  <wp:posOffset>4918710</wp:posOffset>
                </wp:positionH>
                <wp:positionV relativeFrom="paragraph">
                  <wp:posOffset>188595</wp:posOffset>
                </wp:positionV>
                <wp:extent cx="770255" cy="407670"/>
                <wp:effectExtent l="4445" t="4445" r="6350" b="6985"/>
                <wp:wrapNone/>
                <wp:docPr id="4" name="矩形 4"/>
                <wp:cNvGraphicFramePr/>
                <a:graphic xmlns:a="http://schemas.openxmlformats.org/drawingml/2006/main">
                  <a:graphicData uri="http://schemas.microsoft.com/office/word/2010/wordprocessingShape">
                    <wps:wsp>
                      <wps:cNvSpPr/>
                      <wps:spPr>
                        <a:xfrm>
                          <a:off x="0" y="0"/>
                          <a:ext cx="770255" cy="407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华文中宋"/>
                                <w:lang w:val="en-US" w:eastAsia="zh-CN"/>
                              </w:rPr>
                            </w:pPr>
                            <w:r>
                              <w:rPr>
                                <w:rFonts w:hint="eastAsia" w:ascii="华文中宋" w:hAnsi="华文中宋" w:eastAsia="华文中宋"/>
                                <w:b/>
                                <w:sz w:val="30"/>
                                <w:szCs w:val="30"/>
                              </w:rPr>
                              <w:t>正  本</w:t>
                            </w:r>
                            <w:r>
                              <w:rPr>
                                <w:rFonts w:hint="eastAsia" w:ascii="华文中宋" w:hAnsi="华文中宋" w:eastAsia="华文中宋"/>
                                <w:b/>
                                <w:sz w:val="30"/>
                                <w:szCs w:val="30"/>
                                <w:lang w:val="en-US" w:eastAsia="zh-CN"/>
                              </w:rPr>
                              <w:t>/</w:t>
                            </w:r>
                          </w:p>
                        </w:txbxContent>
                      </wps:txbx>
                      <wps:bodyPr upright="1"/>
                    </wps:wsp>
                  </a:graphicData>
                </a:graphic>
              </wp:anchor>
            </w:drawing>
          </mc:Choice>
          <mc:Fallback>
            <w:pict>
              <v:rect id="_x0000_s1026" o:spid="_x0000_s1026" o:spt="1" style="position:absolute;left:0pt;margin-left:387.3pt;margin-top:14.85pt;height:32.1pt;width:60.65pt;z-index:251659264;mso-width-relative:page;mso-height-relative:page;" fillcolor="#FFFFFF" filled="t" stroked="t" coordsize="21600,21600" o:gfxdata="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EmJVdgAAAAJAQAADwAAAAAAAAABACAAAAAiAAAA&#10;ZHJzL2Rvd25yZXYueG1sUEsBAhQAFAAAAAgAh07iQNRxGbsHAgAANgQAAA4AAAAAAAAAAQAgAAAA&#10;JwEAAGRycy9lMm9Eb2MueG1sUEsFBgAAAAAGAAYAWQEAAKAFAAAAAA==&#10;">
                <v:fill on="t" focussize="0,0"/>
                <v:stroke color="#000000" joinstyle="miter"/>
                <v:imagedata o:title=""/>
                <o:lock v:ext="edit" aspectratio="f"/>
                <v:textbox>
                  <w:txbxContent>
                    <w:p>
                      <w:pPr>
                        <w:rPr>
                          <w:rFonts w:hint="eastAsia" w:eastAsia="华文中宋"/>
                          <w:lang w:val="en-US" w:eastAsia="zh-CN"/>
                        </w:rPr>
                      </w:pPr>
                      <w:r>
                        <w:rPr>
                          <w:rFonts w:hint="eastAsia" w:ascii="华文中宋" w:hAnsi="华文中宋" w:eastAsia="华文中宋"/>
                          <w:b/>
                          <w:sz w:val="30"/>
                          <w:szCs w:val="30"/>
                        </w:rPr>
                        <w:t>正  本</w:t>
                      </w:r>
                      <w:r>
                        <w:rPr>
                          <w:rFonts w:hint="eastAsia" w:ascii="华文中宋" w:hAnsi="华文中宋" w:eastAsia="华文中宋"/>
                          <w:b/>
                          <w:sz w:val="30"/>
                          <w:szCs w:val="30"/>
                          <w:lang w:val="en-US" w:eastAsia="zh-CN"/>
                        </w:rPr>
                        <w:t>/</w:t>
                      </w:r>
                    </w:p>
                  </w:txbxContent>
                </v:textbox>
              </v:rect>
            </w:pict>
          </mc:Fallback>
        </mc:AlternateContent>
      </w:r>
    </w:p>
    <w:p>
      <w:pPr>
        <w:pStyle w:val="18"/>
        <w:adjustRightInd w:val="0"/>
        <w:snapToGrid w:val="0"/>
        <w:spacing w:line="480" w:lineRule="auto"/>
        <w:jc w:val="both"/>
        <w:rPr>
          <w:rFonts w:hint="eastAsia" w:hAnsi="宋体" w:cs="宋体"/>
          <w:b/>
          <w:color w:val="auto"/>
          <w:sz w:val="72"/>
          <w:szCs w:val="72"/>
          <w:highlight w:val="none"/>
        </w:rPr>
      </w:pPr>
    </w:p>
    <w:p>
      <w:pPr>
        <w:pStyle w:val="18"/>
        <w:adjustRightInd w:val="0"/>
        <w:snapToGrid w:val="0"/>
        <w:spacing w:line="480" w:lineRule="auto"/>
        <w:ind w:right="0" w:rightChars="0" w:firstLine="0" w:firstLineChars="0"/>
        <w:jc w:val="center"/>
        <w:rPr>
          <w:rFonts w:hint="eastAsia" w:hAnsi="宋体" w:cs="宋体"/>
          <w:color w:val="auto"/>
          <w:sz w:val="32"/>
          <w:szCs w:val="32"/>
          <w:highlight w:val="none"/>
        </w:rPr>
      </w:pPr>
      <w:r>
        <w:rPr>
          <w:rFonts w:hint="eastAsia" w:hAnsi="宋体" w:cs="宋体"/>
          <w:b/>
          <w:color w:val="auto"/>
          <w:sz w:val="72"/>
          <w:szCs w:val="72"/>
          <w:highlight w:val="none"/>
        </w:rPr>
        <w:t>竞争性磋商响应文件</w:t>
      </w:r>
    </w:p>
    <w:p>
      <w:pPr>
        <w:pStyle w:val="18"/>
        <w:adjustRightInd w:val="0"/>
        <w:snapToGrid w:val="0"/>
        <w:spacing w:line="480" w:lineRule="auto"/>
        <w:ind w:right="-86" w:rightChars="-41" w:firstLine="640" w:firstLineChars="200"/>
        <w:rPr>
          <w:rFonts w:hint="eastAsia" w:hAnsi="宋体" w:cs="宋体"/>
          <w:color w:val="auto"/>
          <w:sz w:val="32"/>
          <w:szCs w:val="32"/>
          <w:highlight w:val="none"/>
        </w:rPr>
      </w:pPr>
    </w:p>
    <w:p>
      <w:pPr>
        <w:pStyle w:val="18"/>
        <w:adjustRightInd w:val="0"/>
        <w:snapToGrid w:val="0"/>
        <w:spacing w:line="480" w:lineRule="auto"/>
        <w:ind w:right="-86" w:rightChars="-41" w:firstLine="640" w:firstLineChars="200"/>
        <w:rPr>
          <w:rFonts w:hint="default" w:hAnsi="宋体" w:cs="宋体"/>
          <w:color w:val="auto"/>
          <w:sz w:val="32"/>
          <w:szCs w:val="32"/>
          <w:highlight w:val="none"/>
          <w:u w:val="single"/>
          <w:lang w:val="en-US"/>
        </w:rPr>
      </w:pPr>
      <w:r>
        <w:rPr>
          <w:rFonts w:hint="eastAsia" w:hAnsi="宋体" w:cs="宋体"/>
          <w:color w:val="auto"/>
          <w:sz w:val="32"/>
          <w:szCs w:val="32"/>
          <w:highlight w:val="none"/>
        </w:rPr>
        <w:t>采购项目名称：</w:t>
      </w:r>
      <w:r>
        <w:rPr>
          <w:rFonts w:hint="eastAsia" w:hAnsi="宋体" w:cs="宋体"/>
          <w:color w:val="auto"/>
          <w:sz w:val="32"/>
          <w:szCs w:val="32"/>
          <w:highlight w:val="none"/>
          <w:u w:val="single"/>
          <w:lang w:val="en-US" w:eastAsia="zh-CN"/>
        </w:rPr>
        <w:t xml:space="preserve">                           </w:t>
      </w:r>
    </w:p>
    <w:p>
      <w:pPr>
        <w:pStyle w:val="18"/>
        <w:adjustRightInd w:val="0"/>
        <w:snapToGrid w:val="0"/>
        <w:spacing w:line="480" w:lineRule="auto"/>
        <w:ind w:left="844" w:leftChars="338" w:right="-86" w:rightChars="-41" w:hanging="134" w:hangingChars="42"/>
        <w:rPr>
          <w:rFonts w:hint="eastAsia" w:hAnsi="宋体" w:cs="宋体"/>
          <w:color w:val="auto"/>
          <w:sz w:val="32"/>
          <w:szCs w:val="32"/>
          <w:highlight w:val="none"/>
          <w:u w:val="single"/>
        </w:rPr>
      </w:pPr>
      <w:r>
        <w:rPr>
          <w:rFonts w:hint="eastAsia" w:hAnsi="宋体" w:cs="宋体"/>
          <w:color w:val="auto"/>
          <w:sz w:val="32"/>
          <w:szCs w:val="32"/>
          <w:highlight w:val="none"/>
        </w:rPr>
        <w:t>采   购  人：</w:t>
      </w:r>
      <w:r>
        <w:rPr>
          <w:rFonts w:hint="eastAsia" w:hAnsi="宋体" w:cs="宋体"/>
          <w:color w:val="auto"/>
          <w:sz w:val="32"/>
          <w:szCs w:val="32"/>
          <w:highlight w:val="none"/>
          <w:u w:val="single"/>
          <w:lang w:val="en-US" w:eastAsia="zh-CN"/>
        </w:rPr>
        <w:t xml:space="preserve">                           </w:t>
      </w:r>
      <w:r>
        <w:rPr>
          <w:rFonts w:hint="eastAsia" w:hAnsi="宋体" w:cs="宋体"/>
          <w:color w:val="auto"/>
          <w:sz w:val="32"/>
          <w:szCs w:val="32"/>
          <w:highlight w:val="none"/>
        </w:rPr>
        <w:t xml:space="preserve">    </w:t>
      </w:r>
    </w:p>
    <w:p>
      <w:pPr>
        <w:pStyle w:val="18"/>
        <w:adjustRightInd w:val="0"/>
        <w:snapToGrid w:val="0"/>
        <w:spacing w:line="480" w:lineRule="auto"/>
        <w:ind w:left="844" w:leftChars="338" w:right="-86" w:rightChars="-41" w:hanging="134" w:hangingChars="42"/>
        <w:rPr>
          <w:rFonts w:hint="eastAsia" w:hAnsi="宋体" w:cs="宋体"/>
          <w:color w:val="auto"/>
          <w:sz w:val="32"/>
          <w:szCs w:val="32"/>
          <w:highlight w:val="none"/>
        </w:rPr>
      </w:pPr>
      <w:r>
        <w:rPr>
          <w:rFonts w:hint="eastAsia" w:hAnsi="宋体" w:cs="宋体"/>
          <w:color w:val="auto"/>
          <w:sz w:val="32"/>
          <w:szCs w:val="32"/>
          <w:highlight w:val="none"/>
          <w:lang w:val="en-US" w:eastAsia="zh-CN"/>
        </w:rPr>
        <w:t xml:space="preserve">项 目 </w:t>
      </w:r>
      <w:r>
        <w:rPr>
          <w:rFonts w:hint="eastAsia" w:hAnsi="宋体" w:cs="宋体"/>
          <w:color w:val="auto"/>
          <w:sz w:val="32"/>
          <w:szCs w:val="32"/>
          <w:highlight w:val="none"/>
        </w:rPr>
        <w:t>编</w:t>
      </w:r>
      <w:r>
        <w:rPr>
          <w:rFonts w:hint="eastAsia" w:hAnsi="宋体" w:cs="宋体"/>
          <w:color w:val="auto"/>
          <w:sz w:val="32"/>
          <w:szCs w:val="32"/>
          <w:highlight w:val="none"/>
          <w:lang w:val="en-US" w:eastAsia="zh-CN"/>
        </w:rPr>
        <w:t xml:space="preserve"> </w:t>
      </w:r>
      <w:r>
        <w:rPr>
          <w:rFonts w:hint="eastAsia" w:hAnsi="宋体" w:cs="宋体"/>
          <w:color w:val="auto"/>
          <w:sz w:val="32"/>
          <w:szCs w:val="32"/>
          <w:highlight w:val="none"/>
        </w:rPr>
        <w:t>号：</w:t>
      </w:r>
      <w:r>
        <w:rPr>
          <w:rFonts w:hint="eastAsia" w:hAnsi="宋体" w:cs="宋体"/>
          <w:color w:val="auto"/>
          <w:sz w:val="32"/>
          <w:szCs w:val="32"/>
          <w:highlight w:val="none"/>
          <w:u w:val="single"/>
          <w:lang w:val="en-US" w:eastAsia="zh-CN"/>
        </w:rPr>
        <w:t xml:space="preserve">                           </w:t>
      </w:r>
    </w:p>
    <w:p>
      <w:pPr>
        <w:pStyle w:val="18"/>
        <w:adjustRightInd w:val="0"/>
        <w:snapToGrid w:val="0"/>
        <w:spacing w:line="480" w:lineRule="auto"/>
        <w:ind w:left="844" w:leftChars="338" w:right="-86" w:rightChars="-41" w:hanging="134" w:hangingChars="42"/>
        <w:rPr>
          <w:rFonts w:hint="eastAsia" w:hAnsi="宋体" w:cs="宋体"/>
          <w:color w:val="auto"/>
          <w:sz w:val="32"/>
          <w:szCs w:val="32"/>
          <w:highlight w:val="none"/>
          <w:u w:val="single"/>
        </w:rPr>
      </w:pPr>
      <w:r>
        <w:rPr>
          <w:rFonts w:hint="eastAsia" w:hAnsi="宋体" w:cs="宋体"/>
          <w:color w:val="auto"/>
          <w:sz w:val="32"/>
          <w:szCs w:val="32"/>
          <w:highlight w:val="none"/>
        </w:rPr>
        <w:t>委托代理编号：</w:t>
      </w:r>
      <w:r>
        <w:rPr>
          <w:rFonts w:hint="eastAsia" w:hAnsi="宋体" w:cs="宋体"/>
          <w:color w:val="auto"/>
          <w:sz w:val="32"/>
          <w:szCs w:val="32"/>
          <w:highlight w:val="none"/>
          <w:u w:val="single"/>
          <w:lang w:val="en-US" w:eastAsia="zh-CN"/>
        </w:rPr>
        <w:t xml:space="preserve">                           </w:t>
      </w:r>
    </w:p>
    <w:p>
      <w:pPr>
        <w:pStyle w:val="18"/>
        <w:adjustRightInd w:val="0"/>
        <w:snapToGrid w:val="0"/>
        <w:spacing w:line="480" w:lineRule="auto"/>
        <w:ind w:left="844" w:leftChars="338" w:right="-86" w:rightChars="-41" w:hanging="134" w:hangingChars="42"/>
        <w:rPr>
          <w:rFonts w:hint="eastAsia" w:hAnsi="宋体" w:cs="宋体"/>
          <w:color w:val="auto"/>
          <w:sz w:val="32"/>
          <w:szCs w:val="32"/>
          <w:highlight w:val="none"/>
        </w:rPr>
      </w:pPr>
      <w:r>
        <w:rPr>
          <w:rFonts w:hint="eastAsia" w:hAnsi="宋体" w:cs="宋体"/>
          <w:color w:val="auto"/>
          <w:sz w:val="32"/>
          <w:szCs w:val="32"/>
          <w:highlight w:val="none"/>
        </w:rPr>
        <w:t>采购代理机构：</w:t>
      </w:r>
      <w:r>
        <w:rPr>
          <w:rFonts w:hint="eastAsia" w:hAnsi="宋体" w:cs="宋体"/>
          <w:color w:val="auto"/>
          <w:sz w:val="32"/>
          <w:szCs w:val="32"/>
          <w:highlight w:val="none"/>
          <w:u w:val="single"/>
          <w:lang w:val="en-US" w:eastAsia="zh-CN"/>
        </w:rPr>
        <w:t xml:space="preserve">                           </w:t>
      </w:r>
    </w:p>
    <w:p>
      <w:pPr>
        <w:pStyle w:val="2"/>
        <w:rPr>
          <w:rFonts w:hint="eastAsia" w:hAnsi="宋体" w:cs="宋体"/>
          <w:b/>
          <w:color w:val="auto"/>
          <w:sz w:val="32"/>
          <w:highlight w:val="none"/>
        </w:rPr>
      </w:pPr>
    </w:p>
    <w:p>
      <w:pPr>
        <w:pStyle w:val="18"/>
        <w:adjustRightInd w:val="0"/>
        <w:snapToGrid w:val="0"/>
        <w:spacing w:line="360" w:lineRule="auto"/>
        <w:ind w:firstLine="944" w:firstLineChars="295"/>
        <w:rPr>
          <w:rFonts w:hint="eastAsia" w:hAnsi="宋体" w:cs="宋体"/>
          <w:color w:val="auto"/>
          <w:sz w:val="32"/>
          <w:szCs w:val="32"/>
          <w:highlight w:val="none"/>
        </w:rPr>
      </w:pPr>
    </w:p>
    <w:p>
      <w:pPr>
        <w:pStyle w:val="18"/>
        <w:adjustRightInd w:val="0"/>
        <w:snapToGrid w:val="0"/>
        <w:spacing w:line="480" w:lineRule="auto"/>
        <w:ind w:firstLine="944" w:firstLineChars="295"/>
        <w:rPr>
          <w:rFonts w:hint="eastAsia" w:hAnsi="宋体" w:cs="宋体"/>
          <w:color w:val="auto"/>
          <w:sz w:val="32"/>
          <w:szCs w:val="32"/>
          <w:highlight w:val="none"/>
        </w:rPr>
      </w:pPr>
      <w:r>
        <w:rPr>
          <w:rFonts w:hint="eastAsia" w:hAnsi="宋体" w:cs="宋体"/>
          <w:color w:val="auto"/>
          <w:sz w:val="32"/>
          <w:szCs w:val="32"/>
          <w:highlight w:val="none"/>
        </w:rPr>
        <w:t>投标单位名称</w:t>
      </w:r>
      <w:r>
        <w:rPr>
          <w:rFonts w:hint="eastAsia" w:hAnsi="宋体" w:cs="宋体"/>
          <w:color w:val="auto"/>
          <w:sz w:val="32"/>
          <w:szCs w:val="32"/>
          <w:highlight w:val="none"/>
          <w:u w:val="single"/>
        </w:rPr>
        <w:t>（填写单位名称盖公章）</w:t>
      </w:r>
    </w:p>
    <w:p>
      <w:pPr>
        <w:pStyle w:val="18"/>
        <w:adjustRightInd w:val="0"/>
        <w:snapToGrid w:val="0"/>
        <w:spacing w:line="480" w:lineRule="auto"/>
        <w:ind w:firstLine="944" w:firstLineChars="295"/>
        <w:rPr>
          <w:rFonts w:hint="eastAsia" w:hAnsi="宋体" w:cs="宋体"/>
          <w:color w:val="auto"/>
          <w:sz w:val="32"/>
          <w:szCs w:val="32"/>
          <w:highlight w:val="none"/>
        </w:rPr>
      </w:pPr>
      <w:r>
        <w:rPr>
          <w:rFonts w:hint="eastAsia" w:hAnsi="宋体" w:cs="宋体"/>
          <w:color w:val="auto"/>
          <w:sz w:val="32"/>
          <w:szCs w:val="32"/>
          <w:highlight w:val="none"/>
        </w:rPr>
        <w:t>法定代表人或委托代理人：</w:t>
      </w:r>
      <w:r>
        <w:rPr>
          <w:rFonts w:hint="eastAsia" w:hAnsi="宋体" w:cs="宋体"/>
          <w:color w:val="auto"/>
          <w:sz w:val="32"/>
          <w:szCs w:val="32"/>
          <w:highlight w:val="none"/>
          <w:u w:val="single"/>
        </w:rPr>
        <w:t xml:space="preserve">（签字）  </w:t>
      </w:r>
    </w:p>
    <w:p>
      <w:pPr>
        <w:pStyle w:val="18"/>
        <w:adjustRightInd w:val="0"/>
        <w:snapToGrid w:val="0"/>
        <w:spacing w:line="480" w:lineRule="auto"/>
        <w:ind w:firstLine="3497" w:firstLineChars="1093"/>
        <w:rPr>
          <w:rFonts w:hint="eastAsia" w:hAnsi="宋体" w:cs="宋体"/>
          <w:color w:val="auto"/>
          <w:sz w:val="32"/>
          <w:szCs w:val="32"/>
          <w:highlight w:val="none"/>
        </w:rPr>
      </w:pPr>
      <w:r>
        <w:rPr>
          <w:rFonts w:hint="eastAsia" w:hAnsi="宋体" w:cs="宋体"/>
          <w:color w:val="auto"/>
          <w:sz w:val="32"/>
          <w:szCs w:val="32"/>
          <w:highlight w:val="none"/>
          <w:lang w:val="en-US" w:eastAsia="zh-CN"/>
        </w:rPr>
        <w:t xml:space="preserve"> </w:t>
      </w:r>
      <w:r>
        <w:rPr>
          <w:rFonts w:hint="eastAsia" w:hAnsi="宋体" w:cs="宋体"/>
          <w:color w:val="auto"/>
          <w:sz w:val="32"/>
          <w:szCs w:val="32"/>
          <w:highlight w:val="none"/>
        </w:rPr>
        <w:t>年</w:t>
      </w:r>
      <w:r>
        <w:rPr>
          <w:rFonts w:hint="eastAsia" w:hAnsi="宋体" w:cs="宋体"/>
          <w:color w:val="auto"/>
          <w:sz w:val="32"/>
          <w:szCs w:val="32"/>
          <w:highlight w:val="none"/>
          <w:lang w:val="en-US" w:eastAsia="zh-CN"/>
        </w:rPr>
        <w:t xml:space="preserve"> </w:t>
      </w:r>
      <w:r>
        <w:rPr>
          <w:rFonts w:hint="eastAsia" w:hAnsi="宋体" w:cs="宋体"/>
          <w:color w:val="auto"/>
          <w:sz w:val="32"/>
          <w:szCs w:val="32"/>
          <w:highlight w:val="none"/>
        </w:rPr>
        <w:t xml:space="preserve">月 </w:t>
      </w:r>
    </w:p>
    <w:p>
      <w:pPr>
        <w:rPr>
          <w:rFonts w:hint="eastAsia" w:hAnsi="宋体" w:cs="宋体"/>
          <w:color w:val="auto"/>
          <w:sz w:val="32"/>
          <w:szCs w:val="32"/>
          <w:highlight w:val="none"/>
        </w:rPr>
      </w:pPr>
      <w:r>
        <w:rPr>
          <w:rFonts w:hint="eastAsia" w:hAnsi="宋体" w:cs="宋体"/>
          <w:color w:val="auto"/>
          <w:sz w:val="32"/>
          <w:szCs w:val="32"/>
          <w:highlight w:val="none"/>
        </w:rPr>
        <w:br w:type="page"/>
      </w:r>
    </w:p>
    <w:p>
      <w:pPr>
        <w:rPr>
          <w:rFonts w:hint="eastAsia"/>
          <w:color w:val="auto"/>
          <w:highlight w:val="none"/>
        </w:rPr>
      </w:pPr>
    </w:p>
    <w:p>
      <w:pPr>
        <w:spacing w:line="520" w:lineRule="exac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一、磋商响应声明</w:t>
      </w:r>
    </w:p>
    <w:p>
      <w:pPr>
        <w:adjustRightInd w:val="0"/>
        <w:snapToGrid w:val="0"/>
        <w:spacing w:line="520" w:lineRule="exact"/>
        <w:rPr>
          <w:rFonts w:ascii="宋体" w:hAnsi="宋体" w:cs="宋体"/>
          <w:color w:val="auto"/>
          <w:sz w:val="24"/>
          <w:highlight w:val="none"/>
        </w:rPr>
      </w:pP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采购人或采购代理机构</w:t>
      </w:r>
      <w:r>
        <w:rPr>
          <w:rFonts w:ascii="宋体" w:hAnsi="宋体" w:cs="宋体"/>
          <w:color w:val="auto"/>
          <w:szCs w:val="21"/>
          <w:highlight w:val="none"/>
        </w:rPr>
        <w:t>)</w:t>
      </w:r>
      <w:r>
        <w:rPr>
          <w:rFonts w:hint="eastAsia" w:ascii="宋体" w:hAnsi="宋体" w:cs="宋体"/>
          <w:color w:val="auto"/>
          <w:szCs w:val="21"/>
          <w:highlight w:val="none"/>
        </w:rPr>
        <w:t>：</w:t>
      </w:r>
    </w:p>
    <w:p>
      <w:pPr>
        <w:adjustRightInd w:val="0"/>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我方已仔细研究了</w:t>
      </w:r>
      <w:r>
        <w:rPr>
          <w:rFonts w:ascii="宋体" w:hAnsi="宋体" w:cs="宋体"/>
          <w:color w:val="auto"/>
          <w:szCs w:val="21"/>
          <w:highlight w:val="none"/>
          <w:u w:val="single"/>
        </w:rPr>
        <w:t xml:space="preserve">                 (</w:t>
      </w:r>
      <w:r>
        <w:rPr>
          <w:rFonts w:hint="eastAsia" w:ascii="宋体" w:hAnsi="宋体" w:cs="宋体"/>
          <w:color w:val="auto"/>
          <w:szCs w:val="21"/>
          <w:highlight w:val="none"/>
        </w:rPr>
        <w:t>项目名称</w:t>
      </w:r>
      <w:r>
        <w:rPr>
          <w:rFonts w:ascii="宋体" w:hAnsi="宋体" w:cs="宋体"/>
          <w:color w:val="auto"/>
          <w:szCs w:val="21"/>
          <w:highlight w:val="none"/>
        </w:rPr>
        <w:t>)</w:t>
      </w:r>
      <w:r>
        <w:rPr>
          <w:rFonts w:hint="eastAsia" w:ascii="宋体" w:hAnsi="宋体" w:cs="宋体"/>
          <w:color w:val="auto"/>
          <w:szCs w:val="21"/>
          <w:highlight w:val="none"/>
        </w:rPr>
        <w:t>的竞争性磋商文件（采购代理编号：</w:t>
      </w:r>
      <w:r>
        <w:rPr>
          <w:rFonts w:ascii="宋体" w:hAnsi="宋体" w:cs="宋体"/>
          <w:color w:val="auto"/>
          <w:szCs w:val="21"/>
          <w:highlight w:val="none"/>
          <w:u w:val="single"/>
        </w:rPr>
        <w:t xml:space="preserve">           </w:t>
      </w:r>
      <w:r>
        <w:rPr>
          <w:rFonts w:hint="eastAsia" w:ascii="宋体" w:hAnsi="宋体" w:cs="宋体"/>
          <w:color w:val="auto"/>
          <w:szCs w:val="21"/>
          <w:highlight w:val="none"/>
        </w:rPr>
        <w:t>）的全部内容，</w:t>
      </w:r>
      <w:r>
        <w:rPr>
          <w:rFonts w:hint="eastAsia" w:ascii="宋体" w:hAnsi="宋体" w:cs="宋体"/>
          <w:color w:val="auto"/>
          <w:highlight w:val="none"/>
        </w:rPr>
        <w:t>知悉参加竞争性磋商的风险，我方承诺接受磋商文件的全部条款且无任何异议。</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一、我方同意在磋商文件中规定的提交首次响应文件截止时间起</w:t>
      </w:r>
      <w:r>
        <w:rPr>
          <w:rFonts w:ascii="宋体" w:hAnsi="宋体" w:cs="宋体"/>
          <w:color w:val="auto"/>
          <w:highlight w:val="none"/>
          <w:u w:val="single"/>
        </w:rPr>
        <w:t xml:space="preserve">  90  </w:t>
      </w:r>
      <w:r>
        <w:rPr>
          <w:rFonts w:hint="eastAsia" w:ascii="宋体" w:hAnsi="宋体" w:cs="宋体"/>
          <w:color w:val="auto"/>
          <w:highlight w:val="none"/>
        </w:rPr>
        <w:t>日内</w:t>
      </w:r>
      <w:r>
        <w:rPr>
          <w:rFonts w:ascii="宋体" w:hAnsi="宋体" w:cs="宋体"/>
          <w:color w:val="auto"/>
          <w:highlight w:val="none"/>
        </w:rPr>
        <w:t>(</w:t>
      </w:r>
      <w:r>
        <w:rPr>
          <w:rFonts w:hint="eastAsia" w:ascii="宋体" w:hAnsi="宋体" w:cs="宋体"/>
          <w:color w:val="auto"/>
          <w:highlight w:val="none"/>
        </w:rPr>
        <w:t>响应文件有效期</w:t>
      </w:r>
      <w:r>
        <w:rPr>
          <w:rFonts w:ascii="宋体" w:hAnsi="宋体" w:cs="宋体"/>
          <w:color w:val="auto"/>
          <w:highlight w:val="none"/>
        </w:rPr>
        <w:t>)</w:t>
      </w:r>
      <w:r>
        <w:rPr>
          <w:rFonts w:hint="eastAsia" w:ascii="宋体" w:hAnsi="宋体" w:cs="宋体"/>
          <w:color w:val="auto"/>
          <w:highlight w:val="none"/>
        </w:rPr>
        <w:t>遵守本响应文件中的承诺且在此期限期满之前均具有法律约束力。</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二、我方提交响应文件正本一份和副本一式</w:t>
      </w:r>
      <w:r>
        <w:rPr>
          <w:rFonts w:ascii="宋体" w:hAnsi="宋体" w:cs="宋体"/>
          <w:color w:val="auto"/>
          <w:highlight w:val="none"/>
          <w:u w:val="single"/>
        </w:rPr>
        <w:t xml:space="preserve">  </w:t>
      </w:r>
      <w:r>
        <w:rPr>
          <w:rFonts w:hint="eastAsia" w:ascii="宋体" w:hAnsi="宋体" w:cs="宋体"/>
          <w:color w:val="auto"/>
          <w:highlight w:val="none"/>
          <w:u w:val="single"/>
        </w:rPr>
        <w:t>二</w:t>
      </w:r>
      <w:r>
        <w:rPr>
          <w:rFonts w:ascii="宋体" w:hAnsi="宋体" w:cs="宋体"/>
          <w:color w:val="auto"/>
          <w:highlight w:val="none"/>
          <w:u w:val="single"/>
        </w:rPr>
        <w:t xml:space="preserve">   </w:t>
      </w:r>
      <w:r>
        <w:rPr>
          <w:rFonts w:hint="eastAsia" w:ascii="宋体" w:hAnsi="宋体" w:cs="宋体"/>
          <w:color w:val="auto"/>
          <w:highlight w:val="none"/>
        </w:rPr>
        <w:t>份，并保证响应文件提供的数据和资料全部内容真实、合法、准确和完整，我们对此负责，并愿承担由此引起的法律责任。</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三、我方愿意向贵方提供任何与本项采购有关的数据、情况和技术资料。若贵方需要，我方愿意提供我方作出的一切承诺的证明资料。</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四、我方愿意按磋商文件规定和磋商小组要求重新提交响应文件。</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六、我方在此声明：</w:t>
      </w:r>
      <w:r>
        <w:rPr>
          <w:rFonts w:ascii="宋体" w:hAnsi="宋体" w:cs="宋体"/>
          <w:color w:val="auto"/>
          <w:highlight w:val="none"/>
        </w:rPr>
        <w:t xml:space="preserve"> </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（一）我方与采购人或采购代理机构不存在隶属关系或者其它利害关系。</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（二）我方与参加本项目的其它供应商不存在直接控股、管理关系，或者与其它供应商法定代表人（或者负责人）为同一人。</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（三）我方未为本项目前期准备提供设计或咨询服务。</w:t>
      </w:r>
    </w:p>
    <w:p>
      <w:pPr>
        <w:adjustRightInd w:val="0"/>
        <w:snapToGrid w:val="0"/>
        <w:spacing w:line="520" w:lineRule="exact"/>
        <w:ind w:firstLine="420" w:firstLineChars="200"/>
        <w:rPr>
          <w:rFonts w:ascii="宋体" w:hAnsi="宋体" w:cs="宋体"/>
          <w:color w:val="auto"/>
          <w:highlight w:val="none"/>
        </w:rPr>
      </w:pPr>
      <w:r>
        <w:rPr>
          <w:rFonts w:hint="eastAsia" w:ascii="宋体" w:hAnsi="宋体" w:cs="宋体"/>
          <w:color w:val="auto"/>
          <w:highlight w:val="none"/>
        </w:rPr>
        <w:t>（四）我方承诺（承诺期：成立三年以上的，为提交首次响应文件截止时间前三年内；成立不足三年的，为实际时间）：</w:t>
      </w:r>
    </w:p>
    <w:p>
      <w:pPr>
        <w:adjustRightInd w:val="0"/>
        <w:snapToGrid w:val="0"/>
        <w:spacing w:line="520" w:lineRule="exact"/>
        <w:ind w:firstLine="420" w:firstLineChars="200"/>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、我方依法缴纳了各项税费及各项社会保障资金，没有偷税、漏税及欠缴行为。</w:t>
      </w:r>
    </w:p>
    <w:p>
      <w:pPr>
        <w:adjustRightInd w:val="0"/>
        <w:snapToGrid w:val="0"/>
        <w:spacing w:line="520" w:lineRule="exact"/>
        <w:ind w:firstLine="420" w:firstLineChars="200"/>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、我方在经营活动中没有存在下列重大违法记录：</w:t>
      </w:r>
    </w:p>
    <w:p>
      <w:pPr>
        <w:adjustRightInd w:val="0"/>
        <w:snapToGrid w:val="0"/>
        <w:spacing w:line="520" w:lineRule="exact"/>
        <w:ind w:firstLine="420" w:firstLineChars="200"/>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受到刑事处罚；</w:t>
      </w:r>
    </w:p>
    <w:p>
      <w:pPr>
        <w:adjustRightInd w:val="0"/>
        <w:snapToGrid w:val="0"/>
        <w:spacing w:line="520" w:lineRule="exact"/>
        <w:ind w:firstLine="420" w:firstLineChars="200"/>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受到两百万元以上的罚款、责令停产停业、在一至三年内禁止参加政府采购活动、暂扣或者吊销许可证、暂扣或者吊销执照的行政处罚。</w:t>
      </w:r>
    </w:p>
    <w:p>
      <w:pPr>
        <w:adjustRightInd w:val="0"/>
        <w:snapToGrid w:val="0"/>
        <w:spacing w:line="520" w:lineRule="exact"/>
        <w:ind w:right="24"/>
        <w:rPr>
          <w:rFonts w:ascii="宋体" w:hAnsi="宋体" w:cs="宋体"/>
          <w:color w:val="auto"/>
          <w:szCs w:val="21"/>
          <w:highlight w:val="none"/>
        </w:rPr>
      </w:pPr>
      <w:r>
        <w:rPr>
          <w:rFonts w:hint="eastAsia" w:ascii="宋体" w:hAnsi="宋体" w:cs="宋体"/>
          <w:bCs/>
          <w:color w:val="auto"/>
          <w:szCs w:val="21"/>
          <w:highlight w:val="none"/>
        </w:rPr>
        <w:t>附件</w:t>
      </w:r>
      <w:r>
        <w:rPr>
          <w:rFonts w:ascii="宋体" w:hAnsi="宋体" w:cs="宋体"/>
          <w:bCs/>
          <w:color w:val="auto"/>
          <w:szCs w:val="21"/>
          <w:highlight w:val="none"/>
        </w:rPr>
        <w:t>1</w:t>
      </w:r>
      <w:r>
        <w:rPr>
          <w:rFonts w:hint="eastAsia" w:ascii="宋体" w:hAnsi="宋体" w:cs="宋体"/>
          <w:bCs/>
          <w:color w:val="auto"/>
          <w:szCs w:val="21"/>
          <w:highlight w:val="none"/>
        </w:rPr>
        <w:t>：</w:t>
      </w:r>
      <w:r>
        <w:rPr>
          <w:rFonts w:hint="eastAsia" w:ascii="宋体" w:hAnsi="宋体" w:cs="宋体"/>
          <w:color w:val="auto"/>
          <w:szCs w:val="21"/>
          <w:highlight w:val="none"/>
        </w:rPr>
        <w:t>法定代表人身份证明</w:t>
      </w:r>
    </w:p>
    <w:p>
      <w:pPr>
        <w:adjustRightInd w:val="0"/>
        <w:snapToGrid w:val="0"/>
        <w:spacing w:line="520" w:lineRule="exact"/>
        <w:ind w:right="24"/>
        <w:rPr>
          <w:rFonts w:ascii="宋体" w:hAnsi="宋体" w:cs="宋体"/>
          <w:color w:val="auto"/>
          <w:szCs w:val="21"/>
          <w:highlight w:val="none"/>
        </w:rPr>
      </w:pPr>
      <w:r>
        <w:rPr>
          <w:rFonts w:hint="eastAsia" w:ascii="宋体" w:hAnsi="宋体" w:cs="宋体"/>
          <w:bCs/>
          <w:color w:val="auto"/>
          <w:szCs w:val="21"/>
          <w:highlight w:val="none"/>
        </w:rPr>
        <w:t>附件</w:t>
      </w:r>
      <w:r>
        <w:rPr>
          <w:rFonts w:ascii="宋体" w:hAnsi="宋体" w:cs="宋体"/>
          <w:bCs/>
          <w:color w:val="auto"/>
          <w:szCs w:val="21"/>
          <w:highlight w:val="none"/>
        </w:rPr>
        <w:t>2</w:t>
      </w:r>
      <w:r>
        <w:rPr>
          <w:rFonts w:hint="eastAsia" w:ascii="宋体" w:hAnsi="宋体" w:cs="宋体"/>
          <w:color w:val="auto"/>
          <w:szCs w:val="21"/>
          <w:highlight w:val="none"/>
        </w:rPr>
        <w:t>：法定代表人授权书</w:t>
      </w:r>
    </w:p>
    <w:p>
      <w:pPr>
        <w:adjustRightInd w:val="0"/>
        <w:snapToGrid w:val="0"/>
        <w:spacing w:line="520" w:lineRule="exact"/>
        <w:rPr>
          <w:rFonts w:ascii="宋体" w:hAnsi="宋体" w:cs="宋体"/>
          <w:color w:val="auto"/>
          <w:highlight w:val="none"/>
        </w:rPr>
      </w:pPr>
    </w:p>
    <w:p>
      <w:pPr>
        <w:adjustRightInd w:val="0"/>
        <w:snapToGrid w:val="0"/>
        <w:spacing w:line="520" w:lineRule="exact"/>
        <w:rPr>
          <w:rFonts w:ascii="宋体" w:hAnsi="宋体" w:cs="宋体"/>
          <w:color w:val="auto"/>
          <w:highlight w:val="none"/>
        </w:rPr>
      </w:pPr>
      <w:r>
        <w:rPr>
          <w:rFonts w:hint="eastAsia" w:ascii="宋体" w:hAnsi="宋体" w:cs="宋体"/>
          <w:color w:val="auto"/>
          <w:highlight w:val="none"/>
        </w:rPr>
        <w:t>供应商名称</w:t>
      </w:r>
      <w:r>
        <w:rPr>
          <w:rFonts w:ascii="宋体" w:hAnsi="宋体" w:cs="宋体"/>
          <w:color w:val="auto"/>
          <w:highlight w:val="none"/>
        </w:rPr>
        <w:t>(</w:t>
      </w:r>
      <w:r>
        <w:rPr>
          <w:rFonts w:hint="eastAsia" w:ascii="宋体" w:hAnsi="宋体" w:cs="宋体"/>
          <w:color w:val="auto"/>
          <w:highlight w:val="none"/>
        </w:rPr>
        <w:t>盖单位章</w:t>
      </w:r>
      <w:r>
        <w:rPr>
          <w:rFonts w:ascii="宋体" w:hAnsi="宋体" w:cs="宋体"/>
          <w:color w:val="auto"/>
          <w:highlight w:val="none"/>
        </w:rPr>
        <w:t>)</w:t>
      </w:r>
      <w:r>
        <w:rPr>
          <w:rFonts w:hint="eastAsia" w:ascii="宋体" w:hAnsi="宋体" w:cs="宋体"/>
          <w:color w:val="auto"/>
          <w:highlight w:val="none"/>
        </w:rPr>
        <w:t>：</w:t>
      </w: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ascii="宋体" w:hAnsi="宋体" w:cs="宋体"/>
          <w:color w:val="auto"/>
          <w:szCs w:val="21"/>
          <w:highlight w:val="none"/>
        </w:rPr>
        <w:t xml:space="preserve"> (</w:t>
      </w:r>
      <w:r>
        <w:rPr>
          <w:rFonts w:hint="eastAsia" w:ascii="宋体" w:hAnsi="宋体" w:cs="宋体"/>
          <w:color w:val="auto"/>
          <w:szCs w:val="21"/>
          <w:highlight w:val="none"/>
        </w:rPr>
        <w:t>签字</w:t>
      </w:r>
      <w:r>
        <w:rPr>
          <w:rFonts w:ascii="宋体" w:hAnsi="宋体" w:cs="宋体"/>
          <w:color w:val="auto"/>
          <w:szCs w:val="21"/>
          <w:highlight w:val="none"/>
        </w:rPr>
        <w:t>)</w:t>
      </w:r>
      <w:r>
        <w:rPr>
          <w:rFonts w:hint="eastAsia" w:ascii="宋体" w:hAnsi="宋体" w:cs="宋体"/>
          <w:color w:val="auto"/>
          <w:szCs w:val="21"/>
          <w:highlight w:val="none"/>
        </w:rPr>
        <w:t>：</w:t>
      </w:r>
      <w:r>
        <w:rPr>
          <w:rFonts w:ascii="宋体" w:hAnsi="宋体" w:cs="宋体"/>
          <w:color w:val="auto"/>
          <w:szCs w:val="21"/>
          <w:highlight w:val="none"/>
          <w:u w:val="single"/>
        </w:rPr>
        <w:t xml:space="preserve">            </w:t>
      </w: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日</w:t>
      </w:r>
      <w:r>
        <w:rPr>
          <w:rFonts w:ascii="宋体" w:hAnsi="宋体" w:cs="宋体"/>
          <w:color w:val="auto"/>
          <w:szCs w:val="21"/>
          <w:highlight w:val="none"/>
        </w:rPr>
        <w:t xml:space="preserve">     </w:t>
      </w:r>
      <w:r>
        <w:rPr>
          <w:rFonts w:hint="eastAsia" w:ascii="宋体" w:hAnsi="宋体" w:cs="宋体"/>
          <w:color w:val="auto"/>
          <w:szCs w:val="21"/>
          <w:highlight w:val="none"/>
        </w:rPr>
        <w:t>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adjustRightInd w:val="0"/>
        <w:snapToGrid w:val="0"/>
        <w:spacing w:line="360" w:lineRule="auto"/>
        <w:ind w:right="24"/>
        <w:rPr>
          <w:rFonts w:ascii="宋体" w:hAnsi="宋体"/>
          <w:bCs/>
          <w:color w:val="auto"/>
          <w:szCs w:val="21"/>
          <w:highlight w:val="none"/>
        </w:rPr>
      </w:pPr>
      <w:r>
        <w:rPr>
          <w:rFonts w:ascii="宋体" w:hAnsi="宋体" w:cs="宋体"/>
          <w:bCs/>
          <w:color w:val="auto"/>
          <w:sz w:val="30"/>
          <w:szCs w:val="30"/>
          <w:highlight w:val="none"/>
        </w:rPr>
        <w:br w:type="page"/>
      </w:r>
      <w:r>
        <w:rPr>
          <w:rFonts w:ascii="宋体" w:hAnsi="宋体"/>
          <w:bCs/>
          <w:color w:val="auto"/>
          <w:szCs w:val="21"/>
          <w:highlight w:val="none"/>
        </w:rPr>
        <w:t xml:space="preserve"> </w:t>
      </w:r>
    </w:p>
    <w:p>
      <w:pPr>
        <w:spacing w:line="52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供应商资格承诺函</w:t>
      </w:r>
    </w:p>
    <w:p>
      <w:pPr>
        <w:spacing w:after="240" w:line="259" w:lineRule="auto"/>
        <w:ind w:left="420" w:leftChars="200" w:firstLine="420" w:firstLineChars="200"/>
        <w:rPr>
          <w:rFonts w:ascii="宋体" w:hAnsi="宋体"/>
          <w:color w:val="auto"/>
          <w:highlight w:val="none"/>
        </w:rPr>
      </w:pPr>
    </w:p>
    <w:p>
      <w:pPr>
        <w:adjustRightInd w:val="0"/>
        <w:snapToGrid w:val="0"/>
        <w:spacing w:after="160" w:line="480" w:lineRule="auto"/>
        <w:ind w:firstLine="420" w:firstLineChars="200"/>
        <w:jc w:val="left"/>
        <w:rPr>
          <w:rFonts w:ascii="宋体" w:hAnsi="宋体"/>
          <w:bCs/>
          <w:color w:val="auto"/>
          <w:highlight w:val="none"/>
        </w:rPr>
      </w:pPr>
      <w:r>
        <w:rPr>
          <w:rFonts w:hint="eastAsia" w:ascii="宋体" w:hAnsi="宋体"/>
          <w:bCs/>
          <w:color w:val="auto"/>
          <w:highlight w:val="none"/>
        </w:rPr>
        <w:t>本公司独立承担民事责任、具有良好的商业信誉和健全的财务会计制度、依法缴纳税收和社会保障资金，具有履行合同所必需的设备和专业技术能力，在前三年的经营活动中无重大违法记录，未列入严重失信行为名单，符合供应商的基本资格要求。</w:t>
      </w:r>
    </w:p>
    <w:p>
      <w:pPr>
        <w:adjustRightInd w:val="0"/>
        <w:snapToGrid w:val="0"/>
        <w:spacing w:after="160" w:line="480" w:lineRule="auto"/>
        <w:jc w:val="left"/>
        <w:rPr>
          <w:rFonts w:ascii="宋体" w:hAnsi="宋体"/>
          <w:bCs/>
          <w:color w:val="auto"/>
          <w:highlight w:val="none"/>
        </w:rPr>
      </w:pPr>
    </w:p>
    <w:p>
      <w:pPr>
        <w:adjustRightInd w:val="0"/>
        <w:snapToGrid w:val="0"/>
        <w:spacing w:after="160" w:line="480" w:lineRule="auto"/>
        <w:ind w:firstLine="5565" w:firstLineChars="2650"/>
        <w:jc w:val="left"/>
        <w:rPr>
          <w:rFonts w:ascii="宋体" w:hAnsi="宋体"/>
          <w:bCs/>
          <w:color w:val="auto"/>
          <w:highlight w:val="none"/>
        </w:rPr>
      </w:pPr>
    </w:p>
    <w:p>
      <w:pPr>
        <w:adjustRightInd w:val="0"/>
        <w:snapToGrid w:val="0"/>
        <w:spacing w:after="160" w:line="480" w:lineRule="auto"/>
        <w:ind w:firstLine="5565" w:firstLineChars="2650"/>
        <w:jc w:val="left"/>
        <w:rPr>
          <w:rFonts w:ascii="宋体" w:hAnsi="宋体"/>
          <w:bCs/>
          <w:color w:val="auto"/>
          <w:highlight w:val="none"/>
        </w:rPr>
      </w:pPr>
      <w:r>
        <w:rPr>
          <w:rFonts w:hint="eastAsia" w:ascii="宋体" w:hAnsi="宋体"/>
          <w:bCs/>
          <w:color w:val="auto"/>
          <w:highlight w:val="none"/>
        </w:rPr>
        <w:t>公司（单位）名称（盖章）</w:t>
      </w:r>
    </w:p>
    <w:p>
      <w:pPr>
        <w:adjustRightInd w:val="0"/>
        <w:snapToGrid w:val="0"/>
        <w:spacing w:after="160" w:line="480" w:lineRule="auto"/>
        <w:ind w:firstLine="6195" w:firstLineChars="2950"/>
        <w:jc w:val="left"/>
        <w:rPr>
          <w:rFonts w:ascii="宋体" w:hAnsi="宋体"/>
          <w:bCs/>
          <w:color w:val="auto"/>
          <w:highlight w:val="none"/>
        </w:rPr>
      </w:pPr>
      <w:r>
        <w:rPr>
          <w:rFonts w:hint="eastAsia" w:ascii="宋体" w:hAnsi="宋体"/>
          <w:bCs/>
          <w:color w:val="auto"/>
          <w:highlight w:val="none"/>
        </w:rPr>
        <w:t>年</w:t>
      </w:r>
      <w:r>
        <w:rPr>
          <w:rFonts w:ascii="宋体" w:hAnsi="宋体"/>
          <w:bCs/>
          <w:color w:val="auto"/>
          <w:highlight w:val="none"/>
        </w:rPr>
        <w:t xml:space="preserve">  </w:t>
      </w:r>
      <w:r>
        <w:rPr>
          <w:rFonts w:hint="eastAsia" w:ascii="宋体" w:hAnsi="宋体"/>
          <w:bCs/>
          <w:color w:val="auto"/>
          <w:highlight w:val="none"/>
        </w:rPr>
        <w:t>月</w:t>
      </w:r>
      <w:r>
        <w:rPr>
          <w:rFonts w:ascii="宋体" w:hAnsi="宋体"/>
          <w:bCs/>
          <w:color w:val="auto"/>
          <w:highlight w:val="none"/>
        </w:rPr>
        <w:t xml:space="preserve">  </w:t>
      </w:r>
      <w:r>
        <w:rPr>
          <w:rFonts w:hint="eastAsia" w:ascii="宋体" w:hAnsi="宋体"/>
          <w:bCs/>
          <w:color w:val="auto"/>
          <w:highlight w:val="none"/>
        </w:rPr>
        <w:t>日</w:t>
      </w:r>
    </w:p>
    <w:p>
      <w:pPr>
        <w:adjustRightInd w:val="0"/>
        <w:snapToGrid w:val="0"/>
        <w:spacing w:line="520" w:lineRule="exact"/>
        <w:ind w:right="24"/>
        <w:rPr>
          <w:rFonts w:ascii="宋体" w:hAnsi="宋体" w:cs="宋体"/>
          <w:bCs/>
          <w:color w:val="auto"/>
          <w:sz w:val="30"/>
          <w:szCs w:val="30"/>
          <w:highlight w:val="none"/>
        </w:rPr>
      </w:pPr>
    </w:p>
    <w:p>
      <w:pPr>
        <w:adjustRightInd w:val="0"/>
        <w:snapToGrid w:val="0"/>
        <w:spacing w:line="520" w:lineRule="exact"/>
        <w:ind w:right="24"/>
        <w:rPr>
          <w:rFonts w:ascii="宋体" w:hAnsi="宋体" w:cs="宋体"/>
          <w:bCs/>
          <w:color w:val="auto"/>
          <w:sz w:val="30"/>
          <w:szCs w:val="30"/>
          <w:highlight w:val="none"/>
        </w:rPr>
      </w:pPr>
      <w:r>
        <w:rPr>
          <w:rFonts w:ascii="宋体" w:hAnsi="宋体" w:cs="宋体"/>
          <w:bCs/>
          <w:color w:val="auto"/>
          <w:sz w:val="30"/>
          <w:szCs w:val="30"/>
          <w:highlight w:val="none"/>
        </w:rPr>
        <w:br w:type="page"/>
      </w:r>
      <w:r>
        <w:rPr>
          <w:rFonts w:hint="eastAsia" w:ascii="宋体" w:hAnsi="宋体" w:cs="宋体"/>
          <w:bCs/>
          <w:color w:val="auto"/>
          <w:sz w:val="30"/>
          <w:szCs w:val="30"/>
          <w:highlight w:val="none"/>
        </w:rPr>
        <w:t>附件</w:t>
      </w:r>
      <w:r>
        <w:rPr>
          <w:rFonts w:ascii="宋体" w:hAnsi="宋体" w:cs="宋体"/>
          <w:bCs/>
          <w:color w:val="auto"/>
          <w:sz w:val="30"/>
          <w:szCs w:val="30"/>
          <w:highlight w:val="none"/>
        </w:rPr>
        <w:t>1</w:t>
      </w:r>
    </w:p>
    <w:p>
      <w:pPr>
        <w:spacing w:line="52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法定代表人身份证明</w:t>
      </w:r>
    </w:p>
    <w:p>
      <w:pPr>
        <w:snapToGrid w:val="0"/>
        <w:spacing w:line="520" w:lineRule="exact"/>
        <w:rPr>
          <w:rFonts w:ascii="宋体" w:hAnsi="宋体" w:cs="宋体"/>
          <w:color w:val="auto"/>
          <w:szCs w:val="21"/>
          <w:highlight w:val="none"/>
        </w:rPr>
      </w:pP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szCs w:val="21"/>
          <w:highlight w:val="none"/>
        </w:rPr>
        <w:t>供应商</w:t>
      </w:r>
      <w:r>
        <w:rPr>
          <w:rFonts w:hint="eastAsia" w:ascii="宋体" w:hAnsi="宋体" w:cs="宋体"/>
          <w:color w:val="auto"/>
          <w:kern w:val="0"/>
          <w:szCs w:val="21"/>
          <w:highlight w:val="none"/>
        </w:rPr>
        <w:t>名称：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注册号：</w:t>
      </w:r>
      <w:r>
        <w:rPr>
          <w:rFonts w:ascii="宋体" w:hAnsi="宋体" w:cs="宋体"/>
          <w:color w:val="auto"/>
          <w:kern w:val="0"/>
          <w:szCs w:val="21"/>
          <w:highlight w:val="none"/>
          <w:u w:val="single"/>
        </w:rPr>
        <w:t xml:space="preserve">                  </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注册地址：</w:t>
      </w:r>
      <w:r>
        <w:rPr>
          <w:rFonts w:ascii="宋体" w:hAnsi="宋体" w:cs="宋体"/>
          <w:color w:val="auto"/>
          <w:kern w:val="0"/>
          <w:szCs w:val="21"/>
          <w:highlight w:val="none"/>
          <w:u w:val="single"/>
        </w:rPr>
        <w:t xml:space="preserve">                                    </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成立时间：</w:t>
      </w:r>
      <w:r>
        <w:rPr>
          <w:rFonts w:ascii="宋体" w:hAnsi="宋体" w:cs="宋体"/>
          <w:color w:val="auto"/>
          <w:kern w:val="0"/>
          <w:szCs w:val="21"/>
          <w:highlight w:val="none"/>
        </w:rPr>
        <w:t xml:space="preserve"> </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ascii="宋体" w:hAnsi="宋体" w:cs="宋体"/>
          <w:color w:val="auto"/>
          <w:kern w:val="0"/>
          <w:szCs w:val="21"/>
          <w:highlight w:val="none"/>
        </w:rPr>
        <w:t xml:space="preserve"> </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utoSpaceDE w:val="0"/>
        <w:autoSpaceDN w:val="0"/>
        <w:adjustRightInd w:val="0"/>
        <w:snapToGrid w:val="0"/>
        <w:spacing w:line="520" w:lineRule="exact"/>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经营期限：</w:t>
      </w:r>
      <w:r>
        <w:rPr>
          <w:rFonts w:ascii="宋体" w:hAnsi="宋体" w:cs="宋体"/>
          <w:color w:val="auto"/>
          <w:kern w:val="0"/>
          <w:szCs w:val="21"/>
          <w:highlight w:val="none"/>
          <w:u w:val="single"/>
        </w:rPr>
        <w:t xml:space="preserve">                  </w:t>
      </w:r>
    </w:p>
    <w:p>
      <w:pPr>
        <w:autoSpaceDE w:val="0"/>
        <w:autoSpaceDN w:val="0"/>
        <w:adjustRightInd w:val="0"/>
        <w:snapToGrid w:val="0"/>
        <w:spacing w:line="520" w:lineRule="exact"/>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经营范围：主营：</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；兼营：</w:t>
      </w:r>
      <w:r>
        <w:rPr>
          <w:rFonts w:ascii="宋体" w:hAnsi="宋体" w:cs="宋体"/>
          <w:color w:val="auto"/>
          <w:kern w:val="0"/>
          <w:szCs w:val="21"/>
          <w:highlight w:val="none"/>
          <w:u w:val="single"/>
        </w:rPr>
        <w:t xml:space="preserve">              </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姓名：</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性别：</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年龄：</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系</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szCs w:val="21"/>
          <w:highlight w:val="none"/>
        </w:rPr>
        <w:t>供应商</w:t>
      </w:r>
      <w:r>
        <w:rPr>
          <w:rFonts w:hint="eastAsia" w:ascii="宋体" w:hAnsi="宋体" w:cs="宋体"/>
          <w:color w:val="auto"/>
          <w:kern w:val="0"/>
          <w:szCs w:val="21"/>
          <w:highlight w:val="none"/>
        </w:rPr>
        <w:t>名称）的法定代表人。</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line="520" w:lineRule="exact"/>
        <w:jc w:val="left"/>
        <w:rPr>
          <w:rFonts w:ascii="宋体" w:hAnsi="宋体" w:cs="宋体"/>
          <w:color w:val="auto"/>
          <w:kern w:val="0"/>
          <w:szCs w:val="21"/>
          <w:highlight w:val="none"/>
        </w:rPr>
      </w:pPr>
      <w:r>
        <w:rPr>
          <w:rFonts w:hint="eastAsia" w:ascii="宋体" w:hAnsi="宋体" w:cs="宋体"/>
          <w:color w:val="auto"/>
          <w:szCs w:val="21"/>
          <w:highlight w:val="none"/>
        </w:rPr>
        <w:t>附：法定代表人身份证复印件</w:t>
      </w:r>
    </w:p>
    <w:p>
      <w:pPr>
        <w:snapToGrid w:val="0"/>
        <w:spacing w:line="520" w:lineRule="exact"/>
        <w:rPr>
          <w:rFonts w:ascii="宋体" w:hAnsi="宋体" w:cs="宋体"/>
          <w:color w:val="auto"/>
          <w:szCs w:val="21"/>
          <w:highlight w:val="none"/>
        </w:rPr>
      </w:pPr>
    </w:p>
    <w:p>
      <w:pPr>
        <w:snapToGrid w:val="0"/>
        <w:spacing w:line="520" w:lineRule="exact"/>
        <w:rPr>
          <w:rFonts w:ascii="宋体" w:hAnsi="宋体" w:cs="宋体"/>
          <w:color w:val="auto"/>
          <w:szCs w:val="21"/>
          <w:highlight w:val="none"/>
        </w:rPr>
      </w:pPr>
    </w:p>
    <w:p>
      <w:pPr>
        <w:snapToGrid w:val="0"/>
        <w:spacing w:line="520" w:lineRule="exact"/>
        <w:rPr>
          <w:rFonts w:ascii="宋体" w:hAnsi="宋体" w:cs="宋体"/>
          <w:color w:val="auto"/>
          <w:szCs w:val="21"/>
          <w:highlight w:val="none"/>
        </w:rPr>
      </w:pPr>
    </w:p>
    <w:p>
      <w:pPr>
        <w:snapToGrid w:val="0"/>
        <w:spacing w:line="520" w:lineRule="exact"/>
        <w:rPr>
          <w:rFonts w:ascii="宋体" w:hAnsi="宋体" w:cs="宋体"/>
          <w:color w:val="auto"/>
          <w:szCs w:val="21"/>
          <w:highlight w:val="none"/>
        </w:rPr>
      </w:pPr>
    </w:p>
    <w:p>
      <w:pPr>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r>
        <w:rPr>
          <w:rFonts w:hint="eastAsia" w:ascii="宋体" w:hAnsi="宋体" w:cs="宋体"/>
          <w:color w:val="auto"/>
          <w:szCs w:val="21"/>
          <w:highlight w:val="none"/>
        </w:rPr>
        <w:t>供应商名称（盖单位章）：</w:t>
      </w:r>
    </w:p>
    <w:p>
      <w:pPr>
        <w:adjustRightInd w:val="0"/>
        <w:snapToGrid w:val="0"/>
        <w:spacing w:line="520" w:lineRule="exact"/>
        <w:ind w:right="420"/>
        <w:rPr>
          <w:rFonts w:ascii="宋体" w:hAnsi="宋体" w:cs="宋体"/>
          <w:color w:val="auto"/>
          <w:szCs w:val="21"/>
          <w:highlight w:val="none"/>
        </w:rPr>
      </w:pPr>
      <w:r>
        <w:rPr>
          <w:rFonts w:hint="eastAsia" w:ascii="宋体" w:hAnsi="宋体" w:cs="宋体"/>
          <w:color w:val="auto"/>
          <w:szCs w:val="21"/>
          <w:highlight w:val="none"/>
        </w:rPr>
        <w:t>日期：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rPr>
        <w:t xml:space="preserve">      </w:t>
      </w:r>
    </w:p>
    <w:p>
      <w:pPr>
        <w:adjustRightInd w:val="0"/>
        <w:snapToGrid w:val="0"/>
        <w:spacing w:before="156" w:beforeLines="50" w:line="520" w:lineRule="exact"/>
        <w:rPr>
          <w:rFonts w:ascii="宋体" w:hAnsi="宋体" w:cs="宋体"/>
          <w:color w:val="auto"/>
          <w:szCs w:val="21"/>
          <w:highlight w:val="none"/>
        </w:rPr>
      </w:pPr>
    </w:p>
    <w:p>
      <w:pPr>
        <w:adjustRightInd w:val="0"/>
        <w:snapToGrid w:val="0"/>
        <w:spacing w:before="156" w:beforeLines="50" w:line="520" w:lineRule="exact"/>
        <w:rPr>
          <w:rFonts w:ascii="宋体" w:hAnsi="宋体" w:cs="宋体"/>
          <w:color w:val="auto"/>
          <w:szCs w:val="21"/>
          <w:highlight w:val="none"/>
        </w:rPr>
      </w:pPr>
    </w:p>
    <w:p>
      <w:pPr>
        <w:adjustRightInd w:val="0"/>
        <w:snapToGrid w:val="0"/>
        <w:spacing w:before="156" w:beforeLines="50" w:line="520" w:lineRule="exact"/>
        <w:rPr>
          <w:rFonts w:ascii="宋体" w:hAnsi="宋体" w:cs="宋体"/>
          <w:bCs/>
          <w:color w:val="auto"/>
          <w:sz w:val="30"/>
          <w:szCs w:val="30"/>
          <w:highlight w:val="none"/>
        </w:rPr>
      </w:pPr>
    </w:p>
    <w:p>
      <w:pPr>
        <w:adjustRightInd w:val="0"/>
        <w:snapToGrid w:val="0"/>
        <w:spacing w:before="156" w:beforeLines="50" w:line="520" w:lineRule="exact"/>
        <w:rPr>
          <w:rFonts w:ascii="宋体" w:hAnsi="宋体" w:cs="宋体"/>
          <w:bCs/>
          <w:color w:val="auto"/>
          <w:sz w:val="30"/>
          <w:szCs w:val="30"/>
          <w:highlight w:val="none"/>
        </w:rPr>
      </w:pPr>
    </w:p>
    <w:p>
      <w:pPr>
        <w:adjustRightInd w:val="0"/>
        <w:snapToGrid w:val="0"/>
        <w:spacing w:before="156" w:beforeLines="50" w:line="520" w:lineRule="exact"/>
        <w:rPr>
          <w:rFonts w:ascii="宋体" w:hAnsi="宋体" w:cs="宋体"/>
          <w:bCs/>
          <w:color w:val="auto"/>
          <w:sz w:val="30"/>
          <w:szCs w:val="30"/>
          <w:highlight w:val="none"/>
        </w:rPr>
      </w:pPr>
    </w:p>
    <w:p>
      <w:pPr>
        <w:adjustRightInd w:val="0"/>
        <w:snapToGrid w:val="0"/>
        <w:spacing w:before="156" w:beforeLines="50" w:line="520" w:lineRule="exact"/>
        <w:rPr>
          <w:rFonts w:ascii="宋体" w:hAnsi="宋体" w:cs="宋体"/>
          <w:color w:val="auto"/>
          <w:sz w:val="30"/>
          <w:szCs w:val="30"/>
          <w:highlight w:val="none"/>
        </w:rPr>
      </w:pPr>
      <w:r>
        <w:rPr>
          <w:rFonts w:hint="eastAsia" w:ascii="宋体" w:hAnsi="宋体" w:cs="宋体"/>
          <w:bCs/>
          <w:color w:val="auto"/>
          <w:sz w:val="30"/>
          <w:szCs w:val="30"/>
          <w:highlight w:val="none"/>
        </w:rPr>
        <w:t>附件</w:t>
      </w:r>
      <w:r>
        <w:rPr>
          <w:rFonts w:ascii="宋体" w:hAnsi="宋体" w:cs="宋体"/>
          <w:bCs/>
          <w:color w:val="auto"/>
          <w:sz w:val="30"/>
          <w:szCs w:val="30"/>
          <w:highlight w:val="none"/>
        </w:rPr>
        <w:t>2</w:t>
      </w:r>
    </w:p>
    <w:p>
      <w:pPr>
        <w:spacing w:line="52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法定代表人授权委托书</w:t>
      </w:r>
    </w:p>
    <w:p>
      <w:pPr>
        <w:adjustRightInd w:val="0"/>
        <w:snapToGrid w:val="0"/>
        <w:spacing w:line="520" w:lineRule="exact"/>
        <w:jc w:val="center"/>
        <w:rPr>
          <w:rFonts w:ascii="宋体" w:hAnsi="宋体" w:cs="宋体"/>
          <w:b/>
          <w:color w:val="auto"/>
          <w:sz w:val="28"/>
          <w:szCs w:val="28"/>
          <w:highlight w:val="none"/>
        </w:rPr>
      </w:pPr>
    </w:p>
    <w:p>
      <w:pPr>
        <w:autoSpaceDE w:val="0"/>
        <w:autoSpaceDN w:val="0"/>
        <w:adjustRightInd w:val="0"/>
        <w:snapToGrid w:val="0"/>
        <w:spacing w:before="156" w:beforeLines="50"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本人</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（姓名、职务）系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w:t>
      </w:r>
      <w:r>
        <w:rPr>
          <w:rFonts w:hint="eastAsia" w:ascii="宋体" w:hAnsi="宋体" w:cs="宋体"/>
          <w:color w:val="auto"/>
          <w:szCs w:val="21"/>
          <w:highlight w:val="none"/>
        </w:rPr>
        <w:t>供应商</w:t>
      </w:r>
      <w:r>
        <w:rPr>
          <w:rFonts w:hint="eastAsia" w:ascii="宋体" w:hAnsi="宋体" w:cs="宋体"/>
          <w:color w:val="auto"/>
          <w:kern w:val="0"/>
          <w:szCs w:val="21"/>
          <w:highlight w:val="none"/>
        </w:rPr>
        <w:t>名称）的法定代表人，现授权</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（姓名、职务）为我方代理人。代理人根据授权，以我方名义：</w:t>
      </w:r>
      <w:r>
        <w:rPr>
          <w:rFonts w:ascii="宋体" w:hAnsi="宋体" w:cs="宋体"/>
          <w:color w:val="auto"/>
          <w:kern w:val="0"/>
          <w:szCs w:val="21"/>
          <w:highlight w:val="none"/>
        </w:rPr>
        <w:t>(1)</w:t>
      </w:r>
      <w:r>
        <w:rPr>
          <w:rFonts w:hint="eastAsia" w:ascii="宋体" w:hAnsi="宋体" w:cs="宋体"/>
          <w:color w:val="auto"/>
          <w:kern w:val="0"/>
          <w:szCs w:val="21"/>
          <w:highlight w:val="none"/>
        </w:rPr>
        <w:t>签署、澄清、补正、修改、撤回、提交</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（项目名称、采购代理编号）响应文件；</w:t>
      </w:r>
      <w:r>
        <w:rPr>
          <w:rFonts w:ascii="宋体" w:hAnsi="宋体" w:cs="宋体"/>
          <w:color w:val="auto"/>
          <w:kern w:val="0"/>
          <w:szCs w:val="21"/>
          <w:highlight w:val="none"/>
        </w:rPr>
        <w:t>(2)</w:t>
      </w:r>
      <w:r>
        <w:rPr>
          <w:rFonts w:hint="eastAsia" w:ascii="宋体" w:hAnsi="宋体" w:cs="宋体"/>
          <w:color w:val="auto"/>
          <w:kern w:val="0"/>
          <w:szCs w:val="21"/>
          <w:highlight w:val="none"/>
        </w:rPr>
        <w:t>签署并重新提交响应文件；</w:t>
      </w:r>
      <w:r>
        <w:rPr>
          <w:rFonts w:ascii="宋体" w:hAnsi="宋体" w:cs="宋体"/>
          <w:color w:val="auto"/>
          <w:kern w:val="0"/>
          <w:szCs w:val="21"/>
          <w:highlight w:val="none"/>
        </w:rPr>
        <w:t>(3)</w:t>
      </w:r>
      <w:r>
        <w:rPr>
          <w:rFonts w:hint="eastAsia" w:ascii="宋体" w:hAnsi="宋体" w:cs="宋体"/>
          <w:color w:val="auto"/>
          <w:kern w:val="0"/>
          <w:szCs w:val="21"/>
          <w:highlight w:val="none"/>
        </w:rPr>
        <w:t>签订合同和处理有关事宜，其法律后果由我方承担；（</w:t>
      </w:r>
      <w:r>
        <w:rPr>
          <w:rFonts w:ascii="宋体" w:hAnsi="宋体" w:cs="宋体"/>
          <w:color w:val="auto"/>
          <w:kern w:val="0"/>
          <w:szCs w:val="21"/>
          <w:highlight w:val="none"/>
        </w:rPr>
        <w:t>4</w:t>
      </w:r>
      <w:r>
        <w:rPr>
          <w:rFonts w:hint="eastAsia" w:ascii="宋体" w:hAnsi="宋体" w:cs="宋体"/>
          <w:color w:val="auto"/>
          <w:kern w:val="0"/>
          <w:szCs w:val="21"/>
          <w:highlight w:val="none"/>
        </w:rPr>
        <w:t>）询问、质疑、投诉等相关事项，其法律后果由我方承担。</w:t>
      </w:r>
    </w:p>
    <w:p>
      <w:pPr>
        <w:autoSpaceDE w:val="0"/>
        <w:autoSpaceDN w:val="0"/>
        <w:adjustRightInd w:val="0"/>
        <w:snapToGrid w:val="0"/>
        <w:spacing w:before="156" w:beforeLines="50" w:line="5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委托期限：</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w:t>
      </w:r>
    </w:p>
    <w:p>
      <w:pPr>
        <w:spacing w:line="520" w:lineRule="exact"/>
        <w:ind w:firstLine="435"/>
        <w:rPr>
          <w:rFonts w:ascii="宋体" w:hAnsi="宋体" w:cs="宋体"/>
          <w:color w:val="auto"/>
          <w:kern w:val="0"/>
          <w:szCs w:val="21"/>
          <w:highlight w:val="none"/>
        </w:rPr>
      </w:pPr>
      <w:r>
        <w:rPr>
          <w:rFonts w:hint="eastAsia" w:ascii="宋体" w:hAnsi="宋体" w:cs="宋体"/>
          <w:color w:val="auto"/>
          <w:kern w:val="0"/>
          <w:szCs w:val="21"/>
          <w:highlight w:val="none"/>
        </w:rPr>
        <w:t>代理人无转委托权。</w:t>
      </w:r>
    </w:p>
    <w:p>
      <w:pPr>
        <w:spacing w:line="520" w:lineRule="exact"/>
        <w:ind w:firstLine="435"/>
        <w:rPr>
          <w:rFonts w:ascii="宋体" w:hAnsi="宋体" w:cs="宋体"/>
          <w:color w:val="auto"/>
          <w:szCs w:val="21"/>
          <w:highlight w:val="none"/>
        </w:rPr>
      </w:pPr>
      <w:r>
        <w:rPr>
          <w:rFonts w:hint="eastAsia" w:ascii="宋体" w:hAnsi="宋体" w:cs="宋体"/>
          <w:color w:val="auto"/>
          <w:szCs w:val="21"/>
          <w:highlight w:val="none"/>
        </w:rPr>
        <w:t>本授权书于</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日签字生效，特此声明。</w:t>
      </w:r>
    </w:p>
    <w:p>
      <w:pPr>
        <w:adjustRightInd w:val="0"/>
        <w:snapToGrid w:val="0"/>
        <w:spacing w:before="156" w:beforeLines="50"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附：委托代理人身份证复印件及法定代表人身份证明</w:t>
      </w:r>
      <w:r>
        <w:rPr>
          <w:rFonts w:ascii="宋体" w:hAnsi="宋体" w:cs="宋体"/>
          <w:color w:val="auto"/>
          <w:szCs w:val="21"/>
          <w:highlight w:val="none"/>
        </w:rPr>
        <w:t>(</w:t>
      </w:r>
      <w:r>
        <w:rPr>
          <w:rFonts w:hint="eastAsia" w:ascii="宋体" w:hAnsi="宋体" w:cs="宋体"/>
          <w:color w:val="auto"/>
          <w:szCs w:val="21"/>
          <w:highlight w:val="none"/>
        </w:rPr>
        <w:t>附件</w:t>
      </w:r>
      <w:r>
        <w:rPr>
          <w:rFonts w:ascii="宋体" w:hAnsi="宋体" w:cs="宋体"/>
          <w:color w:val="auto"/>
          <w:szCs w:val="21"/>
          <w:highlight w:val="none"/>
        </w:rPr>
        <w:t>1</w:t>
      </w:r>
      <w:r>
        <w:rPr>
          <w:rFonts w:hint="eastAsia" w:ascii="宋体" w:hAnsi="宋体" w:cs="宋体"/>
          <w:color w:val="auto"/>
          <w:szCs w:val="21"/>
          <w:highlight w:val="none"/>
        </w:rPr>
        <w:t>，原件</w:t>
      </w:r>
      <w:r>
        <w:rPr>
          <w:rFonts w:ascii="宋体" w:hAnsi="宋体" w:cs="宋体"/>
          <w:color w:val="auto"/>
          <w:szCs w:val="21"/>
          <w:highlight w:val="none"/>
        </w:rPr>
        <w:t>)</w:t>
      </w: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p>
    <w:p>
      <w:pPr>
        <w:adjustRightInd w:val="0"/>
        <w:snapToGrid w:val="0"/>
        <w:spacing w:line="520" w:lineRule="exact"/>
        <w:ind w:right="420"/>
        <w:rPr>
          <w:rFonts w:ascii="宋体" w:hAnsi="宋体" w:cs="宋体"/>
          <w:color w:val="auto"/>
          <w:szCs w:val="21"/>
          <w:highlight w:val="none"/>
        </w:rPr>
      </w:pPr>
      <w:r>
        <w:rPr>
          <w:rFonts w:hint="eastAsia" w:ascii="宋体" w:hAnsi="宋体" w:cs="宋体"/>
          <w:color w:val="auto"/>
          <w:szCs w:val="21"/>
          <w:highlight w:val="none"/>
        </w:rPr>
        <w:t>法定代表人（签字或盖章）：</w:t>
      </w:r>
      <w:r>
        <w:rPr>
          <w:rFonts w:ascii="宋体" w:hAnsi="宋体" w:cs="宋体"/>
          <w:color w:val="auto"/>
          <w:szCs w:val="21"/>
          <w:highlight w:val="none"/>
          <w:u w:val="single"/>
        </w:rPr>
        <w:t xml:space="preserve">                     </w:t>
      </w:r>
    </w:p>
    <w:p>
      <w:pPr>
        <w:adjustRightInd w:val="0"/>
        <w:snapToGrid w:val="0"/>
        <w:spacing w:line="520" w:lineRule="exact"/>
        <w:ind w:right="420"/>
        <w:rPr>
          <w:rFonts w:ascii="宋体" w:hAnsi="宋体" w:cs="宋体"/>
          <w:color w:val="auto"/>
          <w:szCs w:val="21"/>
          <w:highlight w:val="none"/>
        </w:rPr>
      </w:pPr>
      <w:r>
        <w:rPr>
          <w:rFonts w:hint="eastAsia" w:ascii="宋体" w:hAnsi="宋体" w:cs="宋体"/>
          <w:color w:val="auto"/>
          <w:szCs w:val="21"/>
          <w:highlight w:val="none"/>
        </w:rPr>
        <w:t>委托代理人（签字）：</w:t>
      </w:r>
      <w:r>
        <w:rPr>
          <w:rFonts w:ascii="宋体" w:hAnsi="宋体" w:cs="宋体"/>
          <w:color w:val="auto"/>
          <w:szCs w:val="21"/>
          <w:highlight w:val="none"/>
          <w:u w:val="single"/>
        </w:rPr>
        <w:t xml:space="preserve">                     </w:t>
      </w:r>
    </w:p>
    <w:p>
      <w:pPr>
        <w:adjustRightInd w:val="0"/>
        <w:snapToGrid w:val="0"/>
        <w:spacing w:line="520" w:lineRule="exact"/>
        <w:ind w:right="24"/>
        <w:rPr>
          <w:rFonts w:ascii="宋体" w:hAnsi="宋体" w:cs="宋体"/>
          <w:color w:val="auto"/>
          <w:szCs w:val="21"/>
          <w:highlight w:val="none"/>
        </w:rPr>
      </w:pPr>
      <w:r>
        <w:rPr>
          <w:rFonts w:hint="eastAsia" w:ascii="宋体" w:hAnsi="宋体" w:cs="宋体"/>
          <w:color w:val="auto"/>
          <w:szCs w:val="21"/>
          <w:highlight w:val="none"/>
        </w:rPr>
        <w:t>日期：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520" w:lineRule="exact"/>
        <w:rPr>
          <w:rFonts w:ascii="宋体" w:hAnsi="宋体" w:cs="宋体"/>
          <w:b/>
          <w:color w:val="auto"/>
          <w:highlight w:val="none"/>
        </w:rPr>
      </w:pPr>
    </w:p>
    <w:p>
      <w:pPr>
        <w:spacing w:line="520" w:lineRule="exact"/>
        <w:rPr>
          <w:rFonts w:ascii="宋体" w:hAnsi="宋体" w:cs="宋体"/>
          <w:b/>
          <w:color w:val="auto"/>
          <w:highlight w:val="none"/>
        </w:rPr>
      </w:pPr>
    </w:p>
    <w:p>
      <w:pPr>
        <w:spacing w:line="520" w:lineRule="exact"/>
        <w:rPr>
          <w:rFonts w:ascii="宋体" w:hAnsi="宋体" w:cs="宋体"/>
          <w:b/>
          <w:color w:val="auto"/>
          <w:highlight w:val="none"/>
        </w:rPr>
      </w:pPr>
    </w:p>
    <w:p>
      <w:pPr>
        <w:spacing w:line="520" w:lineRule="exact"/>
        <w:jc w:val="center"/>
        <w:outlineLvl w:val="1"/>
        <w:rPr>
          <w:rFonts w:ascii="宋体" w:hAnsi="宋体" w:cs="宋体"/>
          <w:b/>
          <w:color w:val="auto"/>
          <w:sz w:val="32"/>
          <w:szCs w:val="32"/>
          <w:highlight w:val="none"/>
        </w:rPr>
      </w:pPr>
      <w:r>
        <w:rPr>
          <w:rFonts w:hint="eastAsia" w:ascii="宋体" w:hAnsi="宋体" w:cs="宋体"/>
          <w:b/>
          <w:color w:val="auto"/>
          <w:sz w:val="32"/>
          <w:szCs w:val="32"/>
          <w:highlight w:val="none"/>
        </w:rPr>
        <w:t>二、磋商保证金缴纳证明材料</w:t>
      </w:r>
    </w:p>
    <w:p>
      <w:pPr>
        <w:adjustRightInd w:val="0"/>
        <w:snapToGrid w:val="0"/>
        <w:spacing w:before="156" w:beforeLines="50" w:line="520" w:lineRule="exact"/>
        <w:rPr>
          <w:rFonts w:ascii="宋体" w:hAnsi="宋体" w:cs="宋体"/>
          <w:color w:val="auto"/>
          <w:highlight w:val="none"/>
        </w:rPr>
      </w:pPr>
    </w:p>
    <w:p>
      <w:pPr>
        <w:adjustRightInd w:val="0"/>
        <w:snapToGrid w:val="0"/>
        <w:spacing w:line="52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（本项目不需要缴纳投标保证金）</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adjustRightInd w:val="0"/>
        <w:snapToGrid w:val="0"/>
        <w:spacing w:line="520" w:lineRule="exact"/>
        <w:jc w:val="center"/>
        <w:outlineLvl w:val="1"/>
        <w:rPr>
          <w:rFonts w:ascii="宋体" w:hAnsi="宋体" w:cs="宋体"/>
          <w:b/>
          <w:bCs/>
          <w:color w:val="auto"/>
          <w:sz w:val="32"/>
          <w:szCs w:val="32"/>
          <w:highlight w:val="none"/>
        </w:rPr>
      </w:pPr>
      <w:r>
        <w:rPr>
          <w:rFonts w:ascii="宋体" w:hAnsi="宋体" w:cs="宋体"/>
          <w:b/>
          <w:color w:val="auto"/>
          <w:sz w:val="32"/>
          <w:szCs w:val="32"/>
          <w:highlight w:val="none"/>
        </w:rPr>
        <w:br w:type="page"/>
      </w:r>
      <w:r>
        <w:rPr>
          <w:rFonts w:hint="eastAsia" w:ascii="宋体" w:hAnsi="宋体" w:cs="宋体"/>
          <w:b/>
          <w:color w:val="auto"/>
          <w:sz w:val="32"/>
          <w:szCs w:val="32"/>
          <w:highlight w:val="none"/>
        </w:rPr>
        <w:t>三、供应商</w:t>
      </w:r>
      <w:r>
        <w:rPr>
          <w:rFonts w:hint="eastAsia" w:ascii="宋体" w:hAnsi="宋体" w:cs="宋体"/>
          <w:b/>
          <w:bCs/>
          <w:color w:val="auto"/>
          <w:sz w:val="32"/>
          <w:szCs w:val="32"/>
          <w:highlight w:val="none"/>
        </w:rPr>
        <w:t>的资格证明资料</w:t>
      </w:r>
    </w:p>
    <w:p>
      <w:pPr>
        <w:spacing w:line="520" w:lineRule="exact"/>
        <w:rPr>
          <w:rFonts w:ascii="宋体" w:hAnsi="宋体" w:cs="宋体"/>
          <w:color w:val="auto"/>
          <w:sz w:val="30"/>
          <w:szCs w:val="30"/>
          <w:highlight w:val="none"/>
        </w:rPr>
      </w:pPr>
      <w:r>
        <w:rPr>
          <w:rFonts w:hint="eastAsia" w:ascii="宋体" w:hAnsi="宋体" w:cs="宋体"/>
          <w:color w:val="auto"/>
          <w:sz w:val="30"/>
          <w:szCs w:val="30"/>
          <w:highlight w:val="none"/>
        </w:rPr>
        <w:t>附件</w:t>
      </w:r>
      <w:r>
        <w:rPr>
          <w:rFonts w:ascii="宋体" w:hAnsi="宋体" w:cs="宋体"/>
          <w:color w:val="auto"/>
          <w:sz w:val="30"/>
          <w:szCs w:val="30"/>
          <w:highlight w:val="none"/>
        </w:rPr>
        <w:t xml:space="preserve">3              </w:t>
      </w:r>
      <w:r>
        <w:rPr>
          <w:rFonts w:hint="eastAsia" w:ascii="宋体" w:hAnsi="宋体" w:cs="宋体"/>
          <w:color w:val="auto"/>
          <w:sz w:val="30"/>
          <w:szCs w:val="30"/>
          <w:highlight w:val="none"/>
        </w:rPr>
        <w:t>供应商基本情况表</w:t>
      </w:r>
    </w:p>
    <w:p>
      <w:pPr>
        <w:spacing w:line="520" w:lineRule="exact"/>
        <w:rPr>
          <w:rFonts w:ascii="宋体" w:hAnsi="宋体" w:cs="宋体"/>
          <w:color w:val="auto"/>
          <w:sz w:val="30"/>
          <w:szCs w:val="30"/>
          <w:highlight w:val="none"/>
        </w:rPr>
      </w:pP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盖供应商单位章</w:t>
      </w: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电话</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ind w:firstLine="105" w:firstLineChar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ind w:firstLine="105" w:firstLineChar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520" w:lineRule="exact"/>
              <w:ind w:firstLine="105" w:firstLineChar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520" w:lineRule="exact"/>
              <w:ind w:firstLine="105" w:firstLineChars="5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520" w:lineRule="exact"/>
              <w:jc w:val="center"/>
              <w:rPr>
                <w:rFonts w:ascii="宋体" w:hAnsi="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52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520" w:lineRule="exact"/>
              <w:rPr>
                <w:rFonts w:ascii="宋体" w:hAnsi="宋体" w:cs="宋体"/>
                <w:color w:val="auto"/>
                <w:szCs w:val="21"/>
                <w:highlight w:val="none"/>
              </w:rPr>
            </w:pPr>
            <w:r>
              <w:rPr>
                <w:rFonts w:hint="eastAsia" w:ascii="宋体" w:hAnsi="宋体" w:cs="宋体"/>
                <w:color w:val="auto"/>
                <w:szCs w:val="21"/>
                <w:highlight w:val="none"/>
              </w:rPr>
              <w:t>附《登记证书》或《营业执照》（副本）复印件</w:t>
            </w:r>
          </w:p>
        </w:tc>
      </w:tr>
    </w:tbl>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r>
        <w:rPr>
          <w:rFonts w:hint="eastAsia" w:ascii="宋体" w:hAnsi="宋体" w:cs="宋体"/>
          <w:color w:val="auto"/>
          <w:sz w:val="30"/>
          <w:szCs w:val="30"/>
          <w:highlight w:val="none"/>
        </w:rPr>
        <w:t>附件</w:t>
      </w:r>
      <w:r>
        <w:rPr>
          <w:rFonts w:ascii="宋体" w:hAnsi="宋体" w:cs="宋体"/>
          <w:color w:val="auto"/>
          <w:sz w:val="30"/>
          <w:szCs w:val="30"/>
          <w:highlight w:val="none"/>
        </w:rPr>
        <w:t xml:space="preserve">4      </w:t>
      </w:r>
      <w:r>
        <w:rPr>
          <w:rFonts w:hint="eastAsia" w:ascii="宋体" w:hAnsi="宋体" w:cs="宋体"/>
          <w:color w:val="auto"/>
          <w:sz w:val="30"/>
          <w:szCs w:val="30"/>
          <w:highlight w:val="none"/>
        </w:rPr>
        <w:t>磋商文件规定的基本资格条件证明资料</w:t>
      </w:r>
    </w:p>
    <w:p>
      <w:pPr>
        <w:spacing w:line="520" w:lineRule="exact"/>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p>
      <w:pPr>
        <w:spacing w:after="0" w:line="360" w:lineRule="auto"/>
        <w:ind w:firstLine="525" w:firstLineChars="250"/>
        <w:rPr>
          <w:rFonts w:ascii="宋体" w:hAnsi="宋体"/>
          <w:color w:val="auto"/>
          <w:szCs w:val="21"/>
          <w:highlight w:val="none"/>
        </w:rPr>
      </w:pPr>
      <w:r>
        <w:rPr>
          <w:rFonts w:ascii="宋体" w:hAnsi="宋体"/>
          <w:color w:val="auto"/>
          <w:szCs w:val="21"/>
          <w:highlight w:val="none"/>
        </w:rPr>
        <w:t>1、提供</w:t>
      </w:r>
      <w:r>
        <w:rPr>
          <w:rFonts w:hint="eastAsia" w:ascii="宋体" w:hAnsi="宋体"/>
          <w:color w:val="auto"/>
          <w:szCs w:val="21"/>
          <w:highlight w:val="none"/>
          <w:lang w:eastAsia="zh-CN"/>
        </w:rPr>
        <w:t>2022年度</w:t>
      </w:r>
      <w:r>
        <w:rPr>
          <w:rFonts w:ascii="宋体" w:hAnsi="宋体"/>
          <w:color w:val="auto"/>
          <w:szCs w:val="21"/>
          <w:highlight w:val="none"/>
        </w:rPr>
        <w:t>经会计师事务所审计的财务报告复印件（至少包含资产负债表、利润表和现金流量表），或银行出具的资信证明。</w:t>
      </w:r>
    </w:p>
    <w:p>
      <w:pPr>
        <w:spacing w:after="0" w:line="360" w:lineRule="auto"/>
        <w:ind w:firstLine="525" w:firstLineChars="250"/>
        <w:rPr>
          <w:rFonts w:ascii="宋体" w:hAnsi="宋体"/>
          <w:color w:val="auto"/>
          <w:szCs w:val="21"/>
          <w:highlight w:val="none"/>
        </w:rPr>
      </w:pPr>
      <w:r>
        <w:rPr>
          <w:rFonts w:ascii="宋体" w:hAnsi="宋体"/>
          <w:color w:val="auto"/>
          <w:szCs w:val="21"/>
          <w:highlight w:val="none"/>
        </w:rPr>
        <w:t>2、依法缴纳税收和社会保险费的证明资料：</w:t>
      </w:r>
    </w:p>
    <w:p>
      <w:pPr>
        <w:spacing w:after="0" w:line="360" w:lineRule="auto"/>
        <w:ind w:firstLine="525" w:firstLineChars="250"/>
        <w:rPr>
          <w:rFonts w:ascii="宋体" w:hAnsi="宋体"/>
          <w:color w:val="auto"/>
          <w:szCs w:val="21"/>
          <w:highlight w:val="none"/>
        </w:rPr>
      </w:pPr>
      <w:r>
        <w:rPr>
          <w:rFonts w:ascii="宋体" w:hAnsi="宋体"/>
          <w:color w:val="auto"/>
          <w:szCs w:val="21"/>
          <w:highlight w:val="none"/>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0" w:line="360" w:lineRule="auto"/>
        <w:ind w:firstLine="525" w:firstLineChars="25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0" w:beforeLines="-2147483648" w:after="0" w:line="360" w:lineRule="auto"/>
        <w:ind w:firstLine="420" w:firstLineChars="200"/>
        <w:rPr>
          <w:rFonts w:ascii="宋体" w:hAnsi="宋体"/>
          <w:b/>
          <w:bCs/>
          <w:color w:val="auto"/>
          <w:highlight w:val="none"/>
        </w:rPr>
      </w:pPr>
      <w:r>
        <w:rPr>
          <w:rFonts w:hint="eastAsia" w:ascii="宋体" w:hAnsi="宋体"/>
          <w:color w:val="auto"/>
          <w:szCs w:val="21"/>
          <w:highlight w:val="none"/>
        </w:rPr>
        <w:t>注：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r>
        <w:rPr>
          <w:rFonts w:hint="eastAsia" w:ascii="宋体" w:hAnsi="宋体"/>
          <w:b/>
          <w:bCs/>
          <w:color w:val="auto"/>
          <w:szCs w:val="21"/>
          <w:highlight w:val="none"/>
        </w:rPr>
        <w:t>供应商自行注明是“三证合一”或“五证合一”并承担相关法律责任。</w:t>
      </w:r>
    </w:p>
    <w:p>
      <w:pPr>
        <w:spacing w:after="160" w:line="480" w:lineRule="exact"/>
        <w:ind w:firstLine="527" w:firstLineChars="250"/>
        <w:rPr>
          <w:rFonts w:ascii="宋体" w:hAnsi="宋体"/>
          <w:b/>
          <w:bCs/>
          <w:color w:val="auto"/>
          <w:szCs w:val="21"/>
          <w:highlight w:val="none"/>
        </w:rPr>
      </w:pPr>
      <w:r>
        <w:rPr>
          <w:rFonts w:hint="eastAsia" w:ascii="宋体" w:hAnsi="宋体"/>
          <w:b/>
          <w:bCs/>
          <w:color w:val="auto"/>
          <w:szCs w:val="21"/>
          <w:highlight w:val="none"/>
        </w:rPr>
        <w:t>注：</w:t>
      </w:r>
    </w:p>
    <w:p>
      <w:pPr>
        <w:spacing w:after="160" w:line="480" w:lineRule="exact"/>
        <w:ind w:firstLine="527" w:firstLineChars="250"/>
        <w:rPr>
          <w:rFonts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1）近3个月指</w:t>
      </w:r>
      <w:r>
        <w:rPr>
          <w:rFonts w:hint="eastAsia" w:ascii="宋体" w:hAnsi="宋体"/>
          <w:b/>
          <w:bCs/>
          <w:color w:val="auto"/>
          <w:szCs w:val="21"/>
          <w:highlight w:val="none"/>
          <w:lang w:eastAsia="zh-CN"/>
        </w:rPr>
        <w:t>2023年5月-2023年7月</w:t>
      </w:r>
      <w:r>
        <w:rPr>
          <w:rFonts w:hint="eastAsia" w:ascii="宋体" w:hAnsi="宋体"/>
          <w:b/>
          <w:bCs/>
          <w:color w:val="auto"/>
          <w:szCs w:val="21"/>
          <w:highlight w:val="none"/>
        </w:rPr>
        <w:t>连续三个月</w:t>
      </w:r>
    </w:p>
    <w:p>
      <w:pPr>
        <w:spacing w:after="160" w:line="480" w:lineRule="exact"/>
        <w:ind w:firstLine="527" w:firstLineChars="250"/>
        <w:rPr>
          <w:rFonts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2）</w:t>
      </w:r>
      <w:r>
        <w:rPr>
          <w:rFonts w:hint="eastAsia" w:ascii="宋体" w:hAnsi="宋体"/>
          <w:b/>
          <w:bCs/>
          <w:color w:val="auto"/>
          <w:szCs w:val="21"/>
          <w:highlight w:val="none"/>
          <w:lang w:val="en-US" w:eastAsia="zh-CN"/>
        </w:rPr>
        <w:t>投标人</w:t>
      </w:r>
      <w:r>
        <w:rPr>
          <w:rFonts w:ascii="宋体" w:hAnsi="宋体"/>
          <w:b/>
          <w:bCs/>
          <w:color w:val="auto"/>
          <w:szCs w:val="21"/>
          <w:highlight w:val="none"/>
        </w:rPr>
        <w:t>提供了《供应商资格承诺函》的可不提供上述资料。</w:t>
      </w: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r>
        <w:rPr>
          <w:rFonts w:ascii="宋体" w:hAnsi="宋体" w:cs="宋体"/>
          <w:color w:val="auto"/>
          <w:sz w:val="30"/>
          <w:szCs w:val="30"/>
          <w:highlight w:val="none"/>
        </w:rPr>
        <w:br w:type="page"/>
      </w:r>
      <w:r>
        <w:rPr>
          <w:rFonts w:hint="eastAsia" w:ascii="宋体" w:hAnsi="宋体" w:cs="宋体"/>
          <w:color w:val="auto"/>
          <w:sz w:val="30"/>
          <w:szCs w:val="30"/>
          <w:highlight w:val="none"/>
        </w:rPr>
        <w:t>附件</w:t>
      </w:r>
      <w:r>
        <w:rPr>
          <w:rFonts w:ascii="宋体" w:hAnsi="宋体" w:cs="宋体"/>
          <w:color w:val="auto"/>
          <w:sz w:val="30"/>
          <w:szCs w:val="30"/>
          <w:highlight w:val="none"/>
        </w:rPr>
        <w:t xml:space="preserve">5  </w:t>
      </w:r>
      <w:r>
        <w:rPr>
          <w:rFonts w:hint="eastAsia" w:ascii="宋体" w:hAnsi="宋体" w:cs="宋体"/>
          <w:color w:val="auto"/>
          <w:sz w:val="30"/>
          <w:szCs w:val="30"/>
          <w:highlight w:val="none"/>
        </w:rPr>
        <w:t>磋商文件规定的特定资格条件证明资料</w:t>
      </w:r>
    </w:p>
    <w:p>
      <w:pPr>
        <w:spacing w:line="520" w:lineRule="exact"/>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备注：提供第二章</w:t>
      </w:r>
      <w:r>
        <w:rPr>
          <w:rFonts w:ascii="宋体" w:hAnsi="宋体" w:cs="宋体"/>
          <w:color w:val="auto"/>
          <w:szCs w:val="21"/>
          <w:highlight w:val="none"/>
        </w:rPr>
        <w:t xml:space="preserve"> </w:t>
      </w:r>
      <w:r>
        <w:rPr>
          <w:rFonts w:hint="eastAsia" w:ascii="宋体" w:hAnsi="宋体" w:cs="宋体"/>
          <w:color w:val="auto"/>
          <w:szCs w:val="21"/>
          <w:highlight w:val="none"/>
        </w:rPr>
        <w:t>磋商须知第</w:t>
      </w:r>
      <w:r>
        <w:rPr>
          <w:rFonts w:ascii="宋体" w:hAnsi="宋体" w:cs="宋体"/>
          <w:color w:val="auto"/>
          <w:szCs w:val="21"/>
          <w:highlight w:val="none"/>
        </w:rPr>
        <w:t>3.1</w:t>
      </w:r>
      <w:r>
        <w:rPr>
          <w:rFonts w:hint="eastAsia" w:ascii="宋体" w:hAnsi="宋体" w:cs="宋体"/>
          <w:color w:val="auto"/>
          <w:szCs w:val="21"/>
          <w:highlight w:val="none"/>
        </w:rPr>
        <w:t>款供应商特定资格条件证明资料的复印件。</w:t>
      </w:r>
    </w:p>
    <w:p>
      <w:pPr>
        <w:spacing w:line="520" w:lineRule="exact"/>
        <w:rPr>
          <w:rFonts w:ascii="宋体" w:hAnsi="宋体" w:cs="宋体"/>
          <w:color w:val="auto"/>
          <w:szCs w:val="21"/>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spacing w:line="520" w:lineRule="exact"/>
        <w:rPr>
          <w:rFonts w:ascii="宋体" w:hAnsi="宋体" w:cs="宋体"/>
          <w:color w:val="auto"/>
          <w:sz w:val="30"/>
          <w:szCs w:val="30"/>
          <w:highlight w:val="none"/>
        </w:rPr>
      </w:pPr>
    </w:p>
    <w:p>
      <w:pPr>
        <w:adjustRightInd w:val="0"/>
        <w:snapToGrid w:val="0"/>
        <w:spacing w:line="520" w:lineRule="exact"/>
        <w:rPr>
          <w:rFonts w:ascii="宋体" w:hAnsi="宋体" w:cs="宋体"/>
          <w:b w:val="0"/>
          <w:bCs/>
          <w:color w:val="auto"/>
          <w:sz w:val="30"/>
          <w:szCs w:val="30"/>
          <w:highlight w:val="none"/>
        </w:rPr>
      </w:pPr>
      <w:r>
        <w:rPr>
          <w:rFonts w:hint="eastAsia" w:ascii="宋体" w:hAnsi="宋体" w:cs="宋体"/>
          <w:b w:val="0"/>
          <w:bCs/>
          <w:color w:val="auto"/>
          <w:sz w:val="30"/>
          <w:szCs w:val="30"/>
          <w:highlight w:val="none"/>
        </w:rPr>
        <w:t>附件</w:t>
      </w:r>
      <w:r>
        <w:rPr>
          <w:rFonts w:ascii="宋体" w:hAnsi="宋体" w:cs="宋体"/>
          <w:b w:val="0"/>
          <w:bCs/>
          <w:color w:val="auto"/>
          <w:sz w:val="30"/>
          <w:szCs w:val="30"/>
          <w:highlight w:val="none"/>
        </w:rPr>
        <w:t xml:space="preserve">6           </w:t>
      </w:r>
      <w:r>
        <w:rPr>
          <w:rFonts w:hint="eastAsia" w:ascii="宋体" w:hAnsi="宋体" w:cs="宋体"/>
          <w:b w:val="0"/>
          <w:bCs/>
          <w:color w:val="auto"/>
          <w:sz w:val="30"/>
          <w:szCs w:val="30"/>
          <w:highlight w:val="none"/>
        </w:rPr>
        <w:t>其它证明资料或说明</w:t>
      </w:r>
    </w:p>
    <w:p>
      <w:pPr>
        <w:adjustRightInd w:val="0"/>
        <w:snapToGrid w:val="0"/>
        <w:spacing w:line="520" w:lineRule="exact"/>
        <w:rPr>
          <w:rFonts w:ascii="宋体" w:hAnsi="宋体" w:cs="宋体"/>
          <w:color w:val="auto"/>
          <w:szCs w:val="21"/>
          <w:highlight w:val="none"/>
        </w:rPr>
      </w:pPr>
    </w:p>
    <w:p>
      <w:pPr>
        <w:adjustRightInd w:val="0"/>
        <w:snapToGrid w:val="0"/>
        <w:spacing w:line="520" w:lineRule="exact"/>
        <w:jc w:val="center"/>
        <w:rPr>
          <w:rFonts w:ascii="宋体" w:hAnsi="宋体" w:cs="宋体"/>
          <w:b/>
          <w:color w:val="auto"/>
          <w:sz w:val="32"/>
          <w:szCs w:val="32"/>
          <w:highlight w:val="none"/>
        </w:rPr>
      </w:pPr>
      <w:r>
        <w:rPr>
          <w:rFonts w:hint="eastAsia" w:ascii="宋体" w:hAnsi="宋体" w:cs="宋体"/>
          <w:color w:val="auto"/>
          <w:szCs w:val="21"/>
          <w:highlight w:val="none"/>
        </w:rPr>
        <w:t>提供磋商文件或评分标准需要提供的相关证明文件复印件，并加盖投标人公章</w:t>
      </w:r>
      <w:r>
        <w:rPr>
          <w:rFonts w:hint="eastAsia" w:ascii="宋体" w:hAnsi="宋体" w:cs="宋体"/>
          <w:color w:val="auto"/>
          <w:szCs w:val="21"/>
          <w:highlight w:val="none"/>
          <w:lang w:eastAsia="zh-CN"/>
        </w:rPr>
        <w:t>。</w:t>
      </w: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jc w:val="center"/>
        <w:outlineLvl w:val="1"/>
        <w:rPr>
          <w:rFonts w:ascii="宋体" w:hAnsi="宋体" w:cs="宋体"/>
          <w:b/>
          <w:color w:val="auto"/>
          <w:sz w:val="32"/>
          <w:szCs w:val="32"/>
          <w:highlight w:val="none"/>
        </w:rPr>
      </w:pPr>
      <w:r>
        <w:rPr>
          <w:rFonts w:ascii="宋体" w:hAnsi="宋体" w:cs="宋体"/>
          <w:b/>
          <w:color w:val="auto"/>
          <w:sz w:val="32"/>
          <w:szCs w:val="32"/>
          <w:highlight w:val="none"/>
        </w:rPr>
        <w:br w:type="page"/>
      </w:r>
      <w:r>
        <w:rPr>
          <w:rFonts w:hint="eastAsia" w:ascii="宋体" w:hAnsi="宋体" w:cs="宋体"/>
          <w:b/>
          <w:color w:val="auto"/>
          <w:sz w:val="32"/>
          <w:szCs w:val="32"/>
          <w:highlight w:val="none"/>
        </w:rPr>
        <w:t>四、服务方案</w:t>
      </w:r>
    </w:p>
    <w:p>
      <w:pPr>
        <w:adjustRightInd w:val="0"/>
        <w:snapToGrid w:val="0"/>
        <w:spacing w:line="520" w:lineRule="exact"/>
        <w:jc w:val="center"/>
        <w:rPr>
          <w:rFonts w:ascii="宋体" w:hAnsi="宋体" w:cs="宋体"/>
          <w:b/>
          <w:color w:val="auto"/>
          <w:sz w:val="32"/>
          <w:szCs w:val="32"/>
          <w:highlight w:val="none"/>
        </w:rPr>
      </w:pPr>
    </w:p>
    <w:p>
      <w:pPr>
        <w:adjustRightInd w:val="0"/>
        <w:snapToGrid w:val="0"/>
        <w:spacing w:line="520" w:lineRule="exact"/>
        <w:rPr>
          <w:rFonts w:ascii="宋体" w:hAnsi="宋体" w:cs="宋体"/>
          <w:color w:val="auto"/>
          <w:szCs w:val="21"/>
          <w:highlight w:val="none"/>
          <w:lang w:bidi="ar"/>
        </w:rPr>
      </w:pPr>
      <w:r>
        <w:rPr>
          <w:rFonts w:hint="eastAsia" w:ascii="宋体" w:hAnsi="宋体" w:cs="宋体"/>
          <w:color w:val="auto"/>
          <w:kern w:val="0"/>
          <w:szCs w:val="21"/>
          <w:highlight w:val="none"/>
        </w:rPr>
        <w:t>注：供应商应根据第四章采购</w:t>
      </w:r>
      <w:r>
        <w:rPr>
          <w:rFonts w:ascii="宋体" w:hAnsi="宋体" w:cs="宋体"/>
          <w:color w:val="auto"/>
          <w:kern w:val="0"/>
          <w:szCs w:val="21"/>
          <w:highlight w:val="none"/>
        </w:rPr>
        <w:t>需求</w:t>
      </w:r>
      <w:r>
        <w:rPr>
          <w:rFonts w:hint="eastAsia" w:ascii="宋体" w:hAnsi="宋体" w:cs="宋体"/>
          <w:color w:val="auto"/>
          <w:kern w:val="0"/>
          <w:szCs w:val="21"/>
          <w:highlight w:val="none"/>
        </w:rPr>
        <w:t>及</w:t>
      </w:r>
      <w:r>
        <w:rPr>
          <w:rFonts w:ascii="宋体" w:hAnsi="宋体" w:cs="宋体"/>
          <w:color w:val="auto"/>
          <w:kern w:val="0"/>
          <w:szCs w:val="21"/>
          <w:highlight w:val="none"/>
        </w:rPr>
        <w:t>评分标准要求</w:t>
      </w:r>
      <w:r>
        <w:rPr>
          <w:rFonts w:hint="eastAsia" w:ascii="宋体" w:hAnsi="宋体" w:cs="宋体"/>
          <w:color w:val="auto"/>
          <w:kern w:val="0"/>
          <w:szCs w:val="21"/>
          <w:highlight w:val="none"/>
        </w:rPr>
        <w:t>规定编</w:t>
      </w:r>
      <w:r>
        <w:rPr>
          <w:rFonts w:hint="eastAsia" w:ascii="宋体" w:hAnsi="宋体" w:cs="宋体"/>
          <w:color w:val="auto"/>
          <w:kern w:val="0"/>
          <w:szCs w:val="21"/>
          <w:highlight w:val="none"/>
          <w:lang w:val="en-US" w:eastAsia="zh-CN"/>
        </w:rPr>
        <w:t>服务方案</w:t>
      </w:r>
      <w:r>
        <w:rPr>
          <w:rFonts w:hint="eastAsia" w:ascii="宋体" w:hAnsi="宋体" w:cs="宋体"/>
          <w:color w:val="auto"/>
          <w:kern w:val="0"/>
          <w:szCs w:val="21"/>
          <w:highlight w:val="none"/>
        </w:rPr>
        <w:t>，格式自拟。</w:t>
      </w:r>
    </w:p>
    <w:p>
      <w:pPr>
        <w:adjustRightInd w:val="0"/>
        <w:snapToGrid w:val="0"/>
        <w:spacing w:line="520" w:lineRule="exact"/>
        <w:rPr>
          <w:rFonts w:ascii="宋体" w:hAnsi="宋体" w:cs="宋体"/>
          <w:color w:val="auto"/>
          <w:kern w:val="0"/>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adjustRightInd/>
        <w:snapToGrid/>
        <w:spacing w:line="240" w:lineRule="auto"/>
        <w:jc w:val="left"/>
        <w:outlineLvl w:val="9"/>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adjustRightInd w:val="0"/>
        <w:snapToGrid w:val="0"/>
        <w:spacing w:line="520" w:lineRule="exact"/>
        <w:jc w:val="center"/>
        <w:outlineLvl w:val="1"/>
        <w:rPr>
          <w:rFonts w:ascii="宋体" w:hAnsi="宋体" w:cs="宋体"/>
          <w:b/>
          <w:color w:val="auto"/>
          <w:sz w:val="30"/>
          <w:szCs w:val="30"/>
          <w:highlight w:val="none"/>
        </w:rPr>
      </w:pPr>
      <w:r>
        <w:rPr>
          <w:rFonts w:hint="eastAsia" w:ascii="宋体" w:hAnsi="宋体" w:cs="宋体"/>
          <w:b/>
          <w:color w:val="auto"/>
          <w:sz w:val="30"/>
          <w:szCs w:val="30"/>
          <w:highlight w:val="none"/>
        </w:rPr>
        <w:t>五、技术</w:t>
      </w:r>
      <w:r>
        <w:rPr>
          <w:rFonts w:ascii="宋体" w:hAnsi="宋体" w:cs="宋体"/>
          <w:b/>
          <w:color w:val="auto"/>
          <w:sz w:val="30"/>
          <w:szCs w:val="30"/>
          <w:highlight w:val="none"/>
        </w:rPr>
        <w:t>/</w:t>
      </w:r>
      <w:r>
        <w:rPr>
          <w:rFonts w:hint="eastAsia" w:ascii="宋体" w:hAnsi="宋体" w:cs="宋体"/>
          <w:b/>
          <w:color w:val="auto"/>
          <w:sz w:val="30"/>
          <w:szCs w:val="30"/>
          <w:highlight w:val="none"/>
        </w:rPr>
        <w:t>商务响应与偏离表</w:t>
      </w:r>
    </w:p>
    <w:p>
      <w:pPr>
        <w:adjustRightInd w:val="0"/>
        <w:snapToGrid w:val="0"/>
        <w:spacing w:line="520" w:lineRule="exact"/>
        <w:ind w:left="-88" w:leftChars="-42" w:firstLine="315" w:firstLineChars="150"/>
        <w:rPr>
          <w:rFonts w:ascii="宋体" w:hAnsi="宋体" w:cs="宋体"/>
          <w:color w:val="auto"/>
          <w:szCs w:val="21"/>
          <w:highlight w:val="none"/>
          <w:u w:val="single"/>
        </w:rPr>
      </w:pP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tcBorders>
              <w:top w:val="double" w:color="auto" w:sz="4" w:space="0"/>
            </w:tcBorders>
            <w:vAlign w:val="center"/>
          </w:tcPr>
          <w:p>
            <w:pPr>
              <w:adjustRightInd w:val="0"/>
              <w:snapToGrid w:val="0"/>
              <w:spacing w:line="520" w:lineRule="exact"/>
              <w:ind w:left="-88" w:leftChars="-42"/>
              <w:jc w:val="center"/>
              <w:rPr>
                <w:rFonts w:ascii="宋体" w:hAnsi="宋体" w:cs="宋体"/>
                <w:bCs/>
                <w:color w:val="auto"/>
                <w:szCs w:val="21"/>
                <w:highlight w:val="none"/>
              </w:rPr>
            </w:pPr>
            <w:r>
              <w:rPr>
                <w:rFonts w:hint="eastAsia" w:ascii="宋体" w:hAnsi="宋体" w:cs="宋体"/>
                <w:bCs/>
                <w:color w:val="auto"/>
                <w:szCs w:val="21"/>
                <w:highlight w:val="none"/>
              </w:rPr>
              <w:t>序号</w:t>
            </w:r>
          </w:p>
        </w:tc>
        <w:tc>
          <w:tcPr>
            <w:tcW w:w="1685" w:type="dxa"/>
            <w:tcBorders>
              <w:top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r>
              <w:rPr>
                <w:rFonts w:hint="eastAsia" w:ascii="宋体" w:hAnsi="宋体" w:cs="宋体"/>
                <w:color w:val="auto"/>
                <w:szCs w:val="21"/>
                <w:highlight w:val="none"/>
              </w:rPr>
              <w:t>磋商文件条目号</w:t>
            </w:r>
          </w:p>
        </w:tc>
        <w:tc>
          <w:tcPr>
            <w:tcW w:w="1948" w:type="dxa"/>
            <w:tcBorders>
              <w:top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r>
              <w:rPr>
                <w:rFonts w:hint="eastAsia" w:ascii="宋体" w:hAnsi="宋体" w:cs="宋体"/>
                <w:color w:val="auto"/>
                <w:szCs w:val="21"/>
                <w:highlight w:val="none"/>
              </w:rPr>
              <w:t>采购规格</w:t>
            </w:r>
            <w:r>
              <w:rPr>
                <w:rFonts w:ascii="宋体" w:hAnsi="宋体" w:cs="宋体"/>
                <w:color w:val="auto"/>
                <w:szCs w:val="21"/>
                <w:highlight w:val="none"/>
              </w:rPr>
              <w:t>/</w:t>
            </w:r>
            <w:r>
              <w:rPr>
                <w:rFonts w:hint="eastAsia" w:ascii="宋体" w:hAnsi="宋体" w:cs="宋体"/>
                <w:color w:val="auto"/>
                <w:szCs w:val="21"/>
                <w:highlight w:val="none"/>
              </w:rPr>
              <w:t>商务条款</w:t>
            </w:r>
          </w:p>
        </w:tc>
        <w:tc>
          <w:tcPr>
            <w:tcW w:w="2600" w:type="dxa"/>
            <w:tcBorders>
              <w:top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r>
              <w:rPr>
                <w:rFonts w:hint="eastAsia" w:ascii="宋体" w:hAnsi="宋体" w:cs="宋体"/>
                <w:color w:val="auto"/>
                <w:szCs w:val="21"/>
                <w:highlight w:val="none"/>
              </w:rPr>
              <w:t>响应文件的规格</w:t>
            </w:r>
            <w:r>
              <w:rPr>
                <w:rFonts w:ascii="宋体" w:hAnsi="宋体" w:cs="宋体"/>
                <w:color w:val="auto"/>
                <w:szCs w:val="21"/>
                <w:highlight w:val="none"/>
              </w:rPr>
              <w:t>/</w:t>
            </w:r>
            <w:r>
              <w:rPr>
                <w:rFonts w:hint="eastAsia" w:ascii="宋体" w:hAnsi="宋体" w:cs="宋体"/>
                <w:color w:val="auto"/>
                <w:szCs w:val="21"/>
                <w:highlight w:val="none"/>
              </w:rPr>
              <w:t>商务条款</w:t>
            </w:r>
          </w:p>
        </w:tc>
        <w:tc>
          <w:tcPr>
            <w:tcW w:w="1214" w:type="dxa"/>
            <w:tcBorders>
              <w:top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r>
              <w:rPr>
                <w:rFonts w:hint="eastAsia" w:ascii="宋体" w:hAnsi="宋体" w:cs="宋体"/>
                <w:color w:val="auto"/>
                <w:szCs w:val="21"/>
                <w:highlight w:val="none"/>
              </w:rPr>
              <w:t>响应与偏离</w:t>
            </w:r>
          </w:p>
        </w:tc>
        <w:tc>
          <w:tcPr>
            <w:tcW w:w="661" w:type="dxa"/>
            <w:tcBorders>
              <w:top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spacing w:line="520" w:lineRule="exact"/>
              <w:ind w:left="-88" w:leftChars="-42"/>
              <w:jc w:val="center"/>
              <w:rPr>
                <w:rFonts w:ascii="宋体" w:hAnsi="宋体" w:cs="宋体"/>
                <w:color w:val="auto"/>
                <w:szCs w:val="21"/>
                <w:highlight w:val="none"/>
              </w:rPr>
            </w:pPr>
          </w:p>
        </w:tc>
        <w:tc>
          <w:tcPr>
            <w:tcW w:w="1685"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948"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2600"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214"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661" w:type="dxa"/>
            <w:vAlign w:val="center"/>
          </w:tcPr>
          <w:p>
            <w:pPr>
              <w:adjustRightInd w:val="0"/>
              <w:snapToGrid w:val="0"/>
              <w:spacing w:line="520" w:lineRule="exact"/>
              <w:ind w:left="-88" w:leftChars="-42"/>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spacing w:line="520" w:lineRule="exact"/>
              <w:ind w:left="-88" w:leftChars="-42"/>
              <w:jc w:val="center"/>
              <w:rPr>
                <w:rFonts w:ascii="宋体" w:hAnsi="宋体" w:cs="宋体"/>
                <w:color w:val="auto"/>
                <w:szCs w:val="21"/>
                <w:highlight w:val="none"/>
              </w:rPr>
            </w:pPr>
          </w:p>
        </w:tc>
        <w:tc>
          <w:tcPr>
            <w:tcW w:w="1685"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948"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2600"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214"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661" w:type="dxa"/>
            <w:vAlign w:val="center"/>
          </w:tcPr>
          <w:p>
            <w:pPr>
              <w:adjustRightInd w:val="0"/>
              <w:snapToGrid w:val="0"/>
              <w:spacing w:line="520" w:lineRule="exact"/>
              <w:ind w:left="-88" w:leftChars="-42"/>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spacing w:line="520" w:lineRule="exact"/>
              <w:ind w:left="-88" w:leftChars="-42"/>
              <w:jc w:val="center"/>
              <w:rPr>
                <w:rFonts w:ascii="宋体" w:hAnsi="宋体" w:cs="宋体"/>
                <w:color w:val="auto"/>
                <w:szCs w:val="21"/>
                <w:highlight w:val="none"/>
              </w:rPr>
            </w:pPr>
          </w:p>
        </w:tc>
        <w:tc>
          <w:tcPr>
            <w:tcW w:w="1685"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948"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2600"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214"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661" w:type="dxa"/>
            <w:vAlign w:val="center"/>
          </w:tcPr>
          <w:p>
            <w:pPr>
              <w:adjustRightInd w:val="0"/>
              <w:snapToGrid w:val="0"/>
              <w:spacing w:line="520" w:lineRule="exact"/>
              <w:ind w:left="-88" w:leftChars="-42"/>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spacing w:line="520" w:lineRule="exact"/>
              <w:ind w:left="-88" w:leftChars="-42"/>
              <w:jc w:val="center"/>
              <w:rPr>
                <w:rFonts w:ascii="宋体" w:hAnsi="宋体" w:cs="宋体"/>
                <w:color w:val="auto"/>
                <w:szCs w:val="21"/>
                <w:highlight w:val="none"/>
              </w:rPr>
            </w:pPr>
          </w:p>
        </w:tc>
        <w:tc>
          <w:tcPr>
            <w:tcW w:w="1685"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948"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2600"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214" w:type="dxa"/>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661" w:type="dxa"/>
            <w:vAlign w:val="center"/>
          </w:tcPr>
          <w:p>
            <w:pPr>
              <w:adjustRightInd w:val="0"/>
              <w:snapToGrid w:val="0"/>
              <w:spacing w:line="520" w:lineRule="exact"/>
              <w:ind w:left="-88" w:leftChars="-42"/>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Borders>
              <w:bottom w:val="double" w:color="auto" w:sz="4" w:space="0"/>
            </w:tcBorders>
          </w:tcPr>
          <w:p>
            <w:pPr>
              <w:adjustRightInd w:val="0"/>
              <w:snapToGrid w:val="0"/>
              <w:spacing w:line="520" w:lineRule="exact"/>
              <w:ind w:left="-88" w:leftChars="-42"/>
              <w:jc w:val="center"/>
              <w:rPr>
                <w:rFonts w:ascii="宋体" w:hAnsi="宋体" w:cs="宋体"/>
                <w:color w:val="auto"/>
                <w:szCs w:val="21"/>
                <w:highlight w:val="none"/>
              </w:rPr>
            </w:pPr>
          </w:p>
        </w:tc>
        <w:tc>
          <w:tcPr>
            <w:tcW w:w="1685" w:type="dxa"/>
            <w:tcBorders>
              <w:bottom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948" w:type="dxa"/>
            <w:tcBorders>
              <w:bottom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2600" w:type="dxa"/>
            <w:tcBorders>
              <w:bottom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1214" w:type="dxa"/>
            <w:tcBorders>
              <w:bottom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p>
        </w:tc>
        <w:tc>
          <w:tcPr>
            <w:tcW w:w="661" w:type="dxa"/>
            <w:tcBorders>
              <w:bottom w:val="double" w:color="auto" w:sz="4" w:space="0"/>
            </w:tcBorders>
            <w:vAlign w:val="center"/>
          </w:tcPr>
          <w:p>
            <w:pPr>
              <w:adjustRightInd w:val="0"/>
              <w:snapToGrid w:val="0"/>
              <w:spacing w:line="520" w:lineRule="exact"/>
              <w:ind w:left="-88" w:leftChars="-42"/>
              <w:jc w:val="center"/>
              <w:rPr>
                <w:rFonts w:ascii="宋体" w:hAnsi="宋体" w:cs="宋体"/>
                <w:color w:val="auto"/>
                <w:szCs w:val="21"/>
                <w:highlight w:val="none"/>
              </w:rPr>
            </w:pPr>
          </w:p>
        </w:tc>
      </w:tr>
    </w:tbl>
    <w:p>
      <w:pPr>
        <w:adjustRightInd w:val="0"/>
        <w:snapToGrid w:val="0"/>
        <w:spacing w:line="520" w:lineRule="exact"/>
        <w:ind w:left="-88" w:leftChars="-42"/>
        <w:rPr>
          <w:rFonts w:ascii="宋体" w:hAnsi="宋体" w:cs="宋体"/>
          <w:color w:val="auto"/>
          <w:szCs w:val="21"/>
          <w:highlight w:val="none"/>
        </w:rPr>
      </w:pPr>
      <w:r>
        <w:rPr>
          <w:rFonts w:hint="eastAsia" w:ascii="宋体" w:hAnsi="宋体" w:cs="宋体"/>
          <w:color w:val="auto"/>
          <w:szCs w:val="21"/>
          <w:highlight w:val="none"/>
        </w:rPr>
        <w:t>说明：</w:t>
      </w:r>
      <w:r>
        <w:rPr>
          <w:rFonts w:ascii="宋体" w:hAnsi="宋体" w:cs="宋体"/>
          <w:color w:val="auto"/>
          <w:szCs w:val="21"/>
          <w:highlight w:val="none"/>
        </w:rPr>
        <w:t>1</w:t>
      </w:r>
      <w:r>
        <w:rPr>
          <w:rFonts w:hint="eastAsia" w:ascii="宋体" w:hAnsi="宋体" w:cs="宋体"/>
          <w:color w:val="auto"/>
          <w:szCs w:val="21"/>
          <w:highlight w:val="none"/>
        </w:rPr>
        <w:t>、“响应与偏离”应注明“响应”或“偏离”。</w:t>
      </w:r>
    </w:p>
    <w:p>
      <w:pPr>
        <w:adjustRightInd w:val="0"/>
        <w:snapToGrid w:val="0"/>
        <w:spacing w:line="520" w:lineRule="exact"/>
        <w:rPr>
          <w:rFonts w:ascii="宋体" w:hAnsi="宋体" w:cs="宋体"/>
          <w:color w:val="auto"/>
          <w:szCs w:val="21"/>
          <w:highlight w:val="none"/>
        </w:rPr>
      </w:pPr>
      <w:r>
        <w:rPr>
          <w:rFonts w:ascii="宋体" w:hAnsi="宋体" w:cs="宋体"/>
          <w:b/>
          <w:color w:val="auto"/>
          <w:szCs w:val="21"/>
          <w:highlight w:val="none"/>
        </w:rPr>
        <w:t xml:space="preserve">     </w:t>
      </w:r>
      <w:r>
        <w:rPr>
          <w:rFonts w:ascii="宋体" w:hAnsi="宋体" w:cs="宋体"/>
          <w:color w:val="auto"/>
          <w:szCs w:val="21"/>
          <w:highlight w:val="none"/>
        </w:rPr>
        <w:t>2</w:t>
      </w:r>
      <w:r>
        <w:rPr>
          <w:rFonts w:hint="eastAsia" w:ascii="宋体" w:hAnsi="宋体" w:cs="宋体"/>
          <w:color w:val="auto"/>
          <w:szCs w:val="21"/>
          <w:highlight w:val="none"/>
        </w:rPr>
        <w:t>、属磋商文件规定可能变动的内容在“说明”栏中注明。</w:t>
      </w:r>
    </w:p>
    <w:p>
      <w:pPr>
        <w:rPr>
          <w:rFonts w:ascii="宋体" w:hAnsi="宋体"/>
          <w:color w:val="auto"/>
          <w:highlight w:val="none"/>
        </w:rPr>
      </w:pP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p>
    <w:p>
      <w:pPr>
        <w:spacing w:line="520" w:lineRule="exact"/>
        <w:rPr>
          <w:rFonts w:ascii="宋体" w:hAnsi="宋体" w:cs="宋体"/>
          <w:color w:val="auto"/>
          <w:highlight w:val="none"/>
        </w:rPr>
      </w:pPr>
    </w:p>
    <w:p>
      <w:pPr>
        <w:adjustRightInd w:val="0"/>
        <w:snapToGrid w:val="0"/>
        <w:spacing w:line="520" w:lineRule="exact"/>
        <w:rPr>
          <w:rFonts w:ascii="宋体" w:hAnsi="宋体" w:cs="宋体"/>
          <w:bCs/>
          <w:color w:val="auto"/>
          <w:szCs w:val="21"/>
          <w:highlight w:val="none"/>
        </w:rPr>
      </w:pPr>
      <w:r>
        <w:rPr>
          <w:rFonts w:hint="eastAsia" w:ascii="宋体" w:hAnsi="宋体" w:cs="宋体"/>
          <w:color w:val="auto"/>
          <w:szCs w:val="21"/>
          <w:highlight w:val="none"/>
        </w:rPr>
        <w:t>供应商名称：</w:t>
      </w:r>
      <w:r>
        <w:rPr>
          <w:rFonts w:ascii="宋体" w:hAnsi="宋体" w:cs="宋体"/>
          <w:color w:val="auto"/>
          <w:szCs w:val="21"/>
          <w:highlight w:val="none"/>
          <w:u w:val="single"/>
        </w:rPr>
        <w:t xml:space="preserve">                   </w:t>
      </w: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ascii="宋体" w:hAnsi="宋体" w:cs="宋体"/>
          <w:color w:val="auto"/>
          <w:szCs w:val="21"/>
          <w:highlight w:val="none"/>
        </w:rPr>
        <w:t>(</w:t>
      </w:r>
      <w:r>
        <w:rPr>
          <w:rFonts w:hint="eastAsia" w:ascii="宋体" w:hAnsi="宋体" w:cs="宋体"/>
          <w:color w:val="auto"/>
          <w:szCs w:val="21"/>
          <w:highlight w:val="none"/>
        </w:rPr>
        <w:t>签字</w:t>
      </w:r>
      <w:r>
        <w:rPr>
          <w:rFonts w:ascii="宋体" w:hAnsi="宋体" w:cs="宋体"/>
          <w:color w:val="auto"/>
          <w:szCs w:val="21"/>
          <w:highlight w:val="none"/>
        </w:rPr>
        <w:t>)</w:t>
      </w:r>
      <w:r>
        <w:rPr>
          <w:rFonts w:hint="eastAsia" w:ascii="宋体" w:hAnsi="宋体" w:cs="宋体"/>
          <w:color w:val="auto"/>
          <w:szCs w:val="21"/>
          <w:highlight w:val="none"/>
        </w:rPr>
        <w:t>：</w:t>
      </w:r>
      <w:r>
        <w:rPr>
          <w:rFonts w:ascii="宋体" w:hAnsi="宋体" w:cs="宋体"/>
          <w:color w:val="auto"/>
          <w:szCs w:val="21"/>
          <w:highlight w:val="none"/>
          <w:u w:val="single"/>
        </w:rPr>
        <w:t xml:space="preserve">                   </w:t>
      </w:r>
    </w:p>
    <w:p>
      <w:pPr>
        <w:adjustRightInd w:val="0"/>
        <w:snapToGrid w:val="0"/>
        <w:spacing w:line="520" w:lineRule="exact"/>
        <w:rPr>
          <w:rFonts w:ascii="宋体" w:hAnsi="宋体" w:cs="宋体"/>
          <w:color w:val="auto"/>
          <w:szCs w:val="21"/>
          <w:highlight w:val="none"/>
        </w:rPr>
      </w:pPr>
      <w:r>
        <w:rPr>
          <w:rFonts w:hint="eastAsia" w:ascii="宋体" w:hAnsi="宋体" w:cs="宋体"/>
          <w:color w:val="auto"/>
          <w:szCs w:val="21"/>
          <w:highlight w:val="none"/>
        </w:rPr>
        <w:t>日</w:t>
      </w:r>
      <w:r>
        <w:rPr>
          <w:rFonts w:ascii="宋体" w:hAnsi="宋体" w:cs="宋体"/>
          <w:color w:val="auto"/>
          <w:szCs w:val="21"/>
          <w:highlight w:val="none"/>
        </w:rPr>
        <w:t xml:space="preserve">          </w:t>
      </w:r>
      <w:r>
        <w:rPr>
          <w:rFonts w:hint="eastAsia" w:ascii="宋体" w:hAnsi="宋体" w:cs="宋体"/>
          <w:color w:val="auto"/>
          <w:szCs w:val="21"/>
          <w:highlight w:val="none"/>
        </w:rPr>
        <w:t>期：</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日</w:t>
      </w:r>
    </w:p>
    <w:p>
      <w:pPr>
        <w:adjustRightInd w:val="0"/>
        <w:snapToGrid w:val="0"/>
        <w:spacing w:line="520" w:lineRule="exact"/>
        <w:rPr>
          <w:rFonts w:ascii="宋体" w:hAnsi="宋体" w:cs="宋体"/>
          <w:color w:val="auto"/>
          <w:szCs w:val="21"/>
          <w:highlight w:val="none"/>
        </w:rPr>
      </w:pPr>
    </w:p>
    <w:p>
      <w:pPr>
        <w:tabs>
          <w:tab w:val="left" w:pos="3600"/>
        </w:tabs>
        <w:adjustRightInd w:val="0"/>
        <w:snapToGrid w:val="0"/>
        <w:spacing w:line="520" w:lineRule="exact"/>
        <w:jc w:val="center"/>
        <w:rPr>
          <w:rFonts w:ascii="宋体" w:hAnsi="宋体" w:cs="宋体"/>
          <w:b/>
          <w:color w:val="auto"/>
          <w:sz w:val="32"/>
          <w:szCs w:val="32"/>
          <w:highlight w:val="none"/>
        </w:rPr>
      </w:pPr>
    </w:p>
    <w:p>
      <w:pPr>
        <w:tabs>
          <w:tab w:val="left" w:pos="3600"/>
        </w:tabs>
        <w:adjustRightInd w:val="0"/>
        <w:snapToGrid w:val="0"/>
        <w:spacing w:line="520" w:lineRule="exact"/>
        <w:jc w:val="center"/>
        <w:rPr>
          <w:rFonts w:ascii="宋体" w:hAnsi="宋体" w:cs="宋体"/>
          <w:b/>
          <w:color w:val="auto"/>
          <w:sz w:val="32"/>
          <w:szCs w:val="32"/>
          <w:highlight w:val="none"/>
        </w:rPr>
      </w:pPr>
    </w:p>
    <w:p>
      <w:pPr>
        <w:tabs>
          <w:tab w:val="left" w:pos="3600"/>
        </w:tabs>
        <w:adjustRightInd w:val="0"/>
        <w:snapToGrid w:val="0"/>
        <w:spacing w:line="520" w:lineRule="exact"/>
        <w:jc w:val="center"/>
        <w:rPr>
          <w:rFonts w:ascii="宋体" w:hAnsi="宋体" w:cs="宋体"/>
          <w:b/>
          <w:color w:val="auto"/>
          <w:sz w:val="32"/>
          <w:szCs w:val="32"/>
          <w:highlight w:val="none"/>
        </w:rPr>
      </w:pPr>
    </w:p>
    <w:p>
      <w:pPr>
        <w:widowControl/>
        <w:adjustRightInd w:val="0"/>
        <w:snapToGrid w:val="0"/>
        <w:spacing w:line="520" w:lineRule="exact"/>
        <w:rPr>
          <w:rFonts w:ascii="宋体" w:hAnsi="宋体" w:cs="宋体"/>
          <w:color w:val="auto"/>
          <w:szCs w:val="21"/>
          <w:highlight w:val="none"/>
        </w:rPr>
      </w:pPr>
    </w:p>
    <w:p>
      <w:pPr>
        <w:adjustRightInd w:val="0"/>
        <w:snapToGrid w:val="0"/>
        <w:spacing w:line="520" w:lineRule="exact"/>
        <w:rPr>
          <w:rFonts w:ascii="宋体" w:hAnsi="宋体" w:cs="宋体"/>
          <w:color w:val="auto"/>
          <w:szCs w:val="21"/>
          <w:highlight w:val="none"/>
        </w:rPr>
      </w:pPr>
    </w:p>
    <w:p>
      <w:pPr>
        <w:spacing w:line="520" w:lineRule="exact"/>
        <w:ind w:firstLine="803"/>
        <w:jc w:val="center"/>
        <w:outlineLvl w:val="1"/>
        <w:rPr>
          <w:rFonts w:ascii="宋体" w:hAnsi="宋体"/>
          <w:b/>
          <w:color w:val="auto"/>
          <w:sz w:val="32"/>
          <w:szCs w:val="32"/>
          <w:highlight w:val="none"/>
        </w:rPr>
      </w:pPr>
      <w:r>
        <w:rPr>
          <w:rFonts w:ascii="宋体" w:hAnsi="宋体" w:cs="宋体"/>
          <w:bCs/>
          <w:color w:val="auto"/>
          <w:szCs w:val="21"/>
          <w:highlight w:val="none"/>
        </w:rPr>
        <w:br w:type="page"/>
      </w:r>
      <w:r>
        <w:rPr>
          <w:rFonts w:hint="eastAsia" w:ascii="宋体" w:hAnsi="宋体" w:cs="宋体"/>
          <w:b/>
          <w:bCs/>
          <w:color w:val="auto"/>
          <w:sz w:val="32"/>
          <w:szCs w:val="32"/>
          <w:highlight w:val="none"/>
        </w:rPr>
        <w:t>六、</w:t>
      </w:r>
      <w:r>
        <w:rPr>
          <w:rFonts w:hint="eastAsia" w:ascii="宋体" w:hAnsi="宋体"/>
          <w:b/>
          <w:color w:val="auto"/>
          <w:sz w:val="32"/>
          <w:szCs w:val="32"/>
          <w:highlight w:val="none"/>
        </w:rPr>
        <w:t>报价一览表及报价文件</w:t>
      </w:r>
    </w:p>
    <w:p>
      <w:pPr>
        <w:tabs>
          <w:tab w:val="left" w:pos="1680"/>
        </w:tabs>
        <w:adjustRightInd w:val="0"/>
        <w:snapToGrid w:val="0"/>
        <w:spacing w:line="520" w:lineRule="exact"/>
        <w:rPr>
          <w:rFonts w:ascii="宋体" w:hAnsi="宋体"/>
          <w:color w:val="auto"/>
          <w:sz w:val="30"/>
          <w:szCs w:val="30"/>
          <w:highlight w:val="none"/>
        </w:rPr>
      </w:pP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7</w:t>
      </w:r>
      <w:r>
        <w:rPr>
          <w:rFonts w:ascii="宋体" w:hAnsi="宋体"/>
          <w:color w:val="auto"/>
          <w:sz w:val="30"/>
          <w:szCs w:val="30"/>
          <w:highlight w:val="none"/>
        </w:rPr>
        <w:tab/>
      </w:r>
    </w:p>
    <w:p>
      <w:pPr>
        <w:spacing w:line="520" w:lineRule="exact"/>
        <w:jc w:val="center"/>
        <w:rPr>
          <w:rFonts w:ascii="宋体" w:hAnsi="宋体"/>
          <w:color w:val="auto"/>
          <w:sz w:val="30"/>
          <w:szCs w:val="30"/>
          <w:highlight w:val="none"/>
        </w:rPr>
      </w:pPr>
      <w:r>
        <w:rPr>
          <w:rFonts w:hint="eastAsia" w:ascii="宋体" w:hAnsi="宋体"/>
          <w:bCs/>
          <w:color w:val="auto"/>
          <w:sz w:val="30"/>
          <w:szCs w:val="30"/>
          <w:highlight w:val="none"/>
        </w:rPr>
        <w:t>报价一览表（服务类适用）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政府采购编号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single" w:color="auto" w:sz="6"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rPr>
                <w:rFonts w:hint="eastAsia" w:ascii="宋体" w:hAnsi="宋体" w:cs="宋体"/>
                <w:color w:val="auto"/>
                <w:szCs w:val="21"/>
                <w:highlight w:val="none"/>
              </w:rPr>
            </w:pPr>
          </w:p>
        </w:tc>
        <w:tc>
          <w:tcPr>
            <w:tcW w:w="306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元人民币整</w:t>
            </w:r>
          </w:p>
          <w:p>
            <w:pPr>
              <w:spacing w:line="420" w:lineRule="exact"/>
              <w:rPr>
                <w:rFonts w:hint="eastAsia" w:ascii="宋体" w:hAnsi="宋体" w:cs="宋体"/>
                <w:color w:val="auto"/>
                <w:szCs w:val="21"/>
                <w:highlight w:val="none"/>
              </w:rPr>
            </w:pPr>
            <w:r>
              <w:rPr>
                <w:rFonts w:hint="eastAsia" w:ascii="宋体" w:hAnsi="宋体" w:cs="宋体"/>
                <w:color w:val="auto"/>
                <w:szCs w:val="21"/>
                <w:highlight w:val="none"/>
              </w:rPr>
              <w:t>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cs="宋体"/>
                <w:i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cs="宋体"/>
                <w:color w:val="auto"/>
                <w:szCs w:val="21"/>
                <w:highlight w:val="none"/>
              </w:rPr>
            </w:pPr>
          </w:p>
        </w:tc>
      </w:tr>
    </w:tbl>
    <w:p>
      <w:pPr>
        <w:adjustRightInd w:val="0"/>
        <w:snapToGrid w:val="0"/>
        <w:spacing w:line="520" w:lineRule="exact"/>
        <w:ind w:left="-88" w:leftChars="-42"/>
        <w:rPr>
          <w:rFonts w:ascii="宋体" w:hAnsi="宋体"/>
          <w:color w:val="auto"/>
          <w:szCs w:val="21"/>
          <w:highlight w:val="none"/>
        </w:rPr>
      </w:pPr>
    </w:p>
    <w:p>
      <w:pPr>
        <w:adjustRightInd w:val="0"/>
        <w:snapToGrid w:val="0"/>
        <w:spacing w:line="520" w:lineRule="exact"/>
        <w:rPr>
          <w:rFonts w:ascii="宋体" w:hAnsi="宋体"/>
          <w:color w:val="auto"/>
          <w:szCs w:val="21"/>
          <w:highlight w:val="none"/>
        </w:rPr>
      </w:pPr>
      <w:r>
        <w:rPr>
          <w:rFonts w:hint="eastAsia" w:ascii="宋体" w:hAnsi="宋体"/>
          <w:color w:val="auto"/>
          <w:szCs w:val="21"/>
          <w:highlight w:val="none"/>
        </w:rPr>
        <w:t>供应商（盖单位章）：</w:t>
      </w:r>
    </w:p>
    <w:p>
      <w:pPr>
        <w:adjustRightInd w:val="0"/>
        <w:snapToGrid w:val="0"/>
        <w:spacing w:line="520" w:lineRule="exact"/>
        <w:rPr>
          <w:rFonts w:ascii="宋体" w:hAnsi="宋体"/>
          <w:color w:val="auto"/>
          <w:szCs w:val="21"/>
          <w:highlight w:val="none"/>
        </w:rPr>
      </w:pPr>
      <w:r>
        <w:rPr>
          <w:rFonts w:hint="eastAsia" w:ascii="宋体" w:hAnsi="宋体"/>
          <w:color w:val="auto"/>
          <w:szCs w:val="21"/>
          <w:highlight w:val="none"/>
        </w:rPr>
        <w:t>法定代表人或其委托代理人签字：</w:t>
      </w:r>
      <w:r>
        <w:rPr>
          <w:rFonts w:ascii="宋体" w:hAnsi="宋体"/>
          <w:color w:val="auto"/>
          <w:szCs w:val="21"/>
          <w:highlight w:val="none"/>
          <w:u w:val="single"/>
        </w:rPr>
        <w:t xml:space="preserve">       </w:t>
      </w:r>
    </w:p>
    <w:p>
      <w:pPr>
        <w:spacing w:line="520" w:lineRule="exact"/>
        <w:rPr>
          <w:rFonts w:ascii="宋体" w:hAnsi="宋体"/>
          <w:color w:val="auto"/>
          <w:szCs w:val="21"/>
          <w:highlight w:val="none"/>
        </w:rPr>
        <w:sectPr>
          <w:headerReference r:id="rId7" w:type="default"/>
          <w:footerReference r:id="rId8" w:type="default"/>
          <w:type w:val="continuous"/>
          <w:pgSz w:w="11906" w:h="16838"/>
          <w:pgMar w:top="1474" w:right="1474" w:bottom="232" w:left="1588" w:header="851" w:footer="992" w:gutter="0"/>
          <w:cols w:space="720" w:num="1"/>
          <w:docGrid w:type="lines" w:linePitch="312" w:charSpace="0"/>
        </w:sectPr>
      </w:pPr>
      <w:r>
        <w:rPr>
          <w:rFonts w:hint="eastAsia" w:ascii="宋体" w:hAnsi="宋体"/>
          <w:color w:val="auto"/>
          <w:szCs w:val="21"/>
          <w:highlight w:val="none"/>
        </w:rPr>
        <w:t>日期：</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年 </w:t>
      </w:r>
      <w:r>
        <w:rPr>
          <w:rFonts w:ascii="宋体" w:hAnsi="宋体"/>
          <w:color w:val="auto"/>
          <w:szCs w:val="21"/>
          <w:highlight w:val="none"/>
          <w:u w:val="single"/>
        </w:rPr>
        <w:t xml:space="preserve">    </w:t>
      </w:r>
      <w:r>
        <w:rPr>
          <w:rFonts w:ascii="宋体" w:hAnsi="宋体"/>
          <w:color w:val="auto"/>
          <w:szCs w:val="21"/>
          <w:highlight w:val="none"/>
        </w:rPr>
        <w:t xml:space="preserve"> 月 </w:t>
      </w:r>
      <w:r>
        <w:rPr>
          <w:rFonts w:ascii="宋体" w:hAnsi="宋体"/>
          <w:color w:val="auto"/>
          <w:szCs w:val="21"/>
          <w:highlight w:val="none"/>
          <w:u w:val="single"/>
        </w:rPr>
        <w:t xml:space="preserve">   </w:t>
      </w:r>
      <w:r>
        <w:rPr>
          <w:rFonts w:ascii="宋体" w:hAnsi="宋体"/>
          <w:color w:val="auto"/>
          <w:szCs w:val="21"/>
          <w:highlight w:val="none"/>
        </w:rPr>
        <w:t xml:space="preserve"> 日</w:t>
      </w:r>
    </w:p>
    <w:p>
      <w:pPr>
        <w:adjustRightInd w:val="0"/>
        <w:snapToGrid w:val="0"/>
        <w:rPr>
          <w:rFonts w:hint="eastAsia" w:ascii="宋体" w:hAnsi="宋体" w:cs="宋体"/>
          <w:color w:val="auto"/>
          <w:sz w:val="30"/>
          <w:szCs w:val="30"/>
          <w:highlight w:val="none"/>
        </w:rPr>
      </w:pPr>
      <w:r>
        <w:rPr>
          <w:rFonts w:hint="eastAsia" w:ascii="宋体" w:hAnsi="宋体" w:cs="宋体"/>
          <w:color w:val="auto"/>
          <w:sz w:val="30"/>
          <w:szCs w:val="30"/>
          <w:highlight w:val="none"/>
        </w:rPr>
        <w:t>附件</w:t>
      </w:r>
      <w:r>
        <w:rPr>
          <w:rFonts w:hint="eastAsia" w:ascii="宋体" w:hAnsi="宋体" w:cs="宋体"/>
          <w:color w:val="auto"/>
          <w:sz w:val="30"/>
          <w:szCs w:val="30"/>
          <w:highlight w:val="none"/>
          <w:lang w:val="en-US" w:eastAsia="zh-CN"/>
        </w:rPr>
        <w:t>7</w:t>
      </w:r>
      <w:r>
        <w:rPr>
          <w:rFonts w:hint="eastAsia" w:ascii="宋体" w:hAnsi="宋体" w:cs="宋体"/>
          <w:color w:val="auto"/>
          <w:sz w:val="30"/>
          <w:szCs w:val="30"/>
          <w:highlight w:val="none"/>
        </w:rPr>
        <w:t>-1</w:t>
      </w:r>
    </w:p>
    <w:p>
      <w:pPr>
        <w:adjustRightInd w:val="0"/>
        <w:snapToGrid w:val="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分项价格表(服务类适用)</w:t>
      </w:r>
    </w:p>
    <w:p>
      <w:pPr>
        <w:spacing w:line="360" w:lineRule="exact"/>
        <w:rPr>
          <w:rFonts w:hint="eastAsia" w:ascii="宋体" w:hAnsi="宋体" w:cs="宋体"/>
          <w:b/>
          <w:color w:val="auto"/>
          <w:highlight w:val="none"/>
        </w:rPr>
      </w:pPr>
    </w:p>
    <w:p>
      <w:pPr>
        <w:spacing w:line="360" w:lineRule="exact"/>
        <w:ind w:firstLine="211" w:firstLineChars="100"/>
        <w:rPr>
          <w:rFonts w:hint="eastAsia" w:ascii="宋体" w:hAnsi="宋体" w:cs="宋体"/>
          <w:b/>
          <w:color w:val="auto"/>
          <w:highlight w:val="none"/>
        </w:rPr>
      </w:pPr>
      <w:r>
        <w:rPr>
          <w:rFonts w:hint="eastAsia" w:ascii="宋体" w:hAnsi="宋体" w:cs="宋体"/>
          <w:b/>
          <w:color w:val="auto"/>
          <w:highlight w:val="none"/>
        </w:rPr>
        <w:t>项目名称：</w:t>
      </w:r>
    </w:p>
    <w:p>
      <w:pPr>
        <w:spacing w:line="360" w:lineRule="exact"/>
        <w:ind w:firstLine="211" w:firstLineChars="100"/>
        <w:rPr>
          <w:rFonts w:hint="eastAsia" w:ascii="宋体" w:hAnsi="宋体" w:cs="宋体"/>
          <w:b/>
          <w:color w:val="auto"/>
          <w:highlight w:val="none"/>
        </w:rPr>
      </w:pPr>
      <w:r>
        <w:rPr>
          <w:rFonts w:hint="eastAsia" w:ascii="宋体" w:hAnsi="宋体" w:cs="宋体"/>
          <w:b/>
          <w:color w:val="auto"/>
          <w:highlight w:val="none"/>
        </w:rPr>
        <w:t>包号：                                                                                                       金额单位：元</w:t>
      </w:r>
    </w:p>
    <w:tbl>
      <w:tblPr>
        <w:tblStyle w:val="26"/>
        <w:tblW w:w="135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44"/>
        <w:gridCol w:w="1320"/>
        <w:gridCol w:w="1320"/>
        <w:gridCol w:w="1740"/>
        <w:gridCol w:w="900"/>
        <w:gridCol w:w="900"/>
        <w:gridCol w:w="1860"/>
        <w:gridCol w:w="1200"/>
        <w:gridCol w:w="23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76"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144"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服务名称</w:t>
            </w:r>
          </w:p>
        </w:tc>
        <w:tc>
          <w:tcPr>
            <w:tcW w:w="132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品目分类</w:t>
            </w:r>
          </w:p>
        </w:tc>
        <w:tc>
          <w:tcPr>
            <w:tcW w:w="132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计量单位</w:t>
            </w:r>
          </w:p>
        </w:tc>
        <w:tc>
          <w:tcPr>
            <w:tcW w:w="174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具体要求说明</w:t>
            </w: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单价</w:t>
            </w: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186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小计</w:t>
            </w:r>
          </w:p>
        </w:tc>
        <w:tc>
          <w:tcPr>
            <w:tcW w:w="120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政策功</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能编码</w:t>
            </w:r>
          </w:p>
        </w:tc>
        <w:tc>
          <w:tcPr>
            <w:tcW w:w="234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144"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74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86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2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2340" w:type="dxa"/>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144"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74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86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2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2340" w:type="dxa"/>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144"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74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86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2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2340" w:type="dxa"/>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14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合计</w:t>
            </w: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32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74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9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860" w:type="dxa"/>
            <w:noWrap w:val="0"/>
            <w:vAlign w:val="top"/>
          </w:tcPr>
          <w:p>
            <w:pPr>
              <w:adjustRightInd w:val="0"/>
              <w:snapToGrid w:val="0"/>
              <w:spacing w:line="360" w:lineRule="auto"/>
              <w:jc w:val="center"/>
              <w:rPr>
                <w:rFonts w:hint="eastAsia" w:ascii="宋体" w:hAnsi="宋体" w:cs="宋体"/>
                <w:color w:val="auto"/>
                <w:szCs w:val="21"/>
                <w:highlight w:val="none"/>
              </w:rPr>
            </w:pPr>
          </w:p>
        </w:tc>
        <w:tc>
          <w:tcPr>
            <w:tcW w:w="1200" w:type="dxa"/>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2340" w:type="dxa"/>
            <w:noWrap w:val="0"/>
            <w:vAlign w:val="center"/>
          </w:tcPr>
          <w:p>
            <w:pPr>
              <w:adjustRightInd w:val="0"/>
              <w:snapToGrid w:val="0"/>
              <w:spacing w:line="360" w:lineRule="auto"/>
              <w:jc w:val="center"/>
              <w:rPr>
                <w:rFonts w:hint="eastAsia" w:ascii="宋体" w:hAnsi="宋体" w:cs="宋体"/>
                <w:color w:val="auto"/>
                <w:szCs w:val="21"/>
                <w:highlight w:val="none"/>
              </w:rPr>
            </w:pPr>
          </w:p>
        </w:tc>
      </w:tr>
    </w:tbl>
    <w:p>
      <w:pPr>
        <w:spacing w:line="360" w:lineRule="exact"/>
        <w:ind w:firstLine="211" w:firstLineChars="100"/>
        <w:rPr>
          <w:rFonts w:hint="eastAsia" w:ascii="宋体" w:hAnsi="宋体" w:cs="宋体"/>
          <w:b/>
          <w:color w:val="auto"/>
          <w:highlight w:val="none"/>
        </w:rPr>
      </w:pPr>
    </w:p>
    <w:p>
      <w:pPr>
        <w:adjustRightInd w:val="0"/>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报价金额合计：小写：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p>
    <w:p>
      <w:pPr>
        <w:adjustRightInd w:val="0"/>
        <w:snapToGrid w:val="0"/>
        <w:spacing w:line="360" w:lineRule="auto"/>
        <w:ind w:left="-88" w:leftChars="-42"/>
        <w:rPr>
          <w:rFonts w:hint="eastAsia" w:ascii="宋体" w:hAnsi="宋体" w:cs="宋体"/>
          <w:color w:val="auto"/>
          <w:szCs w:val="21"/>
          <w:highlight w:val="none"/>
        </w:rPr>
      </w:pPr>
      <w:r>
        <w:rPr>
          <w:rFonts w:hint="eastAsia" w:ascii="宋体" w:hAnsi="宋体" w:cs="宋体"/>
          <w:color w:val="auto"/>
          <w:szCs w:val="21"/>
          <w:highlight w:val="none"/>
        </w:rPr>
        <w:t>说明：</w:t>
      </w:r>
    </w:p>
    <w:p>
      <w:pPr>
        <w:adjustRightInd w:val="0"/>
        <w:snapToGrid w:val="0"/>
        <w:spacing w:line="360" w:lineRule="auto"/>
        <w:ind w:left="-88" w:leftChars="-42" w:firstLine="315" w:firstLineChars="150"/>
        <w:rPr>
          <w:rFonts w:hint="eastAsia" w:ascii="宋体" w:hAnsi="宋体" w:cs="宋体"/>
          <w:color w:val="auto"/>
          <w:szCs w:val="21"/>
          <w:highlight w:val="none"/>
        </w:rPr>
      </w:pPr>
      <w:r>
        <w:rPr>
          <w:rFonts w:hint="eastAsia" w:ascii="宋体" w:hAnsi="宋体" w:cs="宋体"/>
          <w:color w:val="auto"/>
          <w:szCs w:val="21"/>
          <w:highlight w:val="none"/>
        </w:rPr>
        <w:t>1、本表包含磋商文件第四章《采购需求》或其他部分对该项目所有要求的详细报价。“合计”及“报价金额合计”应与附件</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-1《报价一览表》“报价”一致；栏目“单价”为综合单价，应包含所有隐含的管理费、税金和利润等其他费用，并在“具体要求说明”中注明分类项取费标准和其他费用的计费率和金额。</w:t>
      </w:r>
    </w:p>
    <w:p>
      <w:pPr>
        <w:spacing w:line="240" w:lineRule="auto"/>
        <w:rPr>
          <w:rFonts w:ascii="宋体" w:hAnsi="宋体"/>
          <w:color w:val="auto"/>
          <w:szCs w:val="21"/>
          <w:highlight w:val="none"/>
        </w:rPr>
      </w:pPr>
      <w:r>
        <w:rPr>
          <w:rFonts w:hint="eastAsia" w:ascii="宋体" w:hAnsi="宋体" w:cs="宋体"/>
          <w:color w:val="auto"/>
          <w:szCs w:val="21"/>
          <w:highlight w:val="none"/>
        </w:rPr>
        <w:t>2、“服务名称”是指整包分项服务的内容，品目分类是指分项服务费用构成的明细分类项。</w:t>
      </w:r>
    </w:p>
    <w:p>
      <w:pPr>
        <w:pStyle w:val="2"/>
        <w:rPr>
          <w:color w:val="auto"/>
          <w:highlight w:val="none"/>
        </w:rPr>
      </w:pPr>
    </w:p>
    <w:p>
      <w:pPr>
        <w:adjustRightInd/>
        <w:snapToGrid/>
        <w:spacing w:line="240" w:lineRule="auto"/>
        <w:ind w:left="0" w:leftChars="0"/>
        <w:jc w:val="left"/>
        <w:outlineLvl w:val="9"/>
        <w:rPr>
          <w:rFonts w:ascii="宋体" w:hAnsi="宋体" w:cs="宋体"/>
          <w:b/>
          <w:color w:val="auto"/>
          <w:sz w:val="32"/>
          <w:szCs w:val="32"/>
          <w:highlight w:val="none"/>
        </w:rPr>
        <w:sectPr>
          <w:pgSz w:w="16838" w:h="11906" w:orient="landscape"/>
          <w:pgMar w:top="1440" w:right="1080" w:bottom="1440" w:left="1080" w:header="851" w:footer="992" w:gutter="0"/>
          <w:cols w:space="720" w:num="1"/>
          <w:docGrid w:type="lines" w:linePitch="312" w:charSpace="0"/>
        </w:sectPr>
      </w:pPr>
      <w:r>
        <w:rPr>
          <w:rFonts w:ascii="宋体" w:hAnsi="宋体" w:cs="宋体"/>
          <w:b/>
          <w:color w:val="auto"/>
          <w:sz w:val="32"/>
          <w:szCs w:val="32"/>
          <w:highlight w:val="none"/>
        </w:rPr>
        <w:br w:type="page"/>
      </w:r>
    </w:p>
    <w:p>
      <w:pPr>
        <w:adjustRightInd/>
        <w:snapToGrid/>
        <w:spacing w:line="240" w:lineRule="auto"/>
        <w:ind w:left="0" w:leftChars="0"/>
        <w:jc w:val="left"/>
        <w:outlineLvl w:val="9"/>
        <w:rPr>
          <w:rFonts w:ascii="宋体" w:hAnsi="宋体" w:cs="宋体"/>
          <w:color w:val="auto"/>
          <w:sz w:val="28"/>
          <w:szCs w:val="28"/>
          <w:highlight w:val="none"/>
        </w:rPr>
      </w:pPr>
      <w:r>
        <w:rPr>
          <w:rFonts w:hint="eastAsia" w:ascii="宋体" w:hAnsi="宋体" w:cs="宋体"/>
          <w:b/>
          <w:color w:val="auto"/>
          <w:sz w:val="32"/>
          <w:szCs w:val="32"/>
          <w:highlight w:val="none"/>
        </w:rPr>
        <w:t>七</w:t>
      </w:r>
      <w:r>
        <w:rPr>
          <w:rFonts w:hint="eastAsia" w:ascii="宋体" w:hAnsi="宋体" w:cs="宋体"/>
          <w:b/>
          <w:bCs/>
          <w:color w:val="auto"/>
          <w:sz w:val="32"/>
          <w:szCs w:val="32"/>
          <w:highlight w:val="none"/>
        </w:rPr>
        <w:t>、供应商认为需要提供的其它资料</w:t>
      </w:r>
    </w:p>
    <w:p>
      <w:pPr>
        <w:spacing w:line="520" w:lineRule="exact"/>
        <w:ind w:firstLine="803"/>
        <w:jc w:val="left"/>
        <w:rPr>
          <w:rFonts w:ascii="宋体" w:hAnsi="宋体" w:cs="宋体"/>
          <w:bCs/>
          <w:color w:val="auto"/>
          <w:szCs w:val="21"/>
          <w:highlight w:val="none"/>
        </w:rPr>
      </w:pPr>
    </w:p>
    <w:p>
      <w:pPr>
        <w:adjustRightInd w:val="0"/>
        <w:snapToGrid w:val="0"/>
        <w:spacing w:line="52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注：供应商应根据第四章采购</w:t>
      </w:r>
      <w:r>
        <w:rPr>
          <w:rFonts w:ascii="宋体" w:hAnsi="宋体" w:cs="宋体"/>
          <w:color w:val="auto"/>
          <w:kern w:val="0"/>
          <w:szCs w:val="21"/>
          <w:highlight w:val="none"/>
        </w:rPr>
        <w:t>需求</w:t>
      </w:r>
      <w:r>
        <w:rPr>
          <w:rFonts w:hint="eastAsia" w:ascii="宋体" w:hAnsi="宋体" w:cs="宋体"/>
          <w:color w:val="auto"/>
          <w:kern w:val="0"/>
          <w:szCs w:val="21"/>
          <w:highlight w:val="none"/>
        </w:rPr>
        <w:t>及</w:t>
      </w:r>
      <w:r>
        <w:rPr>
          <w:rFonts w:ascii="宋体" w:hAnsi="宋体" w:cs="宋体"/>
          <w:color w:val="auto"/>
          <w:kern w:val="0"/>
          <w:szCs w:val="21"/>
          <w:highlight w:val="none"/>
        </w:rPr>
        <w:t>评分标准要求</w:t>
      </w:r>
      <w:r>
        <w:rPr>
          <w:rFonts w:hint="eastAsia" w:ascii="宋体" w:hAnsi="宋体" w:cs="宋体"/>
          <w:color w:val="auto"/>
          <w:kern w:val="0"/>
          <w:szCs w:val="21"/>
          <w:highlight w:val="none"/>
        </w:rPr>
        <w:t>规定提供其他资料。</w:t>
      </w:r>
    </w:p>
    <w:p>
      <w:pPr>
        <w:adjustRightInd w:val="0"/>
        <w:snapToGrid w:val="0"/>
        <w:spacing w:before="156" w:beforeLines="50" w:line="520" w:lineRule="exact"/>
        <w:jc w:val="center"/>
        <w:outlineLvl w:val="1"/>
        <w:rPr>
          <w:rFonts w:ascii="宋体" w:hAnsi="宋体"/>
          <w:b/>
          <w:color w:val="auto"/>
          <w:sz w:val="32"/>
          <w:szCs w:val="32"/>
          <w:highlight w:val="none"/>
        </w:rPr>
      </w:pPr>
      <w:r>
        <w:rPr>
          <w:rFonts w:hint="eastAsia" w:ascii="宋体" w:hAnsi="宋体" w:cs="宋体"/>
          <w:color w:val="auto"/>
          <w:kern w:val="0"/>
          <w:szCs w:val="21"/>
          <w:highlight w:val="none"/>
        </w:rPr>
        <w:br w:type="page"/>
      </w:r>
      <w:r>
        <w:rPr>
          <w:rFonts w:hint="eastAsia" w:ascii="宋体" w:hAnsi="宋体"/>
          <w:b/>
          <w:color w:val="auto"/>
          <w:sz w:val="32"/>
          <w:szCs w:val="32"/>
          <w:highlight w:val="none"/>
        </w:rPr>
        <w:t>八、最后报价</w:t>
      </w:r>
    </w:p>
    <w:p>
      <w:pPr>
        <w:adjustRightInd w:val="0"/>
        <w:snapToGrid w:val="0"/>
        <w:spacing w:line="520" w:lineRule="exact"/>
        <w:ind w:left="-88" w:leftChars="-42"/>
        <w:rPr>
          <w:rFonts w:ascii="宋体" w:hAnsi="宋体"/>
          <w:b/>
          <w:bCs/>
          <w:color w:val="auto"/>
          <w:sz w:val="24"/>
          <w:highlight w:val="none"/>
        </w:rPr>
      </w:pPr>
    </w:p>
    <w:p>
      <w:pPr>
        <w:adjustRightInd w:val="0"/>
        <w:snapToGrid w:val="0"/>
        <w:spacing w:line="520" w:lineRule="exact"/>
        <w:rPr>
          <w:rFonts w:ascii="宋体" w:hAnsi="宋体"/>
          <w:b/>
          <w:bCs/>
          <w:color w:val="auto"/>
          <w:sz w:val="24"/>
          <w:highlight w:val="none"/>
        </w:rPr>
      </w:pPr>
      <w:r>
        <w:rPr>
          <w:rFonts w:hint="eastAsia" w:ascii="宋体" w:hAnsi="宋体"/>
          <w:b/>
          <w:bCs/>
          <w:color w:val="auto"/>
          <w:sz w:val="24"/>
          <w:highlight w:val="none"/>
        </w:rPr>
        <w:t>说明：</w:t>
      </w:r>
    </w:p>
    <w:p>
      <w:pPr>
        <w:adjustRightInd w:val="0"/>
        <w:snapToGrid w:val="0"/>
        <w:spacing w:line="520" w:lineRule="exact"/>
        <w:ind w:firstLine="482" w:firstLineChars="200"/>
        <w:rPr>
          <w:rFonts w:ascii="宋体" w:hAns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、最后报价按第二章磋商须知第</w:t>
      </w:r>
      <w:r>
        <w:rPr>
          <w:rFonts w:ascii="宋体" w:hAnsi="宋体"/>
          <w:b/>
          <w:bCs/>
          <w:color w:val="auto"/>
          <w:sz w:val="24"/>
          <w:highlight w:val="none"/>
        </w:rPr>
        <w:t>30</w:t>
      </w:r>
      <w:r>
        <w:rPr>
          <w:rFonts w:hint="eastAsia" w:ascii="宋体" w:hAnsi="宋体"/>
          <w:b/>
          <w:bCs/>
          <w:color w:val="auto"/>
          <w:sz w:val="24"/>
          <w:highlight w:val="none"/>
        </w:rPr>
        <w:t>条规定提供，格式按附件</w:t>
      </w:r>
      <w:r>
        <w:rPr>
          <w:rFonts w:hint="eastAsia" w:ascii="宋体" w:hAnsi="宋体"/>
          <w:b/>
          <w:bCs/>
          <w:color w:val="auto"/>
          <w:sz w:val="24"/>
          <w:highlight w:val="none"/>
          <w:lang w:val="en-US" w:eastAsia="zh-CN"/>
        </w:rPr>
        <w:t>7</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附件7-1</w:t>
      </w:r>
      <w:r>
        <w:rPr>
          <w:rFonts w:ascii="宋体" w:hAnsi="宋体"/>
          <w:b/>
          <w:bCs/>
          <w:color w:val="auto"/>
          <w:sz w:val="24"/>
          <w:highlight w:val="none"/>
        </w:rPr>
        <w:t>提供，最后报价不得高于上一轮投标报价，否则为无效投标,此最后报价可以由供应商自行准备。</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spacing w:line="520" w:lineRule="exact"/>
        <w:rPr>
          <w:rFonts w:ascii="宋体" w:hAnsi="宋体"/>
          <w:color w:val="auto"/>
          <w:highlight w:val="none"/>
        </w:rPr>
      </w:pPr>
    </w:p>
    <w:sectPr>
      <w:pgSz w:w="11906" w:h="16838"/>
      <w:pgMar w:top="1474" w:right="1474" w:bottom="232"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ascii="宋体" w:cs="宋体"/>
        <w:bCs/>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7FED0"/>
    <w:multiLevelType w:val="multilevel"/>
    <w:tmpl w:val="E517FED0"/>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1MTFmOGY5MjViMDcwN2M1MzdjMTNlOTIwMTRlY2MifQ=="/>
  </w:docVars>
  <w:rsids>
    <w:rsidRoot w:val="00161563"/>
    <w:rsid w:val="00000628"/>
    <w:rsid w:val="000013FD"/>
    <w:rsid w:val="0001324C"/>
    <w:rsid w:val="00013727"/>
    <w:rsid w:val="00016090"/>
    <w:rsid w:val="00016FE4"/>
    <w:rsid w:val="0001786C"/>
    <w:rsid w:val="00020C73"/>
    <w:rsid w:val="00022409"/>
    <w:rsid w:val="000258A4"/>
    <w:rsid w:val="000265B5"/>
    <w:rsid w:val="0003123C"/>
    <w:rsid w:val="000316F7"/>
    <w:rsid w:val="00031979"/>
    <w:rsid w:val="00032A72"/>
    <w:rsid w:val="0003418B"/>
    <w:rsid w:val="00042C88"/>
    <w:rsid w:val="0005351F"/>
    <w:rsid w:val="000545F8"/>
    <w:rsid w:val="00054778"/>
    <w:rsid w:val="00054823"/>
    <w:rsid w:val="0005603A"/>
    <w:rsid w:val="00060F69"/>
    <w:rsid w:val="0006102A"/>
    <w:rsid w:val="0006280C"/>
    <w:rsid w:val="000656F7"/>
    <w:rsid w:val="00066C8F"/>
    <w:rsid w:val="00071EA2"/>
    <w:rsid w:val="00077020"/>
    <w:rsid w:val="00080D4E"/>
    <w:rsid w:val="000814AD"/>
    <w:rsid w:val="0008195C"/>
    <w:rsid w:val="00084D68"/>
    <w:rsid w:val="00097326"/>
    <w:rsid w:val="0009735C"/>
    <w:rsid w:val="000A3D56"/>
    <w:rsid w:val="000A5F79"/>
    <w:rsid w:val="000B0DA0"/>
    <w:rsid w:val="000B2CF5"/>
    <w:rsid w:val="000B4AB2"/>
    <w:rsid w:val="000B6EE6"/>
    <w:rsid w:val="000C25EA"/>
    <w:rsid w:val="000C59DB"/>
    <w:rsid w:val="000C5CA0"/>
    <w:rsid w:val="000D3739"/>
    <w:rsid w:val="000D46A0"/>
    <w:rsid w:val="000D4ECD"/>
    <w:rsid w:val="000D5290"/>
    <w:rsid w:val="000D7622"/>
    <w:rsid w:val="000E3CEF"/>
    <w:rsid w:val="000E54A2"/>
    <w:rsid w:val="000E6598"/>
    <w:rsid w:val="000F0742"/>
    <w:rsid w:val="000F4473"/>
    <w:rsid w:val="000F6699"/>
    <w:rsid w:val="0010187C"/>
    <w:rsid w:val="00101FC7"/>
    <w:rsid w:val="00105DEA"/>
    <w:rsid w:val="00107A93"/>
    <w:rsid w:val="001117C4"/>
    <w:rsid w:val="00112961"/>
    <w:rsid w:val="00114B63"/>
    <w:rsid w:val="00116EE7"/>
    <w:rsid w:val="001229F8"/>
    <w:rsid w:val="0012310C"/>
    <w:rsid w:val="00123F04"/>
    <w:rsid w:val="00126A45"/>
    <w:rsid w:val="00127277"/>
    <w:rsid w:val="001319F6"/>
    <w:rsid w:val="0013312C"/>
    <w:rsid w:val="001400C7"/>
    <w:rsid w:val="00142950"/>
    <w:rsid w:val="00144D32"/>
    <w:rsid w:val="0014606F"/>
    <w:rsid w:val="001505A8"/>
    <w:rsid w:val="0016122A"/>
    <w:rsid w:val="001614E4"/>
    <w:rsid w:val="00161563"/>
    <w:rsid w:val="0016227B"/>
    <w:rsid w:val="0016687D"/>
    <w:rsid w:val="0016769B"/>
    <w:rsid w:val="00172C85"/>
    <w:rsid w:val="00180E8D"/>
    <w:rsid w:val="001839F7"/>
    <w:rsid w:val="00190761"/>
    <w:rsid w:val="00192FAF"/>
    <w:rsid w:val="001935ED"/>
    <w:rsid w:val="00195AE8"/>
    <w:rsid w:val="00195D5E"/>
    <w:rsid w:val="00196B2F"/>
    <w:rsid w:val="0019709A"/>
    <w:rsid w:val="0019719F"/>
    <w:rsid w:val="001A45B4"/>
    <w:rsid w:val="001A7BC6"/>
    <w:rsid w:val="001B0972"/>
    <w:rsid w:val="001B3A06"/>
    <w:rsid w:val="001C20D6"/>
    <w:rsid w:val="001C5539"/>
    <w:rsid w:val="001C5F63"/>
    <w:rsid w:val="001D012F"/>
    <w:rsid w:val="001D0846"/>
    <w:rsid w:val="001D2414"/>
    <w:rsid w:val="001E1BDD"/>
    <w:rsid w:val="001E7EC4"/>
    <w:rsid w:val="001F3119"/>
    <w:rsid w:val="001F4D8B"/>
    <w:rsid w:val="001F6BD4"/>
    <w:rsid w:val="0020198C"/>
    <w:rsid w:val="00202B48"/>
    <w:rsid w:val="0020462F"/>
    <w:rsid w:val="002056C0"/>
    <w:rsid w:val="00206604"/>
    <w:rsid w:val="00206B59"/>
    <w:rsid w:val="00210813"/>
    <w:rsid w:val="00222053"/>
    <w:rsid w:val="002237C8"/>
    <w:rsid w:val="00234D33"/>
    <w:rsid w:val="002351DA"/>
    <w:rsid w:val="0023644B"/>
    <w:rsid w:val="0024588C"/>
    <w:rsid w:val="0025025D"/>
    <w:rsid w:val="00251DA4"/>
    <w:rsid w:val="00263DF4"/>
    <w:rsid w:val="002703C0"/>
    <w:rsid w:val="00271038"/>
    <w:rsid w:val="0027321A"/>
    <w:rsid w:val="00274E5A"/>
    <w:rsid w:val="0027604D"/>
    <w:rsid w:val="00277578"/>
    <w:rsid w:val="00280740"/>
    <w:rsid w:val="0028270A"/>
    <w:rsid w:val="002831B2"/>
    <w:rsid w:val="00283FFE"/>
    <w:rsid w:val="002942E2"/>
    <w:rsid w:val="002A6F84"/>
    <w:rsid w:val="002A74CF"/>
    <w:rsid w:val="002A7D46"/>
    <w:rsid w:val="002B1437"/>
    <w:rsid w:val="002B6F14"/>
    <w:rsid w:val="002C0147"/>
    <w:rsid w:val="002C5E8A"/>
    <w:rsid w:val="002C755E"/>
    <w:rsid w:val="002D11DF"/>
    <w:rsid w:val="002D5796"/>
    <w:rsid w:val="002D6CE6"/>
    <w:rsid w:val="002E1221"/>
    <w:rsid w:val="002E139F"/>
    <w:rsid w:val="002E54FD"/>
    <w:rsid w:val="002E5DFA"/>
    <w:rsid w:val="002F2FA7"/>
    <w:rsid w:val="002F3743"/>
    <w:rsid w:val="002F4B74"/>
    <w:rsid w:val="002F5260"/>
    <w:rsid w:val="0030147A"/>
    <w:rsid w:val="003037B4"/>
    <w:rsid w:val="00316F4E"/>
    <w:rsid w:val="003203E5"/>
    <w:rsid w:val="00320CBF"/>
    <w:rsid w:val="0032389C"/>
    <w:rsid w:val="0033085C"/>
    <w:rsid w:val="00331CDD"/>
    <w:rsid w:val="003327C8"/>
    <w:rsid w:val="00333016"/>
    <w:rsid w:val="003349E5"/>
    <w:rsid w:val="00341774"/>
    <w:rsid w:val="00344929"/>
    <w:rsid w:val="0034566D"/>
    <w:rsid w:val="00345BB2"/>
    <w:rsid w:val="003578F3"/>
    <w:rsid w:val="00363836"/>
    <w:rsid w:val="00363BFF"/>
    <w:rsid w:val="003711B6"/>
    <w:rsid w:val="00381271"/>
    <w:rsid w:val="0038431C"/>
    <w:rsid w:val="00391D34"/>
    <w:rsid w:val="003943A9"/>
    <w:rsid w:val="0039560A"/>
    <w:rsid w:val="00396DBD"/>
    <w:rsid w:val="00396FAA"/>
    <w:rsid w:val="003A3D9F"/>
    <w:rsid w:val="003A5092"/>
    <w:rsid w:val="003A53EC"/>
    <w:rsid w:val="003A641D"/>
    <w:rsid w:val="003A7F1D"/>
    <w:rsid w:val="003B1C48"/>
    <w:rsid w:val="003B2D0F"/>
    <w:rsid w:val="003B4ACC"/>
    <w:rsid w:val="003B4B20"/>
    <w:rsid w:val="003C1C7F"/>
    <w:rsid w:val="003C2B2B"/>
    <w:rsid w:val="003C3F5F"/>
    <w:rsid w:val="003C4045"/>
    <w:rsid w:val="003C7808"/>
    <w:rsid w:val="003D2734"/>
    <w:rsid w:val="003D5DFA"/>
    <w:rsid w:val="003E2238"/>
    <w:rsid w:val="003E7228"/>
    <w:rsid w:val="003E7BD4"/>
    <w:rsid w:val="004051BA"/>
    <w:rsid w:val="004057AC"/>
    <w:rsid w:val="0041159F"/>
    <w:rsid w:val="00411F19"/>
    <w:rsid w:val="00412BB7"/>
    <w:rsid w:val="00413E59"/>
    <w:rsid w:val="00423163"/>
    <w:rsid w:val="00425023"/>
    <w:rsid w:val="0042770A"/>
    <w:rsid w:val="00431B08"/>
    <w:rsid w:val="0043393E"/>
    <w:rsid w:val="00433F4D"/>
    <w:rsid w:val="004348E2"/>
    <w:rsid w:val="00434BF8"/>
    <w:rsid w:val="00440095"/>
    <w:rsid w:val="00440C7B"/>
    <w:rsid w:val="004430EA"/>
    <w:rsid w:val="004440C5"/>
    <w:rsid w:val="00444DF0"/>
    <w:rsid w:val="00446F77"/>
    <w:rsid w:val="004542E2"/>
    <w:rsid w:val="00461EFA"/>
    <w:rsid w:val="0046705E"/>
    <w:rsid w:val="00472397"/>
    <w:rsid w:val="0047313E"/>
    <w:rsid w:val="004800EA"/>
    <w:rsid w:val="00480904"/>
    <w:rsid w:val="00483D5A"/>
    <w:rsid w:val="0048447D"/>
    <w:rsid w:val="00496C20"/>
    <w:rsid w:val="00496EB5"/>
    <w:rsid w:val="004A146D"/>
    <w:rsid w:val="004A5A68"/>
    <w:rsid w:val="004B2831"/>
    <w:rsid w:val="004B4390"/>
    <w:rsid w:val="004B49DE"/>
    <w:rsid w:val="004B7B5C"/>
    <w:rsid w:val="004C0013"/>
    <w:rsid w:val="004C1DD3"/>
    <w:rsid w:val="004C208A"/>
    <w:rsid w:val="004C31C0"/>
    <w:rsid w:val="004C72D5"/>
    <w:rsid w:val="004D2990"/>
    <w:rsid w:val="004D3897"/>
    <w:rsid w:val="004D6AFC"/>
    <w:rsid w:val="004E0024"/>
    <w:rsid w:val="004E0D77"/>
    <w:rsid w:val="004E6B48"/>
    <w:rsid w:val="004F0776"/>
    <w:rsid w:val="00500619"/>
    <w:rsid w:val="00501989"/>
    <w:rsid w:val="00505F1E"/>
    <w:rsid w:val="0050620B"/>
    <w:rsid w:val="005133BC"/>
    <w:rsid w:val="00514586"/>
    <w:rsid w:val="0051461A"/>
    <w:rsid w:val="00515ACE"/>
    <w:rsid w:val="00525221"/>
    <w:rsid w:val="005278D3"/>
    <w:rsid w:val="005306DE"/>
    <w:rsid w:val="005414AF"/>
    <w:rsid w:val="005419AF"/>
    <w:rsid w:val="00545877"/>
    <w:rsid w:val="0054664D"/>
    <w:rsid w:val="00547A8F"/>
    <w:rsid w:val="0055293E"/>
    <w:rsid w:val="00563DDC"/>
    <w:rsid w:val="00565473"/>
    <w:rsid w:val="00565866"/>
    <w:rsid w:val="00567142"/>
    <w:rsid w:val="005714D9"/>
    <w:rsid w:val="00573607"/>
    <w:rsid w:val="005754BE"/>
    <w:rsid w:val="005772E5"/>
    <w:rsid w:val="00577FB3"/>
    <w:rsid w:val="00581193"/>
    <w:rsid w:val="00581321"/>
    <w:rsid w:val="00583AB5"/>
    <w:rsid w:val="00584F83"/>
    <w:rsid w:val="00595D45"/>
    <w:rsid w:val="00595F4D"/>
    <w:rsid w:val="00596703"/>
    <w:rsid w:val="00596FA9"/>
    <w:rsid w:val="005A0FC0"/>
    <w:rsid w:val="005A4774"/>
    <w:rsid w:val="005B1ADB"/>
    <w:rsid w:val="005B2F58"/>
    <w:rsid w:val="005B4305"/>
    <w:rsid w:val="005B443E"/>
    <w:rsid w:val="005B4C73"/>
    <w:rsid w:val="005D0120"/>
    <w:rsid w:val="005D23B2"/>
    <w:rsid w:val="005D255C"/>
    <w:rsid w:val="005D3071"/>
    <w:rsid w:val="005D579E"/>
    <w:rsid w:val="005D5A8D"/>
    <w:rsid w:val="005D67F1"/>
    <w:rsid w:val="005E1EE2"/>
    <w:rsid w:val="005E548B"/>
    <w:rsid w:val="005F02B2"/>
    <w:rsid w:val="005F0E0C"/>
    <w:rsid w:val="005F23CD"/>
    <w:rsid w:val="005F32D2"/>
    <w:rsid w:val="005F42CC"/>
    <w:rsid w:val="005F5907"/>
    <w:rsid w:val="00600538"/>
    <w:rsid w:val="00602DBB"/>
    <w:rsid w:val="00603A57"/>
    <w:rsid w:val="00604B60"/>
    <w:rsid w:val="0060526B"/>
    <w:rsid w:val="00605CC4"/>
    <w:rsid w:val="00606B4A"/>
    <w:rsid w:val="00616E01"/>
    <w:rsid w:val="0062049F"/>
    <w:rsid w:val="0062126F"/>
    <w:rsid w:val="00622BA3"/>
    <w:rsid w:val="00627D3A"/>
    <w:rsid w:val="00640B56"/>
    <w:rsid w:val="00642600"/>
    <w:rsid w:val="006509CD"/>
    <w:rsid w:val="00651AE8"/>
    <w:rsid w:val="00652C33"/>
    <w:rsid w:val="00654697"/>
    <w:rsid w:val="00656C49"/>
    <w:rsid w:val="00661036"/>
    <w:rsid w:val="00662322"/>
    <w:rsid w:val="006634EB"/>
    <w:rsid w:val="0067076B"/>
    <w:rsid w:val="00676A89"/>
    <w:rsid w:val="00676D3D"/>
    <w:rsid w:val="00677771"/>
    <w:rsid w:val="00682626"/>
    <w:rsid w:val="006828F6"/>
    <w:rsid w:val="006835A0"/>
    <w:rsid w:val="00684181"/>
    <w:rsid w:val="00692F17"/>
    <w:rsid w:val="006A00DC"/>
    <w:rsid w:val="006A1B2D"/>
    <w:rsid w:val="006A42F9"/>
    <w:rsid w:val="006B0475"/>
    <w:rsid w:val="006B3A56"/>
    <w:rsid w:val="006B74D1"/>
    <w:rsid w:val="006C3C04"/>
    <w:rsid w:val="006D1534"/>
    <w:rsid w:val="006E0E5F"/>
    <w:rsid w:val="006E2068"/>
    <w:rsid w:val="006E44B6"/>
    <w:rsid w:val="006E4D5C"/>
    <w:rsid w:val="006F002E"/>
    <w:rsid w:val="006F00E0"/>
    <w:rsid w:val="006F63FE"/>
    <w:rsid w:val="00705052"/>
    <w:rsid w:val="00705B5A"/>
    <w:rsid w:val="007069A1"/>
    <w:rsid w:val="00710030"/>
    <w:rsid w:val="0071004E"/>
    <w:rsid w:val="007129F4"/>
    <w:rsid w:val="00713E5E"/>
    <w:rsid w:val="00714FF2"/>
    <w:rsid w:val="0072021B"/>
    <w:rsid w:val="00720483"/>
    <w:rsid w:val="00720827"/>
    <w:rsid w:val="007221A8"/>
    <w:rsid w:val="00723DA1"/>
    <w:rsid w:val="007262E5"/>
    <w:rsid w:val="00727822"/>
    <w:rsid w:val="00732901"/>
    <w:rsid w:val="007363C3"/>
    <w:rsid w:val="0074326D"/>
    <w:rsid w:val="00750BBA"/>
    <w:rsid w:val="00751A24"/>
    <w:rsid w:val="00751CD1"/>
    <w:rsid w:val="00753B93"/>
    <w:rsid w:val="00765076"/>
    <w:rsid w:val="00766482"/>
    <w:rsid w:val="00770B7F"/>
    <w:rsid w:val="00773FBF"/>
    <w:rsid w:val="0077637B"/>
    <w:rsid w:val="007833FA"/>
    <w:rsid w:val="0078397D"/>
    <w:rsid w:val="007974F0"/>
    <w:rsid w:val="007A2043"/>
    <w:rsid w:val="007A3456"/>
    <w:rsid w:val="007A55C1"/>
    <w:rsid w:val="007A57C7"/>
    <w:rsid w:val="007B6504"/>
    <w:rsid w:val="007C0E0F"/>
    <w:rsid w:val="007C1A3E"/>
    <w:rsid w:val="007D5392"/>
    <w:rsid w:val="007E08A5"/>
    <w:rsid w:val="007E1322"/>
    <w:rsid w:val="007E3276"/>
    <w:rsid w:val="007E6B56"/>
    <w:rsid w:val="007E72D4"/>
    <w:rsid w:val="007E7EFB"/>
    <w:rsid w:val="007F7BB6"/>
    <w:rsid w:val="007F7CDB"/>
    <w:rsid w:val="00801F70"/>
    <w:rsid w:val="008041E0"/>
    <w:rsid w:val="00805A03"/>
    <w:rsid w:val="00812479"/>
    <w:rsid w:val="008130D0"/>
    <w:rsid w:val="00813980"/>
    <w:rsid w:val="00822C82"/>
    <w:rsid w:val="00825146"/>
    <w:rsid w:val="0083035F"/>
    <w:rsid w:val="00831653"/>
    <w:rsid w:val="008322C7"/>
    <w:rsid w:val="00835B86"/>
    <w:rsid w:val="008376F2"/>
    <w:rsid w:val="008428FA"/>
    <w:rsid w:val="00843307"/>
    <w:rsid w:val="00845C51"/>
    <w:rsid w:val="008469A1"/>
    <w:rsid w:val="00846B3C"/>
    <w:rsid w:val="00847016"/>
    <w:rsid w:val="00847357"/>
    <w:rsid w:val="00850E3D"/>
    <w:rsid w:val="0086170E"/>
    <w:rsid w:val="00862285"/>
    <w:rsid w:val="00863F8B"/>
    <w:rsid w:val="00865E65"/>
    <w:rsid w:val="00866D76"/>
    <w:rsid w:val="0087104B"/>
    <w:rsid w:val="00872435"/>
    <w:rsid w:val="00874D26"/>
    <w:rsid w:val="00875711"/>
    <w:rsid w:val="00885ED9"/>
    <w:rsid w:val="0088750F"/>
    <w:rsid w:val="00887778"/>
    <w:rsid w:val="008920A7"/>
    <w:rsid w:val="008A41FD"/>
    <w:rsid w:val="008A4A9C"/>
    <w:rsid w:val="008A6328"/>
    <w:rsid w:val="008A74A7"/>
    <w:rsid w:val="008B092D"/>
    <w:rsid w:val="008B4E48"/>
    <w:rsid w:val="008B619F"/>
    <w:rsid w:val="008B64CB"/>
    <w:rsid w:val="008C5DC9"/>
    <w:rsid w:val="008E003A"/>
    <w:rsid w:val="008E3B11"/>
    <w:rsid w:val="008E4E29"/>
    <w:rsid w:val="008E549D"/>
    <w:rsid w:val="008F03D6"/>
    <w:rsid w:val="008F1EA3"/>
    <w:rsid w:val="008F32CC"/>
    <w:rsid w:val="008F6D15"/>
    <w:rsid w:val="009039F4"/>
    <w:rsid w:val="00905694"/>
    <w:rsid w:val="00905FB9"/>
    <w:rsid w:val="00907929"/>
    <w:rsid w:val="00907CBF"/>
    <w:rsid w:val="009113CF"/>
    <w:rsid w:val="0091477B"/>
    <w:rsid w:val="0092177E"/>
    <w:rsid w:val="00923E34"/>
    <w:rsid w:val="00924B54"/>
    <w:rsid w:val="0092751C"/>
    <w:rsid w:val="00950B9A"/>
    <w:rsid w:val="00950D6E"/>
    <w:rsid w:val="009515C1"/>
    <w:rsid w:val="00951E9B"/>
    <w:rsid w:val="00953EAE"/>
    <w:rsid w:val="00954FFE"/>
    <w:rsid w:val="0095689A"/>
    <w:rsid w:val="00961494"/>
    <w:rsid w:val="009621BF"/>
    <w:rsid w:val="009628BA"/>
    <w:rsid w:val="0096325A"/>
    <w:rsid w:val="00972C5E"/>
    <w:rsid w:val="00974542"/>
    <w:rsid w:val="009758CC"/>
    <w:rsid w:val="009770CB"/>
    <w:rsid w:val="00980539"/>
    <w:rsid w:val="009811CA"/>
    <w:rsid w:val="00982C36"/>
    <w:rsid w:val="00983FED"/>
    <w:rsid w:val="00985E21"/>
    <w:rsid w:val="0098730E"/>
    <w:rsid w:val="00987DA1"/>
    <w:rsid w:val="0099034A"/>
    <w:rsid w:val="009921BB"/>
    <w:rsid w:val="0099338B"/>
    <w:rsid w:val="00993787"/>
    <w:rsid w:val="0099772C"/>
    <w:rsid w:val="009A21C5"/>
    <w:rsid w:val="009A2822"/>
    <w:rsid w:val="009B2A41"/>
    <w:rsid w:val="009B4F44"/>
    <w:rsid w:val="009B6F67"/>
    <w:rsid w:val="009C2323"/>
    <w:rsid w:val="009C351A"/>
    <w:rsid w:val="009C4E1B"/>
    <w:rsid w:val="009C6FFB"/>
    <w:rsid w:val="009D1775"/>
    <w:rsid w:val="009D2E3F"/>
    <w:rsid w:val="009D539F"/>
    <w:rsid w:val="009D562D"/>
    <w:rsid w:val="009D6560"/>
    <w:rsid w:val="009E4573"/>
    <w:rsid w:val="009E5000"/>
    <w:rsid w:val="009E5EF1"/>
    <w:rsid w:val="009E6B88"/>
    <w:rsid w:val="009F1A8D"/>
    <w:rsid w:val="009F33C6"/>
    <w:rsid w:val="009F62B3"/>
    <w:rsid w:val="00A03CEE"/>
    <w:rsid w:val="00A03DC0"/>
    <w:rsid w:val="00A04131"/>
    <w:rsid w:val="00A0639F"/>
    <w:rsid w:val="00A11AA7"/>
    <w:rsid w:val="00A126EB"/>
    <w:rsid w:val="00A145C4"/>
    <w:rsid w:val="00A168E2"/>
    <w:rsid w:val="00A21C00"/>
    <w:rsid w:val="00A26079"/>
    <w:rsid w:val="00A34DDC"/>
    <w:rsid w:val="00A371FE"/>
    <w:rsid w:val="00A37BDD"/>
    <w:rsid w:val="00A402D6"/>
    <w:rsid w:val="00A46F1A"/>
    <w:rsid w:val="00A52C03"/>
    <w:rsid w:val="00A56559"/>
    <w:rsid w:val="00A56FC4"/>
    <w:rsid w:val="00A61580"/>
    <w:rsid w:val="00A6298E"/>
    <w:rsid w:val="00A648A4"/>
    <w:rsid w:val="00A65D91"/>
    <w:rsid w:val="00A75A20"/>
    <w:rsid w:val="00A76AA5"/>
    <w:rsid w:val="00A76EDD"/>
    <w:rsid w:val="00A76FA6"/>
    <w:rsid w:val="00A77E38"/>
    <w:rsid w:val="00A80EBE"/>
    <w:rsid w:val="00A812DC"/>
    <w:rsid w:val="00A8177A"/>
    <w:rsid w:val="00A81C2A"/>
    <w:rsid w:val="00A87C26"/>
    <w:rsid w:val="00A93F43"/>
    <w:rsid w:val="00A95A82"/>
    <w:rsid w:val="00AA157D"/>
    <w:rsid w:val="00AA2716"/>
    <w:rsid w:val="00AA58E0"/>
    <w:rsid w:val="00AB0356"/>
    <w:rsid w:val="00AC0BAB"/>
    <w:rsid w:val="00AC71A6"/>
    <w:rsid w:val="00AD1940"/>
    <w:rsid w:val="00AD4D25"/>
    <w:rsid w:val="00AE4EE7"/>
    <w:rsid w:val="00AE5550"/>
    <w:rsid w:val="00AE708F"/>
    <w:rsid w:val="00AE7B40"/>
    <w:rsid w:val="00AF00CC"/>
    <w:rsid w:val="00AF1EFE"/>
    <w:rsid w:val="00AF230E"/>
    <w:rsid w:val="00AF4E3E"/>
    <w:rsid w:val="00AF55F1"/>
    <w:rsid w:val="00AF5816"/>
    <w:rsid w:val="00AF60D0"/>
    <w:rsid w:val="00AF6E48"/>
    <w:rsid w:val="00AF753E"/>
    <w:rsid w:val="00B01330"/>
    <w:rsid w:val="00B0531B"/>
    <w:rsid w:val="00B11D87"/>
    <w:rsid w:val="00B137A1"/>
    <w:rsid w:val="00B1547C"/>
    <w:rsid w:val="00B21412"/>
    <w:rsid w:val="00B21AB1"/>
    <w:rsid w:val="00B24BD0"/>
    <w:rsid w:val="00B266B5"/>
    <w:rsid w:val="00B33D2E"/>
    <w:rsid w:val="00B3500B"/>
    <w:rsid w:val="00B35E5D"/>
    <w:rsid w:val="00B36923"/>
    <w:rsid w:val="00B422C7"/>
    <w:rsid w:val="00B555BF"/>
    <w:rsid w:val="00B63AD9"/>
    <w:rsid w:val="00B67CFB"/>
    <w:rsid w:val="00B7371D"/>
    <w:rsid w:val="00B7436D"/>
    <w:rsid w:val="00B75732"/>
    <w:rsid w:val="00B769BA"/>
    <w:rsid w:val="00B85CA9"/>
    <w:rsid w:val="00B86F2C"/>
    <w:rsid w:val="00B87960"/>
    <w:rsid w:val="00B91143"/>
    <w:rsid w:val="00B9173C"/>
    <w:rsid w:val="00B9181F"/>
    <w:rsid w:val="00B91C67"/>
    <w:rsid w:val="00B94653"/>
    <w:rsid w:val="00B95A38"/>
    <w:rsid w:val="00BA3B58"/>
    <w:rsid w:val="00BA5669"/>
    <w:rsid w:val="00BB2C93"/>
    <w:rsid w:val="00BC11E3"/>
    <w:rsid w:val="00BD0D02"/>
    <w:rsid w:val="00BD1F57"/>
    <w:rsid w:val="00BD2C10"/>
    <w:rsid w:val="00BD3FA5"/>
    <w:rsid w:val="00BD7540"/>
    <w:rsid w:val="00BE1F77"/>
    <w:rsid w:val="00BE26A6"/>
    <w:rsid w:val="00BE60CF"/>
    <w:rsid w:val="00BF3659"/>
    <w:rsid w:val="00C01BA6"/>
    <w:rsid w:val="00C04F22"/>
    <w:rsid w:val="00C052DE"/>
    <w:rsid w:val="00C074EB"/>
    <w:rsid w:val="00C10279"/>
    <w:rsid w:val="00C10AFA"/>
    <w:rsid w:val="00C11A6E"/>
    <w:rsid w:val="00C11D8D"/>
    <w:rsid w:val="00C12FC6"/>
    <w:rsid w:val="00C13015"/>
    <w:rsid w:val="00C13C27"/>
    <w:rsid w:val="00C21016"/>
    <w:rsid w:val="00C24148"/>
    <w:rsid w:val="00C26407"/>
    <w:rsid w:val="00C314DA"/>
    <w:rsid w:val="00C40EBC"/>
    <w:rsid w:val="00C47F9A"/>
    <w:rsid w:val="00C502F8"/>
    <w:rsid w:val="00C56EBE"/>
    <w:rsid w:val="00C57895"/>
    <w:rsid w:val="00C6155F"/>
    <w:rsid w:val="00C61DAA"/>
    <w:rsid w:val="00C6224D"/>
    <w:rsid w:val="00C62B7E"/>
    <w:rsid w:val="00C67B31"/>
    <w:rsid w:val="00C7339F"/>
    <w:rsid w:val="00C753C9"/>
    <w:rsid w:val="00C848F7"/>
    <w:rsid w:val="00C92094"/>
    <w:rsid w:val="00C95ABB"/>
    <w:rsid w:val="00C95C7C"/>
    <w:rsid w:val="00C97EBB"/>
    <w:rsid w:val="00CA4E2A"/>
    <w:rsid w:val="00CB533D"/>
    <w:rsid w:val="00CB6EE5"/>
    <w:rsid w:val="00CB7968"/>
    <w:rsid w:val="00CC3499"/>
    <w:rsid w:val="00CC4AC9"/>
    <w:rsid w:val="00CC4CAB"/>
    <w:rsid w:val="00CD165E"/>
    <w:rsid w:val="00CD6498"/>
    <w:rsid w:val="00CE0384"/>
    <w:rsid w:val="00CE03E4"/>
    <w:rsid w:val="00CE13C8"/>
    <w:rsid w:val="00CE2C49"/>
    <w:rsid w:val="00CE2CED"/>
    <w:rsid w:val="00CE6D36"/>
    <w:rsid w:val="00CF3701"/>
    <w:rsid w:val="00CF5D65"/>
    <w:rsid w:val="00CF62FC"/>
    <w:rsid w:val="00D03BCA"/>
    <w:rsid w:val="00D03BD0"/>
    <w:rsid w:val="00D05E9A"/>
    <w:rsid w:val="00D109CE"/>
    <w:rsid w:val="00D10C33"/>
    <w:rsid w:val="00D14636"/>
    <w:rsid w:val="00D17D82"/>
    <w:rsid w:val="00D20BFC"/>
    <w:rsid w:val="00D23EC7"/>
    <w:rsid w:val="00D24278"/>
    <w:rsid w:val="00D24835"/>
    <w:rsid w:val="00D2695B"/>
    <w:rsid w:val="00D3347F"/>
    <w:rsid w:val="00D347B6"/>
    <w:rsid w:val="00D34FA7"/>
    <w:rsid w:val="00D364D8"/>
    <w:rsid w:val="00D41A53"/>
    <w:rsid w:val="00D42E7D"/>
    <w:rsid w:val="00D44A8A"/>
    <w:rsid w:val="00D47A29"/>
    <w:rsid w:val="00D515EB"/>
    <w:rsid w:val="00D5310D"/>
    <w:rsid w:val="00D55944"/>
    <w:rsid w:val="00D56043"/>
    <w:rsid w:val="00D57B47"/>
    <w:rsid w:val="00D60947"/>
    <w:rsid w:val="00D62390"/>
    <w:rsid w:val="00D62BB7"/>
    <w:rsid w:val="00D64611"/>
    <w:rsid w:val="00D67A99"/>
    <w:rsid w:val="00D7048F"/>
    <w:rsid w:val="00D70496"/>
    <w:rsid w:val="00D7144D"/>
    <w:rsid w:val="00D72838"/>
    <w:rsid w:val="00D73838"/>
    <w:rsid w:val="00D7479A"/>
    <w:rsid w:val="00D74F5F"/>
    <w:rsid w:val="00D76B22"/>
    <w:rsid w:val="00D76CF3"/>
    <w:rsid w:val="00D80376"/>
    <w:rsid w:val="00D80D39"/>
    <w:rsid w:val="00D8164B"/>
    <w:rsid w:val="00D835B4"/>
    <w:rsid w:val="00D83B5B"/>
    <w:rsid w:val="00D860C3"/>
    <w:rsid w:val="00D91ECD"/>
    <w:rsid w:val="00DB48FF"/>
    <w:rsid w:val="00DB7762"/>
    <w:rsid w:val="00DC084F"/>
    <w:rsid w:val="00DC18EB"/>
    <w:rsid w:val="00DC2F6B"/>
    <w:rsid w:val="00DC64FE"/>
    <w:rsid w:val="00DD0264"/>
    <w:rsid w:val="00DD4BD0"/>
    <w:rsid w:val="00DD7085"/>
    <w:rsid w:val="00DE0401"/>
    <w:rsid w:val="00DE0ACF"/>
    <w:rsid w:val="00DE379A"/>
    <w:rsid w:val="00DE3C43"/>
    <w:rsid w:val="00DF32EE"/>
    <w:rsid w:val="00DF4AE3"/>
    <w:rsid w:val="00DF6D37"/>
    <w:rsid w:val="00E078BD"/>
    <w:rsid w:val="00E10B81"/>
    <w:rsid w:val="00E117FC"/>
    <w:rsid w:val="00E11F18"/>
    <w:rsid w:val="00E14DB0"/>
    <w:rsid w:val="00E14E4D"/>
    <w:rsid w:val="00E14F67"/>
    <w:rsid w:val="00E17BF5"/>
    <w:rsid w:val="00E22590"/>
    <w:rsid w:val="00E22A7A"/>
    <w:rsid w:val="00E26E5F"/>
    <w:rsid w:val="00E30D6E"/>
    <w:rsid w:val="00E415F8"/>
    <w:rsid w:val="00E43C44"/>
    <w:rsid w:val="00E44B1A"/>
    <w:rsid w:val="00E51274"/>
    <w:rsid w:val="00E55368"/>
    <w:rsid w:val="00E57B6C"/>
    <w:rsid w:val="00E60355"/>
    <w:rsid w:val="00E616FC"/>
    <w:rsid w:val="00E6368D"/>
    <w:rsid w:val="00E64224"/>
    <w:rsid w:val="00E645B7"/>
    <w:rsid w:val="00E64D71"/>
    <w:rsid w:val="00E71EE2"/>
    <w:rsid w:val="00E74160"/>
    <w:rsid w:val="00E7605E"/>
    <w:rsid w:val="00E7672C"/>
    <w:rsid w:val="00E8322E"/>
    <w:rsid w:val="00E8608C"/>
    <w:rsid w:val="00E90B97"/>
    <w:rsid w:val="00EA12FC"/>
    <w:rsid w:val="00EA54DC"/>
    <w:rsid w:val="00EB3E23"/>
    <w:rsid w:val="00EB42CA"/>
    <w:rsid w:val="00EB5486"/>
    <w:rsid w:val="00EC0958"/>
    <w:rsid w:val="00EC1F65"/>
    <w:rsid w:val="00EC3244"/>
    <w:rsid w:val="00EC3700"/>
    <w:rsid w:val="00EC52D6"/>
    <w:rsid w:val="00EC6030"/>
    <w:rsid w:val="00EC6FB0"/>
    <w:rsid w:val="00ED1AD3"/>
    <w:rsid w:val="00EE0237"/>
    <w:rsid w:val="00EE5BD9"/>
    <w:rsid w:val="00EF0EE0"/>
    <w:rsid w:val="00EF7822"/>
    <w:rsid w:val="00EF79E2"/>
    <w:rsid w:val="00F008FC"/>
    <w:rsid w:val="00F01BC5"/>
    <w:rsid w:val="00F0224B"/>
    <w:rsid w:val="00F026D6"/>
    <w:rsid w:val="00F065EA"/>
    <w:rsid w:val="00F07D70"/>
    <w:rsid w:val="00F1264D"/>
    <w:rsid w:val="00F13670"/>
    <w:rsid w:val="00F13837"/>
    <w:rsid w:val="00F169B9"/>
    <w:rsid w:val="00F22232"/>
    <w:rsid w:val="00F22C94"/>
    <w:rsid w:val="00F310CF"/>
    <w:rsid w:val="00F32484"/>
    <w:rsid w:val="00F35E4A"/>
    <w:rsid w:val="00F41DFC"/>
    <w:rsid w:val="00F41EB2"/>
    <w:rsid w:val="00F4374A"/>
    <w:rsid w:val="00F51027"/>
    <w:rsid w:val="00F515B3"/>
    <w:rsid w:val="00F531DC"/>
    <w:rsid w:val="00F5356D"/>
    <w:rsid w:val="00F54212"/>
    <w:rsid w:val="00F54629"/>
    <w:rsid w:val="00F55C2C"/>
    <w:rsid w:val="00F57E40"/>
    <w:rsid w:val="00F61D8B"/>
    <w:rsid w:val="00F61FDE"/>
    <w:rsid w:val="00F6275E"/>
    <w:rsid w:val="00F627B2"/>
    <w:rsid w:val="00F65667"/>
    <w:rsid w:val="00F66CB6"/>
    <w:rsid w:val="00F719F7"/>
    <w:rsid w:val="00F73D86"/>
    <w:rsid w:val="00F8484F"/>
    <w:rsid w:val="00F85C48"/>
    <w:rsid w:val="00F910A7"/>
    <w:rsid w:val="00F932FF"/>
    <w:rsid w:val="00F9534B"/>
    <w:rsid w:val="00F9688B"/>
    <w:rsid w:val="00FA31D8"/>
    <w:rsid w:val="00FA5A46"/>
    <w:rsid w:val="00FA6584"/>
    <w:rsid w:val="00FA6A5F"/>
    <w:rsid w:val="00FB6670"/>
    <w:rsid w:val="00FC1E81"/>
    <w:rsid w:val="00FC4F5B"/>
    <w:rsid w:val="00FC5585"/>
    <w:rsid w:val="00FC7FD1"/>
    <w:rsid w:val="00FD0388"/>
    <w:rsid w:val="00FD2758"/>
    <w:rsid w:val="00FD3651"/>
    <w:rsid w:val="00FD5B1F"/>
    <w:rsid w:val="00FD7CA2"/>
    <w:rsid w:val="00FE3F7D"/>
    <w:rsid w:val="00FE48EE"/>
    <w:rsid w:val="00FE4C62"/>
    <w:rsid w:val="00FE4C99"/>
    <w:rsid w:val="00FE7FD7"/>
    <w:rsid w:val="00FF0CC0"/>
    <w:rsid w:val="00FF165B"/>
    <w:rsid w:val="00FF4B4E"/>
    <w:rsid w:val="00FF66E9"/>
    <w:rsid w:val="016519C1"/>
    <w:rsid w:val="01B841E6"/>
    <w:rsid w:val="01E740A4"/>
    <w:rsid w:val="036A42C0"/>
    <w:rsid w:val="037B3C23"/>
    <w:rsid w:val="03887ADA"/>
    <w:rsid w:val="03CE6E1E"/>
    <w:rsid w:val="03E05C76"/>
    <w:rsid w:val="0447630C"/>
    <w:rsid w:val="04C052AB"/>
    <w:rsid w:val="04E3714F"/>
    <w:rsid w:val="051915AA"/>
    <w:rsid w:val="05512E44"/>
    <w:rsid w:val="059D3E1F"/>
    <w:rsid w:val="05A05B06"/>
    <w:rsid w:val="05E63476"/>
    <w:rsid w:val="064A0FDB"/>
    <w:rsid w:val="0694351E"/>
    <w:rsid w:val="06AB524F"/>
    <w:rsid w:val="06C929F2"/>
    <w:rsid w:val="07481863"/>
    <w:rsid w:val="076A4D7C"/>
    <w:rsid w:val="09D838EB"/>
    <w:rsid w:val="0A532E1C"/>
    <w:rsid w:val="0A7B6655"/>
    <w:rsid w:val="0B625E8E"/>
    <w:rsid w:val="0B8E21D5"/>
    <w:rsid w:val="0C4A4514"/>
    <w:rsid w:val="0C692206"/>
    <w:rsid w:val="0C965F77"/>
    <w:rsid w:val="0CA3074E"/>
    <w:rsid w:val="0CA85443"/>
    <w:rsid w:val="0D456EF8"/>
    <w:rsid w:val="0D9370C2"/>
    <w:rsid w:val="0E166F0C"/>
    <w:rsid w:val="0E5B6625"/>
    <w:rsid w:val="0E9C10D7"/>
    <w:rsid w:val="0EF83371"/>
    <w:rsid w:val="0F972A65"/>
    <w:rsid w:val="0FE20680"/>
    <w:rsid w:val="0FE77F56"/>
    <w:rsid w:val="10C5247C"/>
    <w:rsid w:val="111B4E1A"/>
    <w:rsid w:val="119C01A7"/>
    <w:rsid w:val="11BF336F"/>
    <w:rsid w:val="11D9715E"/>
    <w:rsid w:val="11E15B93"/>
    <w:rsid w:val="1226519C"/>
    <w:rsid w:val="12746E33"/>
    <w:rsid w:val="128A4DA6"/>
    <w:rsid w:val="12D13AA6"/>
    <w:rsid w:val="12E05069"/>
    <w:rsid w:val="132444C7"/>
    <w:rsid w:val="13A3486A"/>
    <w:rsid w:val="13E54D49"/>
    <w:rsid w:val="143F3BE7"/>
    <w:rsid w:val="14A072CA"/>
    <w:rsid w:val="14C45041"/>
    <w:rsid w:val="16812D4B"/>
    <w:rsid w:val="1694519F"/>
    <w:rsid w:val="169B6156"/>
    <w:rsid w:val="17780ECB"/>
    <w:rsid w:val="185A0595"/>
    <w:rsid w:val="18860743"/>
    <w:rsid w:val="18EA5EC6"/>
    <w:rsid w:val="194B373A"/>
    <w:rsid w:val="19C648A0"/>
    <w:rsid w:val="1A0A489E"/>
    <w:rsid w:val="1A3B64D4"/>
    <w:rsid w:val="1A3C562C"/>
    <w:rsid w:val="1A6D77CE"/>
    <w:rsid w:val="1ADD5418"/>
    <w:rsid w:val="1ADF676A"/>
    <w:rsid w:val="1AE1695F"/>
    <w:rsid w:val="1B0F4108"/>
    <w:rsid w:val="1B950E1F"/>
    <w:rsid w:val="1BC11A92"/>
    <w:rsid w:val="1C366455"/>
    <w:rsid w:val="1C646FED"/>
    <w:rsid w:val="1CA63468"/>
    <w:rsid w:val="1CB7706E"/>
    <w:rsid w:val="1DA1141F"/>
    <w:rsid w:val="1DCB4429"/>
    <w:rsid w:val="1E5E04EF"/>
    <w:rsid w:val="1E8F21B9"/>
    <w:rsid w:val="1E8F6FB5"/>
    <w:rsid w:val="1F6B53B9"/>
    <w:rsid w:val="1FA140B4"/>
    <w:rsid w:val="1FF466F6"/>
    <w:rsid w:val="2059673D"/>
    <w:rsid w:val="206B5391"/>
    <w:rsid w:val="206F3D96"/>
    <w:rsid w:val="20817323"/>
    <w:rsid w:val="209F5361"/>
    <w:rsid w:val="210D2556"/>
    <w:rsid w:val="21A402EF"/>
    <w:rsid w:val="21CE6CB6"/>
    <w:rsid w:val="228A52D3"/>
    <w:rsid w:val="229C67EB"/>
    <w:rsid w:val="22D24EB3"/>
    <w:rsid w:val="233B291E"/>
    <w:rsid w:val="234A08E8"/>
    <w:rsid w:val="23852C7E"/>
    <w:rsid w:val="244C1C32"/>
    <w:rsid w:val="247710DC"/>
    <w:rsid w:val="25562854"/>
    <w:rsid w:val="256A5AD1"/>
    <w:rsid w:val="25870C3F"/>
    <w:rsid w:val="25A47BC0"/>
    <w:rsid w:val="25BE1C70"/>
    <w:rsid w:val="25C10ACD"/>
    <w:rsid w:val="25DD571A"/>
    <w:rsid w:val="261945E6"/>
    <w:rsid w:val="2638467A"/>
    <w:rsid w:val="264660F1"/>
    <w:rsid w:val="26F55B81"/>
    <w:rsid w:val="270C3078"/>
    <w:rsid w:val="27B021B3"/>
    <w:rsid w:val="2814592E"/>
    <w:rsid w:val="282A312E"/>
    <w:rsid w:val="28A50F6C"/>
    <w:rsid w:val="28D37E08"/>
    <w:rsid w:val="29492D93"/>
    <w:rsid w:val="295977AD"/>
    <w:rsid w:val="2962388F"/>
    <w:rsid w:val="2965057A"/>
    <w:rsid w:val="2A05350B"/>
    <w:rsid w:val="2A712D94"/>
    <w:rsid w:val="2A966966"/>
    <w:rsid w:val="2B395AE8"/>
    <w:rsid w:val="2D1F109F"/>
    <w:rsid w:val="2D871C7E"/>
    <w:rsid w:val="2DC6056F"/>
    <w:rsid w:val="2F0A32CE"/>
    <w:rsid w:val="2F773FD7"/>
    <w:rsid w:val="2F8402BF"/>
    <w:rsid w:val="30AD2B69"/>
    <w:rsid w:val="30E23BA0"/>
    <w:rsid w:val="30ED173E"/>
    <w:rsid w:val="31FC0778"/>
    <w:rsid w:val="327A0FAE"/>
    <w:rsid w:val="32C43EEA"/>
    <w:rsid w:val="32FD564D"/>
    <w:rsid w:val="32FF3736"/>
    <w:rsid w:val="33183D7E"/>
    <w:rsid w:val="336C356C"/>
    <w:rsid w:val="33726084"/>
    <w:rsid w:val="338F6DAA"/>
    <w:rsid w:val="339C412A"/>
    <w:rsid w:val="33CC5185"/>
    <w:rsid w:val="34A25B7B"/>
    <w:rsid w:val="35A0514D"/>
    <w:rsid w:val="35F03BE2"/>
    <w:rsid w:val="366A25E8"/>
    <w:rsid w:val="37024FE0"/>
    <w:rsid w:val="380E0F8F"/>
    <w:rsid w:val="39433ACB"/>
    <w:rsid w:val="3968257B"/>
    <w:rsid w:val="398839F8"/>
    <w:rsid w:val="3AA07372"/>
    <w:rsid w:val="3C8D5785"/>
    <w:rsid w:val="3D7036C0"/>
    <w:rsid w:val="3D8E71C2"/>
    <w:rsid w:val="3E4570B1"/>
    <w:rsid w:val="3E747DC5"/>
    <w:rsid w:val="3F52052C"/>
    <w:rsid w:val="3F6953E1"/>
    <w:rsid w:val="3FB04531"/>
    <w:rsid w:val="40502506"/>
    <w:rsid w:val="406940F1"/>
    <w:rsid w:val="40DA18B2"/>
    <w:rsid w:val="41195379"/>
    <w:rsid w:val="4154211B"/>
    <w:rsid w:val="4182744A"/>
    <w:rsid w:val="424A6D70"/>
    <w:rsid w:val="425B1801"/>
    <w:rsid w:val="42EB655E"/>
    <w:rsid w:val="43741985"/>
    <w:rsid w:val="43AA5386"/>
    <w:rsid w:val="44941C31"/>
    <w:rsid w:val="44BF743E"/>
    <w:rsid w:val="45546A34"/>
    <w:rsid w:val="45EA0010"/>
    <w:rsid w:val="46014545"/>
    <w:rsid w:val="485719B7"/>
    <w:rsid w:val="48AE0448"/>
    <w:rsid w:val="48D1629F"/>
    <w:rsid w:val="48D81AC9"/>
    <w:rsid w:val="494F67AB"/>
    <w:rsid w:val="49B9283F"/>
    <w:rsid w:val="4A5D2FA1"/>
    <w:rsid w:val="4A6F2535"/>
    <w:rsid w:val="4AC7490B"/>
    <w:rsid w:val="4B38703E"/>
    <w:rsid w:val="4B4F7E90"/>
    <w:rsid w:val="4B9C4A02"/>
    <w:rsid w:val="4B9F0C8D"/>
    <w:rsid w:val="4C777C87"/>
    <w:rsid w:val="4CE37251"/>
    <w:rsid w:val="4D447CA9"/>
    <w:rsid w:val="4D966528"/>
    <w:rsid w:val="4DBD5120"/>
    <w:rsid w:val="4DF4589F"/>
    <w:rsid w:val="4DFE5A66"/>
    <w:rsid w:val="4EA84E93"/>
    <w:rsid w:val="4F2627C8"/>
    <w:rsid w:val="4F7D6B92"/>
    <w:rsid w:val="4FC67254"/>
    <w:rsid w:val="4FD54B94"/>
    <w:rsid w:val="4FDD785C"/>
    <w:rsid w:val="5058500E"/>
    <w:rsid w:val="507E7976"/>
    <w:rsid w:val="509925AF"/>
    <w:rsid w:val="50CD6207"/>
    <w:rsid w:val="510164F4"/>
    <w:rsid w:val="51372128"/>
    <w:rsid w:val="529D17DA"/>
    <w:rsid w:val="5330044E"/>
    <w:rsid w:val="534F1156"/>
    <w:rsid w:val="537B1F4B"/>
    <w:rsid w:val="537B59AE"/>
    <w:rsid w:val="53B860CE"/>
    <w:rsid w:val="54C46300"/>
    <w:rsid w:val="54EB3100"/>
    <w:rsid w:val="55653537"/>
    <w:rsid w:val="559161B4"/>
    <w:rsid w:val="564F6097"/>
    <w:rsid w:val="5697402F"/>
    <w:rsid w:val="577543BD"/>
    <w:rsid w:val="58720931"/>
    <w:rsid w:val="58BB0CCB"/>
    <w:rsid w:val="58C56E0C"/>
    <w:rsid w:val="58C86344"/>
    <w:rsid w:val="591C5F7E"/>
    <w:rsid w:val="593D7890"/>
    <w:rsid w:val="5A9B1124"/>
    <w:rsid w:val="5AD320D7"/>
    <w:rsid w:val="5B28699F"/>
    <w:rsid w:val="5B2B1505"/>
    <w:rsid w:val="5B370E4D"/>
    <w:rsid w:val="5CEA6A1E"/>
    <w:rsid w:val="5D640E31"/>
    <w:rsid w:val="5EBB3B43"/>
    <w:rsid w:val="5F363EFC"/>
    <w:rsid w:val="5FA01921"/>
    <w:rsid w:val="5FD053D7"/>
    <w:rsid w:val="60434569"/>
    <w:rsid w:val="61070932"/>
    <w:rsid w:val="610928BC"/>
    <w:rsid w:val="615F4BC1"/>
    <w:rsid w:val="61B43A0E"/>
    <w:rsid w:val="61D87CB4"/>
    <w:rsid w:val="61DE6017"/>
    <w:rsid w:val="625633ED"/>
    <w:rsid w:val="62643805"/>
    <w:rsid w:val="6269322E"/>
    <w:rsid w:val="62BB2DA3"/>
    <w:rsid w:val="637E01CA"/>
    <w:rsid w:val="63C34B38"/>
    <w:rsid w:val="64A4669A"/>
    <w:rsid w:val="64D94D23"/>
    <w:rsid w:val="65055F30"/>
    <w:rsid w:val="653E38E4"/>
    <w:rsid w:val="658A12C7"/>
    <w:rsid w:val="65DE1513"/>
    <w:rsid w:val="660F46EE"/>
    <w:rsid w:val="66B07D06"/>
    <w:rsid w:val="66D81432"/>
    <w:rsid w:val="66E40F09"/>
    <w:rsid w:val="67420650"/>
    <w:rsid w:val="6758204C"/>
    <w:rsid w:val="67DD099F"/>
    <w:rsid w:val="684538A4"/>
    <w:rsid w:val="6868654D"/>
    <w:rsid w:val="689C7E23"/>
    <w:rsid w:val="68AB0647"/>
    <w:rsid w:val="69036813"/>
    <w:rsid w:val="6949654E"/>
    <w:rsid w:val="694F7CAA"/>
    <w:rsid w:val="69845BA5"/>
    <w:rsid w:val="6A6F3C3A"/>
    <w:rsid w:val="6B1B6DF8"/>
    <w:rsid w:val="6B2E2A51"/>
    <w:rsid w:val="6B4162BD"/>
    <w:rsid w:val="6B50407B"/>
    <w:rsid w:val="6B735ED1"/>
    <w:rsid w:val="6C152EEA"/>
    <w:rsid w:val="6C932AC4"/>
    <w:rsid w:val="6CCE1655"/>
    <w:rsid w:val="6E420D8D"/>
    <w:rsid w:val="6E6C72DA"/>
    <w:rsid w:val="6EEB0AC1"/>
    <w:rsid w:val="6F305750"/>
    <w:rsid w:val="6FB47ABC"/>
    <w:rsid w:val="702059A6"/>
    <w:rsid w:val="70251764"/>
    <w:rsid w:val="704843D8"/>
    <w:rsid w:val="70AF47F7"/>
    <w:rsid w:val="70B82074"/>
    <w:rsid w:val="70F36C56"/>
    <w:rsid w:val="71217635"/>
    <w:rsid w:val="7184435E"/>
    <w:rsid w:val="718810F0"/>
    <w:rsid w:val="71A37272"/>
    <w:rsid w:val="71F56D4C"/>
    <w:rsid w:val="71F868E9"/>
    <w:rsid w:val="72137890"/>
    <w:rsid w:val="72506CDC"/>
    <w:rsid w:val="735D4490"/>
    <w:rsid w:val="73F97190"/>
    <w:rsid w:val="74566C6A"/>
    <w:rsid w:val="74641B38"/>
    <w:rsid w:val="747D4872"/>
    <w:rsid w:val="74832394"/>
    <w:rsid w:val="754050EA"/>
    <w:rsid w:val="757D218C"/>
    <w:rsid w:val="75845088"/>
    <w:rsid w:val="75C855D7"/>
    <w:rsid w:val="75E0665E"/>
    <w:rsid w:val="7682557D"/>
    <w:rsid w:val="772E77D6"/>
    <w:rsid w:val="77351C2C"/>
    <w:rsid w:val="773C30A7"/>
    <w:rsid w:val="77482736"/>
    <w:rsid w:val="77754D7F"/>
    <w:rsid w:val="777F5BFE"/>
    <w:rsid w:val="778643E9"/>
    <w:rsid w:val="78752F81"/>
    <w:rsid w:val="78AF300A"/>
    <w:rsid w:val="798C015E"/>
    <w:rsid w:val="79BE5512"/>
    <w:rsid w:val="79F05167"/>
    <w:rsid w:val="7A277702"/>
    <w:rsid w:val="7A596A6C"/>
    <w:rsid w:val="7A700169"/>
    <w:rsid w:val="7A8D6BE3"/>
    <w:rsid w:val="7A9E5E20"/>
    <w:rsid w:val="7AB60F52"/>
    <w:rsid w:val="7BB26D47"/>
    <w:rsid w:val="7BBD6CF5"/>
    <w:rsid w:val="7BE95D3C"/>
    <w:rsid w:val="7C285EFF"/>
    <w:rsid w:val="7C8A52BE"/>
    <w:rsid w:val="7C98679A"/>
    <w:rsid w:val="7D1E4E9B"/>
    <w:rsid w:val="7D383CF7"/>
    <w:rsid w:val="7DCF09A5"/>
    <w:rsid w:val="7E0025F0"/>
    <w:rsid w:val="7E6022E3"/>
    <w:rsid w:val="7ED22E36"/>
    <w:rsid w:val="7F051206"/>
    <w:rsid w:val="7F2C1041"/>
    <w:rsid w:val="7F326877"/>
    <w:rsid w:val="7F733E3D"/>
    <w:rsid w:val="7F8B52E9"/>
    <w:rsid w:val="7F98562A"/>
    <w:rsid w:val="7F99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unhideWhenUsed="0" w:uiPriority="99" w:semiHidden="0" w:name="toc 5"/>
    <w:lsdException w:qFormat="1" w:unhideWhenUsed="0" w:uiPriority="99" w:semiHidden="0" w:name="toc 6"/>
    <w:lsdException w:unhideWhenUsed="0" w:uiPriority="99" w:semiHidden="0" w:name="toc 7"/>
    <w:lsdException w:qFormat="1" w:unhideWhenUsed="0" w:uiPriority="99" w:semiHidden="0" w:name="toc 8"/>
    <w:lsdException w:unhideWhenUsed="0" w:uiPriority="99" w:semiHidden="0" w:name="toc 9"/>
    <w:lsdException w:qFormat="1" w:unhideWhenUsed="0" w:uiPriority="0"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nhideWhenUsed="0" w:uiPriority="99" w:semiHidden="0" w:name="Salutation"/>
    <w:lsdException w:qFormat="1" w:unhideWhenUsed="0" w:uiPriority="0" w:semiHidden="0" w:name="Date"/>
    <w:lsdException w:uiPriority="99" w:name="Body Text First Indent" w:locked="1"/>
    <w:lsdException w:qFormat="1" w:uiPriority="99" w:semiHidden="0" w:name="Body Text First Indent 2" w:locked="1"/>
    <w:lsdException w:uiPriority="99" w:name="Note Heading" w:locked="1"/>
    <w:lsdException w:unhideWhenUsed="0" w:uiPriority="99" w:semiHidden="0" w:name="Body Text 2"/>
    <w:lsdException w:unhideWhenUsed="0" w:uiPriority="99" w:semiHidden="0" w:name="Body Text 3"/>
    <w:lsdException w:qFormat="1" w:unhideWhenUsed="0" w:uiPriority="0" w:semiHidden="0" w:name="Body Text Indent 2"/>
    <w:lsdException w:qFormat="1"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nhideWhenUsed="0" w:uiPriority="99" w:semiHidden="0" w:name="HTML Cite"/>
    <w:lsdException w:unhideWhenUsed="0" w:uiPriority="99" w:semiHidden="0" w:name="HTML Code"/>
    <w:lsdException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99"/>
    <w:pPr>
      <w:keepNext/>
      <w:jc w:val="center"/>
      <w:outlineLvl w:val="0"/>
    </w:pPr>
    <w:rPr>
      <w:b/>
      <w:sz w:val="24"/>
      <w:szCs w:val="20"/>
    </w:rPr>
  </w:style>
  <w:style w:type="paragraph" w:styleId="4">
    <w:name w:val="heading 2"/>
    <w:basedOn w:val="1"/>
    <w:next w:val="1"/>
    <w:link w:val="37"/>
    <w:qFormat/>
    <w:uiPriority w:val="99"/>
    <w:pPr>
      <w:keepNext/>
      <w:keepLines/>
      <w:spacing w:line="360" w:lineRule="auto"/>
      <w:outlineLvl w:val="1"/>
    </w:pPr>
    <w:rPr>
      <w:rFonts w:ascii="Arial" w:hAnsi="Arial"/>
      <w:b/>
      <w:sz w:val="32"/>
      <w:szCs w:val="20"/>
    </w:rPr>
  </w:style>
  <w:style w:type="paragraph" w:styleId="5">
    <w:name w:val="heading 3"/>
    <w:basedOn w:val="1"/>
    <w:next w:val="1"/>
    <w:link w:val="39"/>
    <w:qFormat/>
    <w:uiPriority w:val="99"/>
    <w:pPr>
      <w:keepNext/>
      <w:keepLines/>
      <w:spacing w:before="260" w:after="260" w:line="416" w:lineRule="auto"/>
      <w:outlineLvl w:val="2"/>
    </w:pPr>
    <w:rPr>
      <w:b/>
      <w:sz w:val="32"/>
      <w:szCs w:val="20"/>
    </w:rPr>
  </w:style>
  <w:style w:type="paragraph" w:styleId="6">
    <w:name w:val="heading 4"/>
    <w:basedOn w:val="1"/>
    <w:next w:val="1"/>
    <w:link w:val="33"/>
    <w:qFormat/>
    <w:uiPriority w:val="99"/>
    <w:pPr>
      <w:keepNext/>
      <w:keepLines/>
      <w:spacing w:before="280" w:after="290" w:line="376" w:lineRule="auto"/>
      <w:outlineLvl w:val="3"/>
    </w:pPr>
    <w:rPr>
      <w:rFonts w:ascii="Arial" w:hAnsi="Arial" w:eastAsia="黑体"/>
      <w:b/>
      <w:sz w:val="28"/>
      <w:szCs w:val="20"/>
    </w:rPr>
  </w:style>
  <w:style w:type="paragraph" w:styleId="7">
    <w:name w:val="heading 5"/>
    <w:basedOn w:val="1"/>
    <w:next w:val="1"/>
    <w:link w:val="41"/>
    <w:qFormat/>
    <w:uiPriority w:val="99"/>
    <w:pPr>
      <w:keepNext/>
      <w:keepLines/>
      <w:adjustRightInd w:val="0"/>
      <w:spacing w:before="280" w:after="290" w:line="376" w:lineRule="atLeast"/>
      <w:jc w:val="left"/>
      <w:textAlignment w:val="baseline"/>
      <w:outlineLvl w:val="4"/>
    </w:pPr>
    <w:rPr>
      <w:b/>
      <w:kern w:val="0"/>
      <w:sz w:val="28"/>
      <w:szCs w:val="20"/>
    </w:rPr>
  </w:style>
  <w:style w:type="paragraph" w:styleId="8">
    <w:name w:val="heading 6"/>
    <w:basedOn w:val="1"/>
    <w:next w:val="1"/>
    <w:link w:val="42"/>
    <w:qFormat/>
    <w:uiPriority w:val="99"/>
    <w:pPr>
      <w:keepNext/>
      <w:keepLines/>
      <w:adjustRightInd w:val="0"/>
      <w:spacing w:before="240" w:after="64" w:line="320" w:lineRule="atLeast"/>
      <w:jc w:val="left"/>
      <w:textAlignment w:val="baseline"/>
      <w:outlineLvl w:val="5"/>
    </w:pPr>
    <w:rPr>
      <w:rFonts w:ascii="Arial" w:hAnsi="Arial" w:eastAsia="黑体"/>
      <w:b/>
      <w:kern w:val="0"/>
      <w:sz w:val="24"/>
      <w:szCs w:val="20"/>
    </w:rPr>
  </w:style>
  <w:style w:type="paragraph" w:styleId="9">
    <w:name w:val="heading 7"/>
    <w:basedOn w:val="1"/>
    <w:next w:val="1"/>
    <w:link w:val="43"/>
    <w:qFormat/>
    <w:uiPriority w:val="99"/>
    <w:pPr>
      <w:keepNext/>
      <w:keepLines/>
      <w:adjustRightInd w:val="0"/>
      <w:spacing w:before="240" w:after="64" w:line="320" w:lineRule="atLeast"/>
      <w:jc w:val="left"/>
      <w:textAlignment w:val="baseline"/>
      <w:outlineLvl w:val="6"/>
    </w:pPr>
    <w:rPr>
      <w:b/>
      <w:kern w:val="0"/>
      <w:sz w:val="24"/>
      <w:szCs w:val="20"/>
    </w:rPr>
  </w:style>
  <w:style w:type="paragraph" w:styleId="10">
    <w:name w:val="heading 8"/>
    <w:basedOn w:val="1"/>
    <w:next w:val="1"/>
    <w:link w:val="44"/>
    <w:qFormat/>
    <w:uiPriority w:val="99"/>
    <w:pPr>
      <w:keepNext/>
      <w:keepLines/>
      <w:adjustRightInd w:val="0"/>
      <w:spacing w:before="240" w:after="64" w:line="320" w:lineRule="atLeast"/>
      <w:jc w:val="left"/>
      <w:textAlignment w:val="baseline"/>
      <w:outlineLvl w:val="7"/>
    </w:pPr>
    <w:rPr>
      <w:rFonts w:ascii="Arial" w:hAnsi="Arial" w:eastAsia="黑体"/>
      <w:kern w:val="0"/>
      <w:sz w:val="24"/>
      <w:szCs w:val="20"/>
    </w:rPr>
  </w:style>
  <w:style w:type="paragraph" w:styleId="11">
    <w:name w:val="heading 9"/>
    <w:basedOn w:val="1"/>
    <w:next w:val="1"/>
    <w:link w:val="40"/>
    <w:qFormat/>
    <w:uiPriority w:val="99"/>
    <w:pPr>
      <w:keepNext/>
      <w:keepLines/>
      <w:adjustRightInd w:val="0"/>
      <w:spacing w:before="240" w:after="64" w:line="320" w:lineRule="atLeast"/>
      <w:jc w:val="left"/>
      <w:textAlignment w:val="baseline"/>
      <w:outlineLvl w:val="8"/>
    </w:pPr>
    <w:rPr>
      <w:rFonts w:ascii="Arial" w:hAnsi="Arial" w:eastAsia="黑体"/>
      <w:kern w:val="0"/>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2">
    <w:name w:val="Normal Indent"/>
    <w:basedOn w:val="1"/>
    <w:qFormat/>
    <w:uiPriority w:val="0"/>
    <w:pPr>
      <w:widowControl/>
      <w:ind w:firstLine="420"/>
      <w:jc w:val="left"/>
    </w:pPr>
    <w:rPr>
      <w:kern w:val="0"/>
      <w:sz w:val="20"/>
      <w:szCs w:val="20"/>
    </w:rPr>
  </w:style>
  <w:style w:type="paragraph" w:styleId="13">
    <w:name w:val="annotation text"/>
    <w:basedOn w:val="1"/>
    <w:next w:val="1"/>
    <w:link w:val="32"/>
    <w:semiHidden/>
    <w:qFormat/>
    <w:uiPriority w:val="99"/>
    <w:pPr>
      <w:jc w:val="left"/>
    </w:pPr>
  </w:style>
  <w:style w:type="paragraph" w:styleId="14">
    <w:name w:val="Body Text"/>
    <w:basedOn w:val="1"/>
    <w:next w:val="2"/>
    <w:qFormat/>
    <w:uiPriority w:val="0"/>
    <w:pPr>
      <w:spacing w:after="120"/>
    </w:pPr>
  </w:style>
  <w:style w:type="paragraph" w:styleId="15">
    <w:name w:val="Body Text Indent"/>
    <w:basedOn w:val="1"/>
    <w:next w:val="16"/>
    <w:qFormat/>
    <w:uiPriority w:val="0"/>
    <w:pPr>
      <w:spacing w:after="120"/>
      <w:ind w:left="420" w:leftChars="200"/>
    </w:pPr>
  </w:style>
  <w:style w:type="paragraph" w:styleId="16">
    <w:name w:val="annotation subject"/>
    <w:basedOn w:val="13"/>
    <w:next w:val="1"/>
    <w:link w:val="36"/>
    <w:qFormat/>
    <w:uiPriority w:val="99"/>
    <w:rPr>
      <w:b/>
      <w:bCs/>
    </w:rPr>
  </w:style>
  <w:style w:type="paragraph" w:styleId="17">
    <w:name w:val="toc 3"/>
    <w:basedOn w:val="1"/>
    <w:next w:val="1"/>
    <w:qFormat/>
    <w:uiPriority w:val="39"/>
    <w:pPr>
      <w:tabs>
        <w:tab w:val="right" w:leader="dot" w:pos="8302"/>
      </w:tabs>
      <w:jc w:val="left"/>
    </w:pPr>
    <w:rPr>
      <w:rFonts w:ascii="黑体" w:hAnsi="黑体"/>
      <w:b/>
      <w:bCs/>
      <w:smallCaps/>
      <w:sz w:val="28"/>
      <w:szCs w:val="28"/>
    </w:rPr>
  </w:style>
  <w:style w:type="paragraph" w:styleId="18">
    <w:name w:val="Plain Text"/>
    <w:basedOn w:val="1"/>
    <w:qFormat/>
    <w:uiPriority w:val="0"/>
    <w:rPr>
      <w:rFonts w:ascii="宋体" w:hAnsi="Courier New" w:cs="Courier New"/>
      <w:szCs w:val="21"/>
    </w:rPr>
  </w:style>
  <w:style w:type="paragraph" w:styleId="19">
    <w:name w:val="Body Text Indent 2"/>
    <w:basedOn w:val="1"/>
    <w:qFormat/>
    <w:uiPriority w:val="0"/>
    <w:pPr>
      <w:spacing w:after="120" w:line="480" w:lineRule="auto"/>
      <w:ind w:left="420" w:leftChars="200"/>
    </w:pPr>
    <w:rPr>
      <w:kern w:val="0"/>
      <w:sz w:val="20"/>
    </w:rPr>
  </w:style>
  <w:style w:type="paragraph" w:styleId="20">
    <w:name w:val="footer"/>
    <w:basedOn w:val="1"/>
    <w:next w:val="1"/>
    <w:link w:val="38"/>
    <w:qFormat/>
    <w:uiPriority w:val="99"/>
    <w:pPr>
      <w:tabs>
        <w:tab w:val="center" w:pos="4153"/>
        <w:tab w:val="right" w:pos="8306"/>
      </w:tabs>
      <w:snapToGrid w:val="0"/>
      <w:jc w:val="left"/>
    </w:pPr>
    <w:rPr>
      <w:sz w:val="18"/>
      <w:szCs w:val="18"/>
    </w:rPr>
  </w:style>
  <w:style w:type="paragraph" w:styleId="21">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22">
    <w:name w:val="Body Text Indent 3"/>
    <w:basedOn w:val="1"/>
    <w:link w:val="45"/>
    <w:qFormat/>
    <w:uiPriority w:val="99"/>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itle"/>
    <w:basedOn w:val="1"/>
    <w:next w:val="1"/>
    <w:qFormat/>
    <w:uiPriority w:val="0"/>
    <w:pPr>
      <w:adjustRightInd w:val="0"/>
      <w:snapToGrid w:val="0"/>
      <w:spacing w:before="360" w:after="120" w:line="360" w:lineRule="auto"/>
      <w:ind w:firstLine="357"/>
      <w:jc w:val="center"/>
    </w:pPr>
    <w:rPr>
      <w:rFonts w:eastAsia="黑体" w:cs="Arial"/>
      <w:bCs/>
      <w:sz w:val="52"/>
      <w:szCs w:val="52"/>
    </w:rPr>
  </w:style>
  <w:style w:type="paragraph" w:styleId="25">
    <w:name w:val="Body Text First Indent 2"/>
    <w:basedOn w:val="15"/>
    <w:unhideWhenUsed/>
    <w:qFormat/>
    <w:locked/>
    <w:uiPriority w:val="99"/>
    <w:pPr>
      <w:autoSpaceDE w:val="0"/>
      <w:autoSpaceDN w:val="0"/>
      <w:adjustRightInd w:val="0"/>
      <w:jc w:val="left"/>
    </w:pPr>
    <w:rPr>
      <w:kern w:val="0"/>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qFormat/>
    <w:uiPriority w:val="99"/>
    <w:rPr>
      <w:color w:val="333333"/>
      <w:u w:val="none"/>
    </w:rPr>
  </w:style>
  <w:style w:type="character" w:styleId="30">
    <w:name w:val="annotation reference"/>
    <w:qFormat/>
    <w:uiPriority w:val="99"/>
    <w:rPr>
      <w:sz w:val="21"/>
      <w:szCs w:val="21"/>
    </w:rPr>
  </w:style>
  <w:style w:type="paragraph" w:customStyle="1" w:styleId="31">
    <w:name w:val="样式 文字 + 首行缩进:  2 字符3"/>
    <w:basedOn w:val="1"/>
    <w:qFormat/>
    <w:uiPriority w:val="0"/>
    <w:pPr>
      <w:spacing w:line="360" w:lineRule="auto"/>
      <w:jc w:val="left"/>
    </w:pPr>
    <w:rPr>
      <w:sz w:val="28"/>
      <w:szCs w:val="28"/>
    </w:rPr>
  </w:style>
  <w:style w:type="character" w:customStyle="1" w:styleId="32">
    <w:name w:val="批注文字 字符"/>
    <w:link w:val="13"/>
    <w:semiHidden/>
    <w:qFormat/>
    <w:uiPriority w:val="99"/>
    <w:rPr>
      <w:kern w:val="2"/>
      <w:sz w:val="21"/>
      <w:szCs w:val="24"/>
    </w:rPr>
  </w:style>
  <w:style w:type="character" w:customStyle="1" w:styleId="33">
    <w:name w:val="标题 4 字符"/>
    <w:link w:val="6"/>
    <w:qFormat/>
    <w:locked/>
    <w:uiPriority w:val="99"/>
    <w:rPr>
      <w:rFonts w:ascii="Arial" w:hAnsi="Arial" w:eastAsia="黑体"/>
      <w:b/>
      <w:kern w:val="2"/>
      <w:sz w:val="28"/>
      <w:lang w:val="en-US" w:eastAsia="zh-CN"/>
    </w:rPr>
  </w:style>
  <w:style w:type="character" w:customStyle="1" w:styleId="34">
    <w:name w:val="页眉 字符"/>
    <w:link w:val="21"/>
    <w:qFormat/>
    <w:uiPriority w:val="99"/>
    <w:rPr>
      <w:kern w:val="2"/>
      <w:sz w:val="18"/>
      <w:szCs w:val="18"/>
    </w:rPr>
  </w:style>
  <w:style w:type="character" w:customStyle="1" w:styleId="35">
    <w:name w:val="标题 1 字符"/>
    <w:link w:val="3"/>
    <w:qFormat/>
    <w:locked/>
    <w:uiPriority w:val="99"/>
    <w:rPr>
      <w:rFonts w:eastAsia="宋体"/>
      <w:b/>
      <w:kern w:val="2"/>
      <w:sz w:val="24"/>
      <w:lang w:val="en-US" w:eastAsia="zh-CN"/>
    </w:rPr>
  </w:style>
  <w:style w:type="character" w:customStyle="1" w:styleId="36">
    <w:name w:val="批注主题 字符"/>
    <w:link w:val="16"/>
    <w:qFormat/>
    <w:uiPriority w:val="99"/>
    <w:rPr>
      <w:b/>
      <w:bCs/>
      <w:kern w:val="2"/>
      <w:sz w:val="21"/>
      <w:szCs w:val="24"/>
    </w:rPr>
  </w:style>
  <w:style w:type="character" w:customStyle="1" w:styleId="37">
    <w:name w:val="标题 2 字符"/>
    <w:link w:val="4"/>
    <w:qFormat/>
    <w:locked/>
    <w:uiPriority w:val="99"/>
    <w:rPr>
      <w:rFonts w:ascii="Arial" w:hAnsi="Arial" w:eastAsia="宋体"/>
      <w:b/>
      <w:kern w:val="2"/>
      <w:sz w:val="32"/>
      <w:lang w:val="en-US" w:eastAsia="zh-CN"/>
    </w:rPr>
  </w:style>
  <w:style w:type="character" w:customStyle="1" w:styleId="38">
    <w:name w:val="页脚 字符"/>
    <w:link w:val="20"/>
    <w:qFormat/>
    <w:uiPriority w:val="99"/>
    <w:rPr>
      <w:kern w:val="2"/>
      <w:sz w:val="18"/>
      <w:szCs w:val="18"/>
    </w:rPr>
  </w:style>
  <w:style w:type="character" w:customStyle="1" w:styleId="39">
    <w:name w:val="标题 3 字符"/>
    <w:link w:val="5"/>
    <w:qFormat/>
    <w:locked/>
    <w:uiPriority w:val="99"/>
    <w:rPr>
      <w:rFonts w:eastAsia="宋体"/>
      <w:b/>
      <w:kern w:val="2"/>
      <w:sz w:val="32"/>
      <w:lang w:val="en-US" w:eastAsia="zh-CN"/>
    </w:rPr>
  </w:style>
  <w:style w:type="character" w:customStyle="1" w:styleId="40">
    <w:name w:val="标题 9 字符"/>
    <w:link w:val="11"/>
    <w:qFormat/>
    <w:locked/>
    <w:uiPriority w:val="99"/>
    <w:rPr>
      <w:rFonts w:ascii="Arial" w:hAnsi="Arial" w:eastAsia="黑体"/>
      <w:sz w:val="21"/>
      <w:lang w:val="en-US" w:eastAsia="zh-CN"/>
    </w:rPr>
  </w:style>
  <w:style w:type="character" w:customStyle="1" w:styleId="41">
    <w:name w:val="标题 5 字符"/>
    <w:link w:val="7"/>
    <w:qFormat/>
    <w:locked/>
    <w:uiPriority w:val="99"/>
    <w:rPr>
      <w:rFonts w:eastAsia="宋体"/>
      <w:b/>
      <w:sz w:val="28"/>
      <w:lang w:val="en-US" w:eastAsia="zh-CN"/>
    </w:rPr>
  </w:style>
  <w:style w:type="character" w:customStyle="1" w:styleId="42">
    <w:name w:val="标题 6 字符"/>
    <w:link w:val="8"/>
    <w:qFormat/>
    <w:locked/>
    <w:uiPriority w:val="99"/>
    <w:rPr>
      <w:rFonts w:ascii="Arial" w:hAnsi="Arial" w:eastAsia="黑体"/>
      <w:b/>
      <w:sz w:val="24"/>
      <w:lang w:val="en-US" w:eastAsia="zh-CN"/>
    </w:rPr>
  </w:style>
  <w:style w:type="character" w:customStyle="1" w:styleId="43">
    <w:name w:val="标题 7 字符"/>
    <w:link w:val="9"/>
    <w:qFormat/>
    <w:locked/>
    <w:uiPriority w:val="99"/>
    <w:rPr>
      <w:rFonts w:eastAsia="宋体"/>
      <w:b/>
      <w:sz w:val="24"/>
      <w:lang w:val="en-US" w:eastAsia="zh-CN"/>
    </w:rPr>
  </w:style>
  <w:style w:type="character" w:customStyle="1" w:styleId="44">
    <w:name w:val="标题 8 字符"/>
    <w:link w:val="10"/>
    <w:qFormat/>
    <w:locked/>
    <w:uiPriority w:val="99"/>
    <w:rPr>
      <w:rFonts w:ascii="Arial" w:hAnsi="Arial" w:eastAsia="黑体"/>
      <w:sz w:val="24"/>
      <w:lang w:val="en-US" w:eastAsia="zh-CN"/>
    </w:rPr>
  </w:style>
  <w:style w:type="character" w:customStyle="1" w:styleId="45">
    <w:name w:val="正文文本缩进 3 字符"/>
    <w:link w:val="22"/>
    <w:qFormat/>
    <w:uiPriority w:val="99"/>
    <w:rPr>
      <w:kern w:val="2"/>
      <w:sz w:val="16"/>
      <w:szCs w:val="16"/>
    </w:rPr>
  </w:style>
  <w:style w:type="paragraph" w:customStyle="1" w:styleId="46">
    <w:name w:val="列出段落1"/>
    <w:basedOn w:val="1"/>
    <w:qFormat/>
    <w:uiPriority w:val="0"/>
    <w:pPr>
      <w:widowControl/>
      <w:ind w:firstLine="420"/>
    </w:pPr>
    <w:rPr>
      <w:rFonts w:ascii="Calibri" w:hAnsi="Calibri" w:cs="宋体"/>
      <w:kern w:val="0"/>
      <w:szCs w:val="21"/>
    </w:rPr>
  </w:style>
  <w:style w:type="paragraph" w:customStyle="1" w:styleId="4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8">
    <w:name w:val="TOC 标题1"/>
    <w:basedOn w:val="3"/>
    <w:next w:val="1"/>
    <w:unhideWhenUsed/>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4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Normal_0"/>
    <w:qFormat/>
    <w:uiPriority w:val="0"/>
    <w:pPr>
      <w:widowControl w:val="0"/>
      <w:adjustRightInd w:val="0"/>
      <w:spacing w:line="312" w:lineRule="atLeast"/>
      <w:jc w:val="both"/>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81</Pages>
  <Words>44854</Words>
  <Characters>47426</Characters>
  <Lines>382</Lines>
  <Paragraphs>107</Paragraphs>
  <TotalTime>2</TotalTime>
  <ScaleCrop>false</ScaleCrop>
  <LinksUpToDate>false</LinksUpToDate>
  <CharactersWithSpaces>49158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2023-05-30T06:03:00Z</dcterms:created>
  <dc:creator>User</dc:creator>
  <cp:lastModifiedBy>lucky</cp:lastModifiedBy>
  <cp:lastPrinted>2023-10-09T04:43:00Z</cp:lastPrinted>
  <dcterms:modified xsi:type="dcterms:W3CDTF">2023-10-27T10:06:00Z</dcterms:modified>
  <dc:title>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2420763B37F0476FB4BA9051DD2B079C_13</vt:lpwstr>
  </property>
</Properties>
</file>