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rPr>
          <w:rFonts w:ascii="楷体_GB2312" w:hAnsi="宋体" w:eastAsia="楷体_GB2312"/>
          <w:b/>
          <w:color w:val="auto"/>
          <w:highlight w:val="none"/>
        </w:rPr>
      </w:pPr>
    </w:p>
    <w:p>
      <w:pPr>
        <w:pStyle w:val="25"/>
        <w:rPr>
          <w:rFonts w:hAnsi="宋体"/>
          <w:b/>
          <w:color w:val="auto"/>
          <w:highlight w:val="none"/>
        </w:rPr>
      </w:pPr>
    </w:p>
    <w:p>
      <w:pPr>
        <w:pStyle w:val="25"/>
        <w:jc w:val="center"/>
        <w:rPr>
          <w:rFonts w:hint="eastAsia" w:hAnsi="宋体"/>
          <w:b/>
          <w:color w:val="auto"/>
          <w:highlight w:val="none"/>
        </w:rPr>
      </w:pPr>
    </w:p>
    <w:p>
      <w:pPr>
        <w:pStyle w:val="25"/>
        <w:jc w:val="center"/>
        <w:rPr>
          <w:rFonts w:hint="eastAsia" w:hAnsi="宋体"/>
          <w:b/>
          <w:color w:val="auto"/>
          <w:sz w:val="84"/>
          <w:szCs w:val="84"/>
          <w:highlight w:val="none"/>
        </w:rPr>
      </w:pPr>
    </w:p>
    <w:p>
      <w:pPr>
        <w:pStyle w:val="25"/>
        <w:jc w:val="center"/>
        <w:rPr>
          <w:rFonts w:hint="eastAsia" w:hAnsi="宋体"/>
          <w:b/>
          <w:color w:val="auto"/>
          <w:sz w:val="84"/>
          <w:szCs w:val="84"/>
          <w:highlight w:val="none"/>
        </w:rPr>
      </w:pPr>
      <w:r>
        <w:rPr>
          <w:rFonts w:hint="eastAsia" w:hAnsi="宋体"/>
          <w:b/>
          <w:color w:val="auto"/>
          <w:sz w:val="84"/>
          <w:szCs w:val="84"/>
          <w:highlight w:val="none"/>
        </w:rPr>
        <w:t>竞争性磋商文件</w:t>
      </w:r>
    </w:p>
    <w:p>
      <w:pPr>
        <w:pStyle w:val="25"/>
        <w:rPr>
          <w:rFonts w:hint="eastAsia" w:hAnsi="宋体"/>
          <w:b/>
          <w:color w:val="auto"/>
          <w:sz w:val="72"/>
          <w:szCs w:val="72"/>
          <w:highlight w:val="none"/>
        </w:rPr>
      </w:pPr>
    </w:p>
    <w:p>
      <w:pPr>
        <w:pStyle w:val="25"/>
        <w:jc w:val="center"/>
        <w:rPr>
          <w:rFonts w:hint="eastAsia" w:hAnsi="宋体"/>
          <w:b/>
          <w:color w:val="auto"/>
          <w:sz w:val="72"/>
          <w:szCs w:val="72"/>
          <w:highlight w:val="none"/>
        </w:rPr>
      </w:pPr>
    </w:p>
    <w:p>
      <w:pPr>
        <w:pStyle w:val="25"/>
        <w:jc w:val="center"/>
        <w:rPr>
          <w:rFonts w:hint="eastAsia" w:hAnsi="宋体"/>
          <w:b/>
          <w:color w:val="auto"/>
          <w:sz w:val="72"/>
          <w:szCs w:val="72"/>
          <w:highlight w:val="none"/>
        </w:rPr>
      </w:pPr>
    </w:p>
    <w:p>
      <w:pPr>
        <w:spacing w:line="360" w:lineRule="auto"/>
        <w:ind w:firstLine="1280" w:firstLineChars="400"/>
        <w:rPr>
          <w:rFonts w:hint="eastAsia" w:ascii="宋体" w:hAnsi="宋体" w:eastAsia="宋体" w:cs="Courier New"/>
          <w:color w:val="auto"/>
          <w:kern w:val="2"/>
          <w:sz w:val="32"/>
          <w:szCs w:val="32"/>
          <w:highlight w:val="none"/>
          <w:lang w:val="en-US" w:eastAsia="zh-CN" w:bidi="ar-SA"/>
        </w:rPr>
      </w:pPr>
      <w:r>
        <w:rPr>
          <w:rFonts w:hint="eastAsia" w:ascii="宋体" w:hAnsi="宋体"/>
          <w:color w:val="auto"/>
          <w:sz w:val="32"/>
          <w:szCs w:val="32"/>
          <w:highlight w:val="none"/>
        </w:rPr>
        <w:t>采购项目名称：</w:t>
      </w:r>
      <w:r>
        <w:rPr>
          <w:rFonts w:hint="eastAsia" w:ascii="宋体" w:hAnsi="宋体" w:eastAsia="宋体" w:cs="Courier New"/>
          <w:color w:val="auto"/>
          <w:kern w:val="2"/>
          <w:sz w:val="32"/>
          <w:szCs w:val="32"/>
          <w:highlight w:val="none"/>
          <w:lang w:val="en-US" w:eastAsia="zh-CN" w:bidi="ar-SA"/>
        </w:rPr>
        <w:t>湖南省检验检测特色产业园2023-2024</w:t>
      </w:r>
    </w:p>
    <w:p>
      <w:pPr>
        <w:spacing w:line="360" w:lineRule="auto"/>
        <w:ind w:firstLine="1280" w:firstLineChars="400"/>
        <w:rPr>
          <w:rFonts w:hint="eastAsia" w:ascii="宋体" w:hAnsi="宋体" w:eastAsia="宋体" w:cs="Courier New"/>
          <w:color w:val="auto"/>
          <w:kern w:val="2"/>
          <w:sz w:val="32"/>
          <w:szCs w:val="32"/>
          <w:highlight w:val="none"/>
          <w:lang w:val="en-US" w:eastAsia="zh-CN" w:bidi="ar-SA"/>
        </w:rPr>
      </w:pPr>
      <w:r>
        <w:rPr>
          <w:rFonts w:hint="eastAsia" w:ascii="宋体" w:hAnsi="宋体" w:eastAsia="宋体" w:cs="Courier New"/>
          <w:color w:val="auto"/>
          <w:kern w:val="2"/>
          <w:sz w:val="32"/>
          <w:szCs w:val="32"/>
          <w:highlight w:val="none"/>
          <w:lang w:val="en-US" w:eastAsia="zh-CN" w:bidi="ar-SA"/>
        </w:rPr>
        <w:t xml:space="preserve">年度保洁服务采购项目（第二次） </w:t>
      </w:r>
    </w:p>
    <w:p>
      <w:pPr>
        <w:pStyle w:val="25"/>
        <w:adjustRightInd w:val="0"/>
        <w:snapToGrid w:val="0"/>
        <w:spacing w:line="360" w:lineRule="auto"/>
        <w:ind w:left="840" w:leftChars="300" w:right="302" w:rightChars="108" w:firstLine="480" w:firstLineChars="150"/>
        <w:rPr>
          <w:rFonts w:hint="eastAsia" w:hAnsi="宋体"/>
          <w:color w:val="auto"/>
          <w:sz w:val="32"/>
          <w:szCs w:val="32"/>
          <w:highlight w:val="none"/>
        </w:rPr>
      </w:pPr>
      <w:r>
        <w:rPr>
          <w:rFonts w:hint="eastAsia" w:hAnsi="宋体"/>
          <w:color w:val="auto"/>
          <w:sz w:val="32"/>
          <w:szCs w:val="32"/>
          <w:highlight w:val="none"/>
        </w:rPr>
        <w:t>采   购  人：</w:t>
      </w:r>
      <w:r>
        <w:rPr>
          <w:rFonts w:hint="eastAsia" w:hAnsi="宋体"/>
          <w:color w:val="auto"/>
          <w:sz w:val="32"/>
          <w:szCs w:val="32"/>
          <w:highlight w:val="none"/>
          <w:lang w:eastAsia="zh-CN"/>
        </w:rPr>
        <w:t>湖南智谷投资发展集团有限公司</w:t>
      </w:r>
      <w:r>
        <w:rPr>
          <w:rFonts w:hint="eastAsia" w:hAnsi="宋体"/>
          <w:color w:val="auto"/>
          <w:sz w:val="32"/>
          <w:szCs w:val="32"/>
          <w:highlight w:val="none"/>
        </w:rPr>
        <w:t xml:space="preserve"> </w:t>
      </w:r>
    </w:p>
    <w:p>
      <w:pPr>
        <w:pStyle w:val="25"/>
        <w:adjustRightInd w:val="0"/>
        <w:snapToGrid w:val="0"/>
        <w:spacing w:line="360" w:lineRule="auto"/>
        <w:ind w:left="840" w:leftChars="300" w:right="302" w:rightChars="108" w:firstLine="480" w:firstLineChars="150"/>
        <w:rPr>
          <w:rFonts w:hint="eastAsia" w:hAnsi="宋体"/>
          <w:color w:val="auto"/>
          <w:sz w:val="32"/>
          <w:szCs w:val="32"/>
          <w:highlight w:val="none"/>
        </w:rPr>
      </w:pPr>
      <w:r>
        <w:rPr>
          <w:rFonts w:hint="eastAsia" w:hAnsi="宋体"/>
          <w:color w:val="auto"/>
          <w:sz w:val="32"/>
          <w:szCs w:val="32"/>
          <w:highlight w:val="none"/>
        </w:rPr>
        <w:t>委托代理编号：</w:t>
      </w:r>
      <w:r>
        <w:rPr>
          <w:rFonts w:hint="eastAsia" w:hAnsi="宋体"/>
          <w:color w:val="auto"/>
          <w:sz w:val="32"/>
          <w:szCs w:val="32"/>
          <w:highlight w:val="none"/>
          <w:lang w:eastAsia="zh-CN"/>
        </w:rPr>
        <w:t>ZCZB-CG(F)-2023085</w:t>
      </w:r>
      <w:r>
        <w:rPr>
          <w:rFonts w:hint="eastAsia" w:hAnsi="宋体"/>
          <w:color w:val="auto"/>
          <w:sz w:val="32"/>
          <w:szCs w:val="32"/>
          <w:highlight w:val="none"/>
        </w:rPr>
        <w:t xml:space="preserve"> </w:t>
      </w:r>
    </w:p>
    <w:p>
      <w:pPr>
        <w:pStyle w:val="25"/>
        <w:adjustRightInd w:val="0"/>
        <w:snapToGrid w:val="0"/>
        <w:spacing w:line="360" w:lineRule="auto"/>
        <w:ind w:left="840" w:leftChars="300" w:right="302" w:rightChars="108" w:firstLine="480" w:firstLineChars="150"/>
        <w:rPr>
          <w:rFonts w:hint="eastAsia" w:hAnsi="宋体"/>
          <w:color w:val="auto"/>
          <w:sz w:val="32"/>
          <w:szCs w:val="32"/>
          <w:highlight w:val="none"/>
        </w:rPr>
      </w:pPr>
      <w:r>
        <w:rPr>
          <w:rFonts w:hint="eastAsia" w:hAnsi="宋体"/>
          <w:color w:val="auto"/>
          <w:sz w:val="32"/>
          <w:szCs w:val="32"/>
          <w:highlight w:val="none"/>
        </w:rPr>
        <w:t>采购代理机构:</w:t>
      </w:r>
      <w:r>
        <w:rPr>
          <w:rFonts w:hint="eastAsia" w:hAnsi="宋体"/>
          <w:color w:val="auto"/>
          <w:sz w:val="32"/>
          <w:szCs w:val="32"/>
          <w:highlight w:val="none"/>
          <w:lang w:eastAsia="zh-CN"/>
        </w:rPr>
        <w:t>中采联合招标有限公司</w:t>
      </w:r>
      <w:r>
        <w:rPr>
          <w:rFonts w:hint="eastAsia" w:hAnsi="宋体"/>
          <w:color w:val="auto"/>
          <w:sz w:val="32"/>
          <w:szCs w:val="32"/>
          <w:highlight w:val="none"/>
        </w:rPr>
        <w:t xml:space="preserve"> </w:t>
      </w:r>
    </w:p>
    <w:p>
      <w:pPr>
        <w:pStyle w:val="25"/>
        <w:adjustRightInd w:val="0"/>
        <w:snapToGrid w:val="0"/>
        <w:spacing w:line="360" w:lineRule="auto"/>
        <w:ind w:left="2774" w:leftChars="202" w:right="302" w:rightChars="108" w:hanging="2208" w:hangingChars="690"/>
        <w:rPr>
          <w:rFonts w:hint="eastAsia" w:hAnsi="宋体"/>
          <w:color w:val="auto"/>
          <w:sz w:val="32"/>
          <w:szCs w:val="32"/>
          <w:highlight w:val="none"/>
        </w:rPr>
      </w:pPr>
    </w:p>
    <w:p>
      <w:pPr>
        <w:pStyle w:val="25"/>
        <w:adjustRightInd w:val="0"/>
        <w:snapToGrid w:val="0"/>
        <w:spacing w:line="360" w:lineRule="auto"/>
        <w:ind w:left="2774" w:leftChars="202" w:right="302" w:rightChars="108" w:hanging="2208" w:hangingChars="690"/>
        <w:rPr>
          <w:rFonts w:hint="eastAsia" w:hAnsi="宋体"/>
          <w:color w:val="auto"/>
          <w:sz w:val="32"/>
          <w:szCs w:val="32"/>
          <w:highlight w:val="none"/>
        </w:rPr>
      </w:pPr>
    </w:p>
    <w:p>
      <w:pPr>
        <w:pStyle w:val="25"/>
        <w:adjustRightInd w:val="0"/>
        <w:snapToGrid w:val="0"/>
        <w:spacing w:line="360" w:lineRule="auto"/>
        <w:ind w:left="2774" w:leftChars="202" w:right="302" w:rightChars="108" w:hanging="2208" w:hangingChars="690"/>
        <w:rPr>
          <w:rFonts w:hint="eastAsia" w:hAnsi="宋体"/>
          <w:color w:val="auto"/>
          <w:sz w:val="32"/>
          <w:szCs w:val="32"/>
          <w:highlight w:val="none"/>
        </w:rPr>
      </w:pPr>
    </w:p>
    <w:p>
      <w:pPr>
        <w:pStyle w:val="25"/>
        <w:adjustRightInd w:val="0"/>
        <w:snapToGrid w:val="0"/>
        <w:spacing w:line="360" w:lineRule="auto"/>
        <w:ind w:left="2774" w:leftChars="202" w:right="302" w:rightChars="108" w:hanging="2208" w:hangingChars="690"/>
        <w:rPr>
          <w:rFonts w:hint="eastAsia" w:hAnsi="宋体"/>
          <w:color w:val="auto"/>
          <w:sz w:val="32"/>
          <w:szCs w:val="32"/>
          <w:highlight w:val="none"/>
        </w:rPr>
      </w:pPr>
    </w:p>
    <w:p>
      <w:pPr>
        <w:pStyle w:val="25"/>
        <w:adjustRightInd w:val="0"/>
        <w:snapToGrid w:val="0"/>
        <w:spacing w:line="360" w:lineRule="auto"/>
        <w:ind w:left="2800" w:leftChars="1000" w:right="302" w:rightChars="108" w:firstLine="675" w:firstLineChars="211"/>
        <w:rPr>
          <w:rFonts w:hint="eastAsia" w:hAnsi="宋体"/>
          <w:color w:val="auto"/>
          <w:sz w:val="32"/>
          <w:szCs w:val="32"/>
          <w:highlight w:val="none"/>
        </w:rPr>
      </w:pPr>
      <w:r>
        <w:rPr>
          <w:rFonts w:hint="eastAsia" w:hAnsi="宋体"/>
          <w:color w:val="auto"/>
          <w:sz w:val="32"/>
          <w:szCs w:val="32"/>
          <w:highlight w:val="none"/>
        </w:rPr>
        <w:t>202</w:t>
      </w:r>
      <w:r>
        <w:rPr>
          <w:rFonts w:hint="eastAsia" w:hAnsi="宋体"/>
          <w:color w:val="auto"/>
          <w:sz w:val="32"/>
          <w:szCs w:val="32"/>
          <w:highlight w:val="none"/>
          <w:lang w:val="en-US" w:eastAsia="zh-CN"/>
        </w:rPr>
        <w:t>3</w:t>
      </w:r>
      <w:r>
        <w:rPr>
          <w:rFonts w:hint="eastAsia" w:hAnsi="宋体"/>
          <w:color w:val="auto"/>
          <w:sz w:val="32"/>
          <w:szCs w:val="32"/>
          <w:highlight w:val="none"/>
        </w:rPr>
        <w:t>年</w:t>
      </w:r>
      <w:r>
        <w:rPr>
          <w:rFonts w:hint="eastAsia" w:hAnsi="宋体"/>
          <w:color w:val="auto"/>
          <w:sz w:val="32"/>
          <w:szCs w:val="32"/>
          <w:highlight w:val="none"/>
          <w:lang w:val="en-US" w:eastAsia="zh-CN"/>
        </w:rPr>
        <w:t>10</w:t>
      </w:r>
      <w:r>
        <w:rPr>
          <w:rFonts w:hint="eastAsia" w:hAnsi="宋体"/>
          <w:color w:val="auto"/>
          <w:sz w:val="32"/>
          <w:szCs w:val="32"/>
          <w:highlight w:val="none"/>
        </w:rPr>
        <w:t>月</w:t>
      </w:r>
    </w:p>
    <w:p>
      <w:pPr>
        <w:pStyle w:val="25"/>
        <w:adjustRightInd w:val="0"/>
        <w:snapToGrid w:val="0"/>
        <w:spacing w:line="360" w:lineRule="auto"/>
        <w:ind w:left="2774" w:leftChars="202" w:right="302" w:rightChars="108" w:hanging="2208" w:hangingChars="690"/>
        <w:rPr>
          <w:rFonts w:hint="eastAsia" w:ascii="华文中宋" w:hAnsi="华文中宋" w:eastAsia="华文中宋"/>
          <w:color w:val="auto"/>
          <w:sz w:val="32"/>
          <w:szCs w:val="32"/>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74" w:right="1700" w:bottom="1418" w:left="1474" w:header="851" w:footer="992" w:gutter="0"/>
          <w:pgNumType w:fmt="decimal" w:start="1"/>
          <w:cols w:space="720" w:num="1"/>
          <w:titlePg/>
          <w:docGrid w:type="lines" w:linePitch="312" w:charSpace="0"/>
        </w:sectPr>
      </w:pPr>
    </w:p>
    <w:p>
      <w:pPr>
        <w:pStyle w:val="25"/>
        <w:adjustRightInd w:val="0"/>
        <w:snapToGrid w:val="0"/>
        <w:spacing w:line="360" w:lineRule="auto"/>
        <w:jc w:val="center"/>
        <w:rPr>
          <w:rFonts w:hint="eastAsia" w:hAnsi="宋体"/>
          <w:b/>
          <w:color w:val="auto"/>
          <w:spacing w:val="160"/>
          <w:sz w:val="24"/>
          <w:szCs w:val="24"/>
          <w:highlight w:val="none"/>
        </w:rPr>
      </w:pPr>
      <w:r>
        <w:rPr>
          <w:rFonts w:hint="eastAsia" w:hAnsi="宋体"/>
          <w:b/>
          <w:color w:val="auto"/>
          <w:spacing w:val="160"/>
          <w:sz w:val="24"/>
          <w:szCs w:val="24"/>
          <w:highlight w:val="none"/>
        </w:rPr>
        <w:t>目录</w:t>
      </w:r>
    </w:p>
    <w:p>
      <w:pPr>
        <w:pStyle w:val="25"/>
        <w:adjustRightInd w:val="0"/>
        <w:snapToGrid w:val="0"/>
        <w:spacing w:line="360" w:lineRule="auto"/>
        <w:jc w:val="center"/>
        <w:rPr>
          <w:rFonts w:hint="eastAsia" w:hAnsi="宋体"/>
          <w:b/>
          <w:color w:val="auto"/>
          <w:sz w:val="24"/>
          <w:szCs w:val="24"/>
          <w:highlight w:val="none"/>
        </w:rPr>
      </w:pPr>
    </w:p>
    <w:p>
      <w:pPr>
        <w:pStyle w:val="25"/>
        <w:adjustRightInd w:val="0"/>
        <w:snapToGrid w:val="0"/>
        <w:spacing w:line="360" w:lineRule="auto"/>
        <w:rPr>
          <w:rFonts w:hint="eastAsia" w:hAnsi="宋体" w:cs="仿宋"/>
          <w:b/>
          <w:color w:val="auto"/>
          <w:sz w:val="24"/>
          <w:szCs w:val="24"/>
          <w:highlight w:val="none"/>
        </w:rPr>
      </w:pPr>
      <w:r>
        <w:rPr>
          <w:rFonts w:hint="eastAsia" w:hAnsi="宋体" w:cs="仿宋"/>
          <w:b/>
          <w:color w:val="auto"/>
          <w:sz w:val="24"/>
          <w:szCs w:val="24"/>
          <w:highlight w:val="none"/>
        </w:rPr>
        <w:t>第一章  磋商通知</w:t>
      </w:r>
    </w:p>
    <w:p>
      <w:pPr>
        <w:pStyle w:val="25"/>
        <w:adjustRightInd w:val="0"/>
        <w:snapToGrid w:val="0"/>
        <w:spacing w:line="360" w:lineRule="auto"/>
        <w:rPr>
          <w:rFonts w:hint="eastAsia" w:hAnsi="宋体" w:cs="仿宋"/>
          <w:b/>
          <w:color w:val="auto"/>
          <w:sz w:val="24"/>
          <w:szCs w:val="24"/>
          <w:highlight w:val="none"/>
        </w:rPr>
      </w:pPr>
      <w:r>
        <w:rPr>
          <w:rFonts w:hint="eastAsia" w:hAnsi="宋体" w:cs="仿宋"/>
          <w:b/>
          <w:color w:val="auto"/>
          <w:sz w:val="24"/>
          <w:szCs w:val="24"/>
          <w:highlight w:val="none"/>
        </w:rPr>
        <w:t>第二章  磋商须知</w:t>
      </w:r>
    </w:p>
    <w:p>
      <w:pPr>
        <w:tabs>
          <w:tab w:val="left" w:pos="1440"/>
        </w:tabs>
        <w:adjustRightInd w:val="0"/>
        <w:snapToGrid w:val="0"/>
        <w:spacing w:line="360" w:lineRule="auto"/>
        <w:ind w:firstLine="480" w:firstLineChars="200"/>
        <w:rPr>
          <w:rFonts w:hint="eastAsia" w:ascii="宋体" w:hAnsi="宋体" w:cs="仿宋"/>
          <w:color w:val="auto"/>
          <w:sz w:val="24"/>
          <w:highlight w:val="none"/>
        </w:rPr>
      </w:pPr>
      <w:r>
        <w:rPr>
          <w:rFonts w:hint="eastAsia" w:ascii="宋体" w:hAnsi="宋体" w:cs="仿宋"/>
          <w:color w:val="auto"/>
          <w:sz w:val="24"/>
          <w:highlight w:val="none"/>
        </w:rPr>
        <w:t>磋商须知前附表</w:t>
      </w:r>
    </w:p>
    <w:p>
      <w:pPr>
        <w:tabs>
          <w:tab w:val="left" w:pos="1440"/>
        </w:tabs>
        <w:adjustRightInd w:val="0"/>
        <w:snapToGrid w:val="0"/>
        <w:spacing w:line="360" w:lineRule="auto"/>
        <w:ind w:firstLine="480" w:firstLineChars="200"/>
        <w:rPr>
          <w:rFonts w:hint="eastAsia" w:ascii="宋体" w:hAnsi="宋体" w:cs="仿宋"/>
          <w:color w:val="auto"/>
          <w:sz w:val="24"/>
          <w:highlight w:val="none"/>
        </w:rPr>
      </w:pPr>
      <w:r>
        <w:rPr>
          <w:rFonts w:hint="eastAsia" w:ascii="宋体" w:hAnsi="宋体" w:cs="仿宋"/>
          <w:color w:val="auto"/>
          <w:sz w:val="24"/>
          <w:highlight w:val="none"/>
        </w:rPr>
        <w:t>磋商须知正文</w:t>
      </w:r>
    </w:p>
    <w:p>
      <w:pPr>
        <w:tabs>
          <w:tab w:val="left" w:pos="1440"/>
        </w:tabs>
        <w:adjustRightInd w:val="0"/>
        <w:snapToGrid w:val="0"/>
        <w:spacing w:line="360" w:lineRule="auto"/>
        <w:ind w:firstLine="720" w:firstLineChars="300"/>
        <w:rPr>
          <w:rFonts w:hint="eastAsia" w:ascii="宋体" w:hAnsi="宋体" w:cs="仿宋"/>
          <w:color w:val="auto"/>
          <w:sz w:val="24"/>
          <w:highlight w:val="none"/>
        </w:rPr>
      </w:pPr>
      <w:r>
        <w:rPr>
          <w:rFonts w:hint="eastAsia" w:ascii="宋体" w:hAnsi="宋体" w:cs="仿宋"/>
          <w:color w:val="auto"/>
          <w:sz w:val="24"/>
          <w:highlight w:val="none"/>
        </w:rPr>
        <w:t>一、说明</w:t>
      </w:r>
    </w:p>
    <w:p>
      <w:pPr>
        <w:tabs>
          <w:tab w:val="left" w:pos="1440"/>
        </w:tabs>
        <w:adjustRightInd w:val="0"/>
        <w:snapToGrid w:val="0"/>
        <w:spacing w:line="360" w:lineRule="auto"/>
        <w:ind w:firstLine="720" w:firstLineChars="300"/>
        <w:rPr>
          <w:rFonts w:hint="eastAsia" w:ascii="宋体" w:hAnsi="宋体" w:cs="仿宋"/>
          <w:color w:val="auto"/>
          <w:sz w:val="24"/>
          <w:highlight w:val="none"/>
        </w:rPr>
      </w:pPr>
      <w:r>
        <w:rPr>
          <w:rFonts w:hint="eastAsia" w:ascii="宋体" w:hAnsi="宋体" w:cs="仿宋"/>
          <w:color w:val="auto"/>
          <w:sz w:val="24"/>
          <w:highlight w:val="none"/>
        </w:rPr>
        <w:t>二、</w:t>
      </w:r>
      <w:r>
        <w:rPr>
          <w:rFonts w:hint="eastAsia" w:ascii="宋体" w:hAnsi="宋体" w:cs="仿宋"/>
          <w:bCs/>
          <w:color w:val="auto"/>
          <w:sz w:val="24"/>
          <w:highlight w:val="none"/>
        </w:rPr>
        <w:t>磋商</w:t>
      </w:r>
      <w:r>
        <w:rPr>
          <w:rFonts w:hint="eastAsia" w:ascii="宋体" w:hAnsi="宋体" w:cs="仿宋"/>
          <w:color w:val="auto"/>
          <w:sz w:val="24"/>
          <w:highlight w:val="none"/>
        </w:rPr>
        <w:t>文件</w:t>
      </w:r>
    </w:p>
    <w:p>
      <w:pPr>
        <w:adjustRightInd w:val="0"/>
        <w:snapToGrid w:val="0"/>
        <w:spacing w:line="360" w:lineRule="auto"/>
        <w:ind w:firstLine="720" w:firstLineChars="300"/>
        <w:rPr>
          <w:rFonts w:hint="eastAsia" w:ascii="宋体" w:hAnsi="宋体" w:cs="仿宋"/>
          <w:color w:val="auto"/>
          <w:sz w:val="24"/>
          <w:highlight w:val="none"/>
        </w:rPr>
      </w:pPr>
      <w:r>
        <w:rPr>
          <w:rFonts w:hint="eastAsia" w:ascii="宋体" w:hAnsi="宋体" w:cs="仿宋"/>
          <w:color w:val="auto"/>
          <w:sz w:val="24"/>
          <w:highlight w:val="none"/>
        </w:rPr>
        <w:t>三、响应文件</w:t>
      </w:r>
    </w:p>
    <w:p>
      <w:pPr>
        <w:adjustRightInd w:val="0"/>
        <w:snapToGrid w:val="0"/>
        <w:spacing w:line="360" w:lineRule="auto"/>
        <w:ind w:firstLine="720" w:firstLineChars="300"/>
        <w:rPr>
          <w:rFonts w:hint="eastAsia" w:ascii="宋体" w:hAnsi="宋体" w:cs="仿宋"/>
          <w:color w:val="auto"/>
          <w:sz w:val="24"/>
          <w:highlight w:val="none"/>
        </w:rPr>
      </w:pPr>
      <w:r>
        <w:rPr>
          <w:rFonts w:hint="eastAsia" w:ascii="宋体" w:hAnsi="宋体" w:cs="仿宋"/>
          <w:color w:val="auto"/>
          <w:sz w:val="24"/>
          <w:highlight w:val="none"/>
        </w:rPr>
        <w:t>四、响应文件的递交</w:t>
      </w:r>
    </w:p>
    <w:p>
      <w:pPr>
        <w:adjustRightInd w:val="0"/>
        <w:snapToGrid w:val="0"/>
        <w:spacing w:line="360" w:lineRule="auto"/>
        <w:ind w:firstLine="720" w:firstLineChars="300"/>
        <w:rPr>
          <w:rFonts w:hint="eastAsia" w:ascii="宋体" w:hAnsi="宋体" w:cs="仿宋"/>
          <w:bCs/>
          <w:color w:val="auto"/>
          <w:sz w:val="24"/>
          <w:highlight w:val="none"/>
        </w:rPr>
      </w:pPr>
      <w:r>
        <w:rPr>
          <w:rFonts w:hint="eastAsia" w:ascii="宋体" w:hAnsi="宋体" w:cs="仿宋"/>
          <w:bCs/>
          <w:color w:val="auto"/>
          <w:sz w:val="24"/>
          <w:highlight w:val="none"/>
        </w:rPr>
        <w:t>五、</w:t>
      </w:r>
      <w:r>
        <w:rPr>
          <w:rFonts w:hint="eastAsia" w:ascii="宋体" w:hAnsi="宋体" w:cs="仿宋"/>
          <w:color w:val="auto"/>
          <w:sz w:val="24"/>
          <w:highlight w:val="none"/>
        </w:rPr>
        <w:t>响应文件</w:t>
      </w:r>
      <w:r>
        <w:rPr>
          <w:rFonts w:hint="eastAsia" w:ascii="宋体" w:hAnsi="宋体" w:cs="仿宋"/>
          <w:bCs/>
          <w:color w:val="auto"/>
          <w:sz w:val="24"/>
          <w:highlight w:val="none"/>
        </w:rPr>
        <w:t>的</w:t>
      </w:r>
      <w:r>
        <w:rPr>
          <w:rFonts w:hint="eastAsia" w:ascii="宋体" w:hAnsi="宋体" w:cs="仿宋"/>
          <w:color w:val="auto"/>
          <w:sz w:val="24"/>
          <w:highlight w:val="none"/>
        </w:rPr>
        <w:t>评审与磋商</w:t>
      </w:r>
    </w:p>
    <w:p>
      <w:pPr>
        <w:adjustRightInd w:val="0"/>
        <w:snapToGrid w:val="0"/>
        <w:spacing w:line="360" w:lineRule="auto"/>
        <w:ind w:firstLine="720" w:firstLineChars="300"/>
        <w:rPr>
          <w:rFonts w:hint="eastAsia" w:ascii="宋体" w:hAnsi="宋体" w:cs="仿宋"/>
          <w:color w:val="auto"/>
          <w:sz w:val="24"/>
          <w:highlight w:val="none"/>
        </w:rPr>
      </w:pPr>
      <w:r>
        <w:rPr>
          <w:rFonts w:hint="eastAsia" w:ascii="宋体" w:hAnsi="宋体" w:cs="仿宋"/>
          <w:color w:val="auto"/>
          <w:sz w:val="24"/>
          <w:highlight w:val="none"/>
        </w:rPr>
        <w:t>六、成交结果信息公布与授予合同</w:t>
      </w:r>
    </w:p>
    <w:p>
      <w:pPr>
        <w:adjustRightInd w:val="0"/>
        <w:snapToGrid w:val="0"/>
        <w:spacing w:line="360" w:lineRule="auto"/>
        <w:ind w:firstLine="720" w:firstLineChars="300"/>
        <w:jc w:val="left"/>
        <w:rPr>
          <w:rFonts w:hint="eastAsia" w:ascii="宋体" w:hAnsi="宋体" w:cs="仿宋"/>
          <w:color w:val="auto"/>
          <w:sz w:val="24"/>
          <w:highlight w:val="none"/>
        </w:rPr>
      </w:pPr>
      <w:r>
        <w:rPr>
          <w:rFonts w:hint="eastAsia" w:ascii="宋体" w:hAnsi="宋体" w:cs="仿宋"/>
          <w:color w:val="auto"/>
          <w:sz w:val="24"/>
          <w:highlight w:val="none"/>
        </w:rPr>
        <w:t>七、其他规定</w:t>
      </w:r>
    </w:p>
    <w:p>
      <w:pPr>
        <w:adjustRightInd w:val="0"/>
        <w:snapToGrid w:val="0"/>
        <w:spacing w:line="360" w:lineRule="auto"/>
        <w:rPr>
          <w:rFonts w:hint="eastAsia" w:ascii="宋体" w:hAnsi="宋体" w:cs="仿宋"/>
          <w:b/>
          <w:color w:val="auto"/>
          <w:sz w:val="24"/>
          <w:highlight w:val="none"/>
        </w:rPr>
      </w:pPr>
      <w:r>
        <w:rPr>
          <w:rFonts w:hint="eastAsia" w:ascii="宋体" w:hAnsi="宋体" w:cs="仿宋"/>
          <w:b/>
          <w:color w:val="auto"/>
          <w:sz w:val="24"/>
          <w:highlight w:val="none"/>
        </w:rPr>
        <w:t>第三章  采购合同格式条款</w:t>
      </w:r>
    </w:p>
    <w:p>
      <w:pPr>
        <w:pStyle w:val="25"/>
        <w:adjustRightInd w:val="0"/>
        <w:snapToGrid w:val="0"/>
        <w:spacing w:line="360" w:lineRule="auto"/>
        <w:rPr>
          <w:rFonts w:hint="eastAsia" w:hAnsi="宋体" w:cs="仿宋"/>
          <w:b/>
          <w:color w:val="auto"/>
          <w:sz w:val="24"/>
          <w:szCs w:val="24"/>
          <w:highlight w:val="none"/>
        </w:rPr>
      </w:pPr>
      <w:r>
        <w:rPr>
          <w:rFonts w:hint="eastAsia" w:hAnsi="宋体" w:cs="仿宋"/>
          <w:b/>
          <w:color w:val="auto"/>
          <w:sz w:val="24"/>
          <w:szCs w:val="24"/>
          <w:highlight w:val="none"/>
        </w:rPr>
        <w:t>第四章  采购需求</w:t>
      </w:r>
    </w:p>
    <w:p>
      <w:pPr>
        <w:autoSpaceDE w:val="0"/>
        <w:autoSpaceDN w:val="0"/>
        <w:adjustRightInd w:val="0"/>
        <w:snapToGrid w:val="0"/>
        <w:spacing w:line="360" w:lineRule="auto"/>
        <w:rPr>
          <w:rFonts w:hint="eastAsia" w:ascii="宋体" w:hAnsi="宋体" w:cs="仿宋"/>
          <w:b/>
          <w:color w:val="auto"/>
          <w:sz w:val="24"/>
          <w:highlight w:val="none"/>
        </w:rPr>
      </w:pPr>
      <w:r>
        <w:rPr>
          <w:rFonts w:hint="eastAsia" w:ascii="宋体" w:hAnsi="宋体" w:cs="仿宋"/>
          <w:b/>
          <w:color w:val="auto"/>
          <w:sz w:val="24"/>
          <w:highlight w:val="none"/>
        </w:rPr>
        <w:t>第五章  响应文件组成</w:t>
      </w: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pPr>
    </w:p>
    <w:p>
      <w:pPr>
        <w:spacing w:line="360" w:lineRule="exact"/>
        <w:rPr>
          <w:rFonts w:hint="eastAsia" w:ascii="黑体" w:eastAsia="黑体"/>
          <w:b/>
          <w:color w:val="auto"/>
          <w:sz w:val="21"/>
          <w:szCs w:val="21"/>
          <w:highlight w:val="none"/>
        </w:rPr>
        <w:sectPr>
          <w:footerReference r:id="rId10" w:type="first"/>
          <w:footerReference r:id="rId9" w:type="default"/>
          <w:pgSz w:w="11906" w:h="16838"/>
          <w:pgMar w:top="1474" w:right="1418" w:bottom="1418" w:left="1474" w:header="992" w:footer="992" w:gutter="0"/>
          <w:pgNumType w:fmt="decimal"/>
          <w:cols w:space="720" w:num="1"/>
          <w:docGrid w:type="lines" w:linePitch="312" w:charSpace="0"/>
        </w:sectPr>
      </w:pPr>
    </w:p>
    <w:p>
      <w:pPr>
        <w:pStyle w:val="5"/>
        <w:rPr>
          <w:rFonts w:hint="eastAsia"/>
          <w:color w:val="auto"/>
          <w:sz w:val="28"/>
          <w:szCs w:val="28"/>
          <w:highlight w:val="none"/>
        </w:rPr>
      </w:pPr>
      <w:r>
        <w:rPr>
          <w:rFonts w:hint="eastAsia"/>
          <w:color w:val="auto"/>
          <w:sz w:val="28"/>
          <w:szCs w:val="28"/>
          <w:highlight w:val="none"/>
        </w:rPr>
        <w:t>第一章  磋商邀请</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s="宋体"/>
          <w:color w:val="auto"/>
          <w:sz w:val="21"/>
          <w:szCs w:val="21"/>
          <w:highlight w:val="none"/>
          <w:u w:val="single"/>
          <w:lang w:eastAsia="zh-CN"/>
        </w:rPr>
        <w:t>中采联合招标有限公司</w:t>
      </w:r>
      <w:r>
        <w:rPr>
          <w:rFonts w:hint="eastAsia" w:ascii="宋体" w:hAnsi="宋体" w:cs="宋体"/>
          <w:color w:val="auto"/>
          <w:sz w:val="21"/>
          <w:szCs w:val="21"/>
          <w:highlight w:val="none"/>
        </w:rPr>
        <w:t>受</w:t>
      </w:r>
      <w:r>
        <w:rPr>
          <w:rFonts w:hint="eastAsia" w:ascii="宋体" w:hAnsi="宋体"/>
          <w:color w:val="auto"/>
          <w:sz w:val="21"/>
          <w:szCs w:val="21"/>
          <w:highlight w:val="none"/>
          <w:u w:val="single"/>
          <w:lang w:eastAsia="zh-CN"/>
        </w:rPr>
        <w:t>湖南智谷投资发展集团有限公司</w:t>
      </w:r>
      <w:r>
        <w:rPr>
          <w:rFonts w:hint="eastAsia" w:ascii="宋体" w:hAnsi="宋体" w:cs="宋体"/>
          <w:color w:val="auto"/>
          <w:sz w:val="21"/>
          <w:szCs w:val="21"/>
          <w:highlight w:val="none"/>
        </w:rPr>
        <w:t>的委托，对</w:t>
      </w:r>
      <w:r>
        <w:rPr>
          <w:rFonts w:hint="eastAsia" w:ascii="宋体" w:hAnsi="宋体" w:cs="宋体"/>
          <w:color w:val="auto"/>
          <w:sz w:val="21"/>
          <w:szCs w:val="21"/>
          <w:highlight w:val="none"/>
          <w:u w:val="single"/>
          <w:lang w:eastAsia="zh-CN"/>
        </w:rPr>
        <w:t>湖南省检验检测特色产业园2023-2024年度保洁服务采购项目（第二次）</w:t>
      </w:r>
      <w:r>
        <w:rPr>
          <w:rFonts w:hint="eastAsia" w:ascii="宋体" w:hAnsi="宋体" w:cs="宋体"/>
          <w:color w:val="auto"/>
          <w:sz w:val="21"/>
          <w:szCs w:val="21"/>
          <w:highlight w:val="none"/>
        </w:rPr>
        <w:t>进行竞争性磋商采购，现采用</w:t>
      </w:r>
      <w:r>
        <w:rPr>
          <w:rFonts w:hint="eastAsia" w:ascii="宋体" w:hAnsi="宋体" w:cs="宋体"/>
          <w:b/>
          <w:bCs/>
          <w:color w:val="auto"/>
          <w:sz w:val="21"/>
          <w:szCs w:val="21"/>
          <w:highlight w:val="none"/>
          <w:u w:val="single"/>
        </w:rPr>
        <w:t>发布公告</w:t>
      </w:r>
      <w:r>
        <w:rPr>
          <w:rFonts w:hint="eastAsia" w:ascii="宋体" w:hAnsi="宋体" w:cs="宋体"/>
          <w:color w:val="auto"/>
          <w:sz w:val="21"/>
          <w:szCs w:val="21"/>
          <w:highlight w:val="none"/>
        </w:rPr>
        <w:t>方式，邀请符合资格条件的供应商参与竞争性磋商采购活动。</w:t>
      </w:r>
    </w:p>
    <w:p>
      <w:pPr>
        <w:adjustRightIn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一、项目概况</w:t>
      </w:r>
    </w:p>
    <w:p>
      <w:pPr>
        <w:adjustRightInd w:val="0"/>
        <w:snapToGrid w:val="0"/>
        <w:spacing w:line="360" w:lineRule="auto"/>
        <w:rPr>
          <w:rFonts w:hint="eastAsia" w:ascii="宋体" w:hAnsi="宋体" w:cs="宋体"/>
          <w:color w:val="auto"/>
          <w:sz w:val="21"/>
          <w:szCs w:val="21"/>
          <w:highlight w:val="none"/>
          <w:u w:val="single"/>
        </w:rPr>
      </w:pPr>
      <w:r>
        <w:rPr>
          <w:rFonts w:hint="eastAsia" w:ascii="宋体" w:hAnsi="宋体"/>
          <w:color w:val="auto"/>
          <w:sz w:val="21"/>
          <w:szCs w:val="21"/>
          <w:highlight w:val="none"/>
        </w:rPr>
        <w:t>1、采购项目名称：</w:t>
      </w:r>
      <w:r>
        <w:rPr>
          <w:rFonts w:hint="eastAsia" w:ascii="宋体" w:hAnsi="宋体" w:cs="宋体"/>
          <w:color w:val="auto"/>
          <w:sz w:val="21"/>
          <w:szCs w:val="21"/>
          <w:highlight w:val="none"/>
          <w:u w:val="single"/>
          <w:lang w:eastAsia="zh-CN"/>
        </w:rPr>
        <w:t>湖南省检验检测特色产业园2023-2024年度保洁服务采购项目（第二次）</w:t>
      </w:r>
      <w:r>
        <w:rPr>
          <w:rFonts w:hint="eastAsia" w:ascii="宋体" w:hAnsi="宋体" w:cs="宋体"/>
          <w:color w:val="auto"/>
          <w:sz w:val="21"/>
          <w:szCs w:val="21"/>
          <w:highlight w:val="none"/>
          <w:u w:val="single"/>
        </w:rPr>
        <w:t xml:space="preserve"> </w:t>
      </w:r>
    </w:p>
    <w:p>
      <w:pPr>
        <w:adjustRightInd w:val="0"/>
        <w:snapToGrid w:val="0"/>
        <w:spacing w:line="360" w:lineRule="auto"/>
        <w:rPr>
          <w:rFonts w:hint="eastAsia" w:ascii="宋体" w:hAnsi="宋体" w:eastAsia="宋体"/>
          <w:color w:val="auto"/>
          <w:sz w:val="21"/>
          <w:szCs w:val="21"/>
          <w:highlight w:val="none"/>
          <w:u w:val="single"/>
          <w:lang w:eastAsia="zh-CN"/>
        </w:rPr>
      </w:pPr>
      <w:r>
        <w:rPr>
          <w:rFonts w:hint="eastAsia" w:ascii="宋体" w:hAnsi="宋体"/>
          <w:color w:val="auto"/>
          <w:sz w:val="21"/>
          <w:szCs w:val="21"/>
          <w:highlight w:val="none"/>
        </w:rPr>
        <w:t>2、委托代理编号：</w:t>
      </w:r>
      <w:r>
        <w:rPr>
          <w:rFonts w:hint="eastAsia" w:ascii="宋体" w:hAnsi="宋体"/>
          <w:color w:val="auto"/>
          <w:sz w:val="21"/>
          <w:szCs w:val="21"/>
          <w:highlight w:val="none"/>
          <w:u w:val="single"/>
          <w:lang w:eastAsia="zh-CN"/>
        </w:rPr>
        <w:t>ZCZB-CG(F)-2023085</w:t>
      </w:r>
    </w:p>
    <w:p>
      <w:pPr>
        <w:adjustRightInd w:val="0"/>
        <w:snapToGrid w:val="0"/>
        <w:spacing w:line="360" w:lineRule="auto"/>
        <w:rPr>
          <w:rFonts w:hint="eastAsia" w:ascii="宋体" w:hAnsi="宋体"/>
          <w:color w:val="auto"/>
          <w:sz w:val="21"/>
          <w:szCs w:val="21"/>
          <w:highlight w:val="none"/>
        </w:rPr>
      </w:pPr>
      <w:r>
        <w:rPr>
          <w:rFonts w:hint="eastAsia" w:ascii="宋体" w:hAnsi="宋体"/>
          <w:color w:val="auto"/>
          <w:sz w:val="21"/>
          <w:szCs w:val="21"/>
          <w:highlight w:val="none"/>
        </w:rPr>
        <w:t>3、采购项目标的、数量及预算：</w:t>
      </w:r>
    </w:p>
    <w:tbl>
      <w:tblPr>
        <w:tblStyle w:val="4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3118"/>
        <w:gridCol w:w="1605"/>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560" w:type="dxa"/>
            <w:noWrap w:val="0"/>
            <w:vAlign w:val="center"/>
          </w:tcPr>
          <w:p>
            <w:pPr>
              <w:adjustRightInd w:val="0"/>
              <w:snapToGrid w:val="0"/>
              <w:spacing w:line="300" w:lineRule="exact"/>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标段编号</w:t>
            </w:r>
          </w:p>
        </w:tc>
        <w:tc>
          <w:tcPr>
            <w:tcW w:w="3118" w:type="dxa"/>
            <w:noWrap w:val="0"/>
            <w:vAlign w:val="center"/>
          </w:tcPr>
          <w:p>
            <w:pPr>
              <w:adjustRightInd w:val="0"/>
              <w:snapToGrid w:val="0"/>
              <w:spacing w:line="300" w:lineRule="exact"/>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标段名</w:t>
            </w:r>
          </w:p>
        </w:tc>
        <w:tc>
          <w:tcPr>
            <w:tcW w:w="1605" w:type="dxa"/>
            <w:noWrap w:val="0"/>
            <w:vAlign w:val="center"/>
          </w:tcPr>
          <w:p>
            <w:pPr>
              <w:adjustRightInd w:val="0"/>
              <w:snapToGrid w:val="0"/>
              <w:spacing w:line="300" w:lineRule="exact"/>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数量（项）</w:t>
            </w:r>
          </w:p>
        </w:tc>
        <w:tc>
          <w:tcPr>
            <w:tcW w:w="2131" w:type="dxa"/>
            <w:noWrap w:val="0"/>
            <w:vAlign w:val="center"/>
          </w:tcPr>
          <w:p>
            <w:pPr>
              <w:adjustRightInd w:val="0"/>
              <w:snapToGrid w:val="0"/>
              <w:spacing w:line="300" w:lineRule="exact"/>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预算（元）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560" w:type="dxa"/>
            <w:noWrap w:val="0"/>
            <w:vAlign w:val="center"/>
          </w:tcPr>
          <w:p>
            <w:pPr>
              <w:adjustRightInd w:val="0"/>
              <w:snapToGrid w:val="0"/>
              <w:spacing w:line="300" w:lineRule="exact"/>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1</w:t>
            </w:r>
          </w:p>
        </w:tc>
        <w:tc>
          <w:tcPr>
            <w:tcW w:w="3118" w:type="dxa"/>
            <w:noWrap w:val="0"/>
            <w:vAlign w:val="center"/>
          </w:tcPr>
          <w:p>
            <w:pPr>
              <w:adjustRightInd w:val="0"/>
              <w:snapToGrid w:val="0"/>
              <w:spacing w:line="300" w:lineRule="exact"/>
              <w:jc w:val="center"/>
              <w:rPr>
                <w:rFonts w:hint="eastAsia" w:ascii="宋体" w:hAnsi="宋体" w:eastAsia="宋体" w:cs="Times New Roman"/>
                <w:color w:val="auto"/>
                <w:sz w:val="21"/>
                <w:szCs w:val="21"/>
                <w:highlight w:val="none"/>
              </w:rPr>
            </w:pPr>
            <w:r>
              <w:rPr>
                <w:rFonts w:hint="eastAsia" w:ascii="宋体" w:hAnsi="宋体" w:cs="Times New Roman"/>
                <w:color w:val="auto"/>
                <w:sz w:val="21"/>
                <w:szCs w:val="21"/>
                <w:highlight w:val="none"/>
                <w:lang w:eastAsia="zh-CN"/>
              </w:rPr>
              <w:t>湖南省检验检测特色产业园2023-2024年度保洁服务采购项目（第二次）</w:t>
            </w:r>
            <w:r>
              <w:rPr>
                <w:rFonts w:hint="eastAsia" w:ascii="宋体" w:hAnsi="宋体" w:eastAsia="宋体" w:cs="Times New Roman"/>
                <w:color w:val="auto"/>
                <w:sz w:val="21"/>
                <w:szCs w:val="21"/>
                <w:highlight w:val="none"/>
              </w:rPr>
              <w:t xml:space="preserve"> </w:t>
            </w:r>
          </w:p>
        </w:tc>
        <w:tc>
          <w:tcPr>
            <w:tcW w:w="1605" w:type="dxa"/>
            <w:noWrap w:val="0"/>
            <w:vAlign w:val="center"/>
          </w:tcPr>
          <w:p>
            <w:pPr>
              <w:adjustRightInd w:val="0"/>
              <w:snapToGrid w:val="0"/>
              <w:spacing w:line="300" w:lineRule="exact"/>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1</w:t>
            </w:r>
          </w:p>
        </w:tc>
        <w:tc>
          <w:tcPr>
            <w:tcW w:w="2131" w:type="dxa"/>
            <w:noWrap w:val="0"/>
            <w:vAlign w:val="center"/>
          </w:tcPr>
          <w:p>
            <w:pPr>
              <w:adjustRightInd w:val="0"/>
              <w:snapToGrid w:val="0"/>
              <w:spacing w:line="300" w:lineRule="exact"/>
              <w:jc w:val="center"/>
              <w:rPr>
                <w:rFonts w:hint="eastAsia" w:ascii="宋体" w:hAnsi="宋体" w:eastAsia="宋体" w:cs="Times New Roman"/>
                <w:color w:val="auto"/>
                <w:sz w:val="21"/>
                <w:szCs w:val="21"/>
                <w:highlight w:val="none"/>
              </w:rPr>
            </w:pPr>
            <w:r>
              <w:rPr>
                <w:rFonts w:hint="eastAsia" w:ascii="宋体" w:hAnsi="宋体" w:cs="Times New Roman"/>
                <w:b/>
                <w:bCs/>
                <w:color w:val="auto"/>
                <w:sz w:val="21"/>
                <w:szCs w:val="21"/>
                <w:highlight w:val="none"/>
                <w:lang w:eastAsia="zh-CN"/>
              </w:rPr>
              <w:t>864000</w:t>
            </w:r>
            <w:r>
              <w:rPr>
                <w:rFonts w:hint="eastAsia" w:ascii="宋体" w:hAnsi="宋体" w:eastAsia="宋体" w:cs="Times New Roman"/>
                <w:b/>
                <w:bCs/>
                <w:color w:val="auto"/>
                <w:sz w:val="21"/>
                <w:szCs w:val="21"/>
                <w:highlight w:val="none"/>
              </w:rPr>
              <w:t>.00</w:t>
            </w:r>
          </w:p>
        </w:tc>
      </w:tr>
    </w:tbl>
    <w:p>
      <w:pPr>
        <w:spacing w:line="360" w:lineRule="auto"/>
        <w:rPr>
          <w:rFonts w:ascii="宋体" w:hAnsi="宋体"/>
          <w:b/>
          <w:bCs/>
          <w:color w:val="auto"/>
          <w:sz w:val="21"/>
          <w:szCs w:val="21"/>
          <w:highlight w:val="none"/>
        </w:rPr>
      </w:pPr>
      <w:r>
        <w:rPr>
          <w:rFonts w:hint="eastAsia" w:ascii="宋体" w:hAnsi="宋体"/>
          <w:b/>
          <w:bCs/>
          <w:color w:val="auto"/>
          <w:sz w:val="21"/>
          <w:szCs w:val="21"/>
          <w:highlight w:val="none"/>
        </w:rPr>
        <w:t>4、项目其他说明：无。</w:t>
      </w:r>
    </w:p>
    <w:p>
      <w:pPr>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二、供应商资格条件：</w:t>
      </w:r>
    </w:p>
    <w:p>
      <w:pPr>
        <w:keepNext w:val="0"/>
        <w:keepLines w:val="0"/>
        <w:pageBreakBefore w:val="0"/>
        <w:widowControl w:val="0"/>
        <w:kinsoku/>
        <w:wordWrap/>
        <w:overflowPunct/>
        <w:topLinePunct w:val="0"/>
        <w:autoSpaceDE/>
        <w:autoSpaceDN/>
        <w:bidi w:val="0"/>
        <w:spacing w:line="360" w:lineRule="auto"/>
        <w:textAlignment w:val="auto"/>
        <w:rPr>
          <w:rFonts w:ascii="宋体" w:hAnsi="宋体"/>
          <w:color w:val="auto"/>
          <w:sz w:val="21"/>
          <w:szCs w:val="21"/>
          <w:highlight w:val="none"/>
        </w:rPr>
      </w:pPr>
      <w:r>
        <w:rPr>
          <w:rFonts w:hint="eastAsia" w:ascii="宋体" w:hAnsi="宋体"/>
          <w:color w:val="auto"/>
          <w:sz w:val="21"/>
          <w:szCs w:val="21"/>
          <w:highlight w:val="none"/>
        </w:rPr>
        <w:t>1、供应商基本资格条件：符合《中华人民共和国政府采购法》第二十二条规定的供应商条件；</w:t>
      </w:r>
    </w:p>
    <w:p>
      <w:pPr>
        <w:adjustRightInd w:val="0"/>
        <w:snapToGrid w:val="0"/>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（1）法人提交企业法人营业执照副本(或者法人登记证书)以及组织机构代码证副本复印件；</w:t>
      </w:r>
    </w:p>
    <w:p>
      <w:pPr>
        <w:adjustRightInd w:val="0"/>
        <w:snapToGrid w:val="0"/>
        <w:spacing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）法人提交法定代表人身份证明原件或者法定代表人授权委托书原件并附法定代表人身份证明原件；自然人提交身份证明复印件</w:t>
      </w:r>
      <w:r>
        <w:rPr>
          <w:rFonts w:hint="eastAsia" w:ascii="宋体" w:hAnsi="宋体" w:eastAsia="宋体" w:cs="宋体"/>
          <w:color w:val="auto"/>
          <w:sz w:val="21"/>
          <w:szCs w:val="21"/>
          <w:lang w:eastAsia="zh-CN"/>
        </w:rPr>
        <w:t>；</w:t>
      </w:r>
    </w:p>
    <w:p>
      <w:pPr>
        <w:adjustRightInd w:val="0"/>
        <w:snapToGrid w:val="0"/>
        <w:spacing w:line="360" w:lineRule="auto"/>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w:t>
      </w:r>
      <w:r>
        <w:rPr>
          <w:rFonts w:hint="eastAsia" w:ascii="宋体" w:hAnsi="宋体" w:eastAsia="宋体" w:cs="宋体"/>
          <w:color w:val="auto"/>
          <w:sz w:val="21"/>
          <w:szCs w:val="21"/>
          <w:lang w:val="en-US" w:eastAsia="zh-CN"/>
        </w:rPr>
        <w:t>提供《</w:t>
      </w:r>
      <w:r>
        <w:rPr>
          <w:rFonts w:hint="eastAsia" w:ascii="宋体" w:hAnsi="宋体" w:eastAsia="宋体" w:cs="宋体"/>
          <w:color w:val="auto"/>
          <w:sz w:val="21"/>
          <w:szCs w:val="21"/>
          <w:lang w:eastAsia="zh-CN"/>
        </w:rPr>
        <w:t>湖南省政府采购供应商资格承诺函》；</w:t>
      </w:r>
    </w:p>
    <w:p>
      <w:pPr>
        <w:adjustRightInd w:val="0"/>
        <w:snapToGrid w:val="0"/>
        <w:spacing w:line="360" w:lineRule="auto"/>
        <w:ind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本项目专门面向中小微企业采购，所属行业为“物业管理”，投标人须提供《中小企业声明函》，否则视为无效响应。</w:t>
      </w:r>
    </w:p>
    <w:p>
      <w:pPr>
        <w:adjustRightInd w:val="0"/>
        <w:snapToGrid w:val="0"/>
        <w:spacing w:line="360" w:lineRule="auto"/>
        <w:ind w:firstLine="422" w:firstLineChars="200"/>
        <w:outlineLvl w:val="0"/>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其他说明：①投标人具有实行了“三证合一”登记制度改革的新证，视同为持有工商营业执照、组织机构代码证和税务登记证，实行了“五证合一”登记制度改革的新证，视同为持有工商营业执照、组织机构代码证、税务登记证、社保登记证和统计登记证；符合基本资格条件的相关条款（“三证合一”为国发【2015】33号文件规定，2015年10月1日执行；“五证合一”为国发【2016】53号文件规定，2016年10月1日执行）实行了“三证合一”或者“五证合一”的，请自行说明。②根据长沙市财政局《关于政府采购促进中小企业发展若干措施的通知》（长财采购</w:t>
      </w:r>
      <w:r>
        <w:rPr>
          <w:rFonts w:hint="default" w:ascii="宋体" w:hAnsi="宋体" w:eastAsia="宋体" w:cs="宋体"/>
          <w:b/>
          <w:bCs/>
          <w:color w:val="auto"/>
          <w:sz w:val="21"/>
          <w:szCs w:val="21"/>
          <w:lang w:val="en-US" w:eastAsia="zh-CN"/>
        </w:rPr>
        <w:t>[2022]10</w:t>
      </w:r>
      <w:r>
        <w:rPr>
          <w:rFonts w:hint="eastAsia" w:ascii="宋体" w:hAnsi="宋体" w:eastAsia="宋体" w:cs="宋体"/>
          <w:b/>
          <w:bCs/>
          <w:color w:val="auto"/>
          <w:sz w:val="21"/>
          <w:szCs w:val="21"/>
          <w:lang w:val="en-US" w:eastAsia="zh-CN"/>
        </w:rPr>
        <w:t>号）文件精神，供应商凭《湖南省政府采购供应商资格承诺函》（格式详见响应文件组成）参与政府采购活动，无需提供财务状况报告、依法缴纳税收和社会保障资金的相关文件材料、参加政府采购活动前</w:t>
      </w:r>
      <w:r>
        <w:rPr>
          <w:rFonts w:hint="default" w:ascii="宋体" w:hAnsi="宋体" w:eastAsia="宋体" w:cs="宋体"/>
          <w:b/>
          <w:bCs/>
          <w:color w:val="auto"/>
          <w:sz w:val="21"/>
          <w:szCs w:val="21"/>
          <w:lang w:val="en-US" w:eastAsia="zh-CN"/>
        </w:rPr>
        <w:t>3</w:t>
      </w:r>
      <w:r>
        <w:rPr>
          <w:rFonts w:hint="eastAsia" w:ascii="宋体" w:hAnsi="宋体" w:eastAsia="宋体" w:cs="宋体"/>
          <w:b/>
          <w:bCs/>
          <w:color w:val="auto"/>
          <w:sz w:val="21"/>
          <w:szCs w:val="21"/>
          <w:lang w:val="en-US" w:eastAsia="zh-CN"/>
        </w:rPr>
        <w:t>年在经营活动中没有重大违法记录的书面声明。③投标人须如实填写《中小企业声明函》（格式详见响应文件组成），若提供的《中小企业声明函》内容不实，属于提供虚假材料谋取成交，依照《中华人民共和国政府采购法》等国家有关规定追究相应责任。④被“信用中国”网站列入失信被执行人和重大税收违法案件当事人名单的、被“中国政府采购网”网站列入政府采购严重违法失信行为记录名单（处罚期限尚未届满的），不得参与本项目的政府采购活动。</w:t>
      </w:r>
    </w:p>
    <w:p>
      <w:pPr>
        <w:keepNext w:val="0"/>
        <w:keepLines w:val="0"/>
        <w:pageBreakBefore w:val="0"/>
        <w:widowControl w:val="0"/>
        <w:tabs>
          <w:tab w:val="left" w:pos="1392"/>
        </w:tabs>
        <w:kinsoku/>
        <w:wordWrap/>
        <w:overflowPunct/>
        <w:topLinePunct w:val="0"/>
        <w:autoSpaceDE/>
        <w:autoSpaceDN/>
        <w:bidi w:val="0"/>
        <w:adjustRightInd w:val="0"/>
        <w:snapToGrid w:val="0"/>
        <w:spacing w:line="360" w:lineRule="auto"/>
        <w:textAlignment w:val="auto"/>
        <w:rPr>
          <w:rFonts w:hint="eastAsia" w:ascii="宋体" w:hAnsi="宋体"/>
          <w:color w:val="auto"/>
          <w:sz w:val="21"/>
          <w:szCs w:val="21"/>
          <w:highlight w:val="none"/>
        </w:rPr>
      </w:pP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、特定资格条件：无。</w:t>
      </w:r>
    </w:p>
    <w:p>
      <w:pPr>
        <w:keepNext w:val="0"/>
        <w:keepLines w:val="0"/>
        <w:pageBreakBefore w:val="0"/>
        <w:widowControl w:val="0"/>
        <w:kinsoku/>
        <w:wordWrap/>
        <w:overflowPunct/>
        <w:topLinePunct w:val="0"/>
        <w:autoSpaceDE/>
        <w:autoSpaceDN/>
        <w:bidi w:val="0"/>
        <w:spacing w:line="360" w:lineRule="auto"/>
        <w:textAlignment w:val="auto"/>
        <w:rPr>
          <w:rFonts w:hint="eastAsia" w:ascii="宋体" w:hAnsi="宋体"/>
          <w:color w:val="auto"/>
          <w:sz w:val="21"/>
          <w:szCs w:val="21"/>
          <w:highlight w:val="none"/>
        </w:rPr>
      </w:pP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、提供的资格证明文件复印件需加盖供应商单位公章。</w:t>
      </w:r>
    </w:p>
    <w:p>
      <w:pPr>
        <w:pStyle w:val="59"/>
        <w:ind w:left="0" w:leftChars="0" w:firstLine="0" w:firstLineChars="0"/>
        <w:rPr>
          <w:rFonts w:hint="eastAsia"/>
          <w:color w:val="auto"/>
        </w:rPr>
      </w:pPr>
      <w:r>
        <w:rPr>
          <w:rFonts w:hint="eastAsia" w:ascii="宋体" w:hAnsi="宋体" w:eastAsia="宋体" w:cs="Times New Roman"/>
          <w:color w:val="auto"/>
          <w:kern w:val="2"/>
          <w:sz w:val="21"/>
          <w:szCs w:val="21"/>
          <w:highlight w:val="none"/>
          <w:lang w:val="en-US" w:eastAsia="zh-CN" w:bidi="ar-SA"/>
        </w:rPr>
        <w:t>4、本项目不接受联合体投标</w:t>
      </w:r>
    </w:p>
    <w:p>
      <w:pPr>
        <w:adjustRightIn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 xml:space="preserve">三、获取磋商文件的时间、地点、方式及磋商文件售价 </w:t>
      </w:r>
    </w:p>
    <w:p>
      <w:pPr>
        <w:adjustRightIn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1、凡有意参加磋商采购活动的，请于</w:t>
      </w:r>
      <w:r>
        <w:rPr>
          <w:rFonts w:hint="eastAsia" w:ascii="宋体" w:hAnsi="宋体" w:cs="宋体"/>
          <w:color w:val="auto"/>
          <w:sz w:val="21"/>
          <w:szCs w:val="21"/>
          <w:highlight w:val="none"/>
          <w:u w:val="single"/>
        </w:rPr>
        <w:t>202</w:t>
      </w:r>
      <w:r>
        <w:rPr>
          <w:rFonts w:hint="eastAsia" w:ascii="宋体" w:hAnsi="宋体" w:cs="宋体"/>
          <w:color w:val="auto"/>
          <w:sz w:val="21"/>
          <w:szCs w:val="21"/>
          <w:highlight w:val="none"/>
          <w:u w:val="single"/>
          <w:lang w:val="en-US" w:eastAsia="zh-CN"/>
        </w:rPr>
        <w:t>3</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10</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27</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日起至 </w:t>
      </w:r>
      <w:r>
        <w:rPr>
          <w:rFonts w:hint="eastAsia" w:ascii="宋体" w:hAnsi="宋体" w:cs="宋体"/>
          <w:color w:val="auto"/>
          <w:sz w:val="21"/>
          <w:szCs w:val="21"/>
          <w:highlight w:val="none"/>
          <w:u w:val="single"/>
        </w:rPr>
        <w:t>202</w:t>
      </w:r>
      <w:r>
        <w:rPr>
          <w:rFonts w:hint="eastAsia" w:ascii="宋体" w:hAnsi="宋体" w:cs="宋体"/>
          <w:color w:val="auto"/>
          <w:sz w:val="21"/>
          <w:szCs w:val="21"/>
          <w:highlight w:val="none"/>
          <w:u w:val="single"/>
          <w:lang w:val="en-US" w:eastAsia="zh-CN"/>
        </w:rPr>
        <w:t>3</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11</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3</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日(节假日除外)，每日上午</w:t>
      </w:r>
      <w:r>
        <w:rPr>
          <w:rFonts w:hint="eastAsia" w:ascii="宋体" w:hAnsi="宋体" w:cs="宋体"/>
          <w:color w:val="auto"/>
          <w:sz w:val="21"/>
          <w:szCs w:val="21"/>
          <w:highlight w:val="none"/>
          <w:u w:val="single"/>
        </w:rPr>
        <w:t xml:space="preserve">9:00 </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12：00 </w:t>
      </w:r>
      <w:r>
        <w:rPr>
          <w:rFonts w:hint="eastAsia" w:ascii="宋体" w:hAnsi="宋体" w:cs="宋体"/>
          <w:color w:val="auto"/>
          <w:sz w:val="21"/>
          <w:szCs w:val="21"/>
          <w:highlight w:val="none"/>
        </w:rPr>
        <w:t>，下午</w:t>
      </w:r>
      <w:r>
        <w:rPr>
          <w:rFonts w:hint="eastAsia" w:ascii="宋体" w:hAnsi="宋体" w:cs="宋体"/>
          <w:color w:val="auto"/>
          <w:sz w:val="21"/>
          <w:szCs w:val="21"/>
          <w:highlight w:val="none"/>
          <w:u w:val="single"/>
        </w:rPr>
        <w:t xml:space="preserve"> 14:30 </w:t>
      </w:r>
      <w:r>
        <w:rPr>
          <w:rFonts w:hint="eastAsia" w:ascii="宋体" w:hAnsi="宋体" w:cs="宋体"/>
          <w:color w:val="auto"/>
          <w:sz w:val="21"/>
          <w:szCs w:val="21"/>
          <w:highlight w:val="none"/>
        </w:rPr>
        <w:t>～</w:t>
      </w:r>
      <w:r>
        <w:rPr>
          <w:rFonts w:hint="eastAsia" w:ascii="宋体" w:hAnsi="宋体" w:cs="宋体"/>
          <w:color w:val="auto"/>
          <w:sz w:val="21"/>
          <w:szCs w:val="21"/>
          <w:highlight w:val="none"/>
          <w:u w:val="single"/>
        </w:rPr>
        <w:t xml:space="preserve"> 17:00 </w:t>
      </w:r>
      <w:r>
        <w:rPr>
          <w:rFonts w:hint="eastAsia" w:ascii="宋体" w:hAnsi="宋体" w:cs="宋体"/>
          <w:color w:val="auto"/>
          <w:sz w:val="21"/>
          <w:szCs w:val="21"/>
          <w:highlight w:val="none"/>
        </w:rPr>
        <w:t>(北京时间)，持法定代表人身份证明原件或授权委托书原件(附法定代表人身份证明原件)、个人身份证原件、营业执照复印件到</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eastAsia="zh-CN"/>
        </w:rPr>
        <w:t>中采联合招标有限公司</w:t>
      </w:r>
      <w:r>
        <w:rPr>
          <w:rFonts w:hint="eastAsia" w:ascii="宋体" w:hAnsi="宋体" w:cs="宋体"/>
          <w:color w:val="auto"/>
          <w:sz w:val="21"/>
          <w:szCs w:val="21"/>
          <w:highlight w:val="none"/>
          <w:u w:val="single"/>
        </w:rPr>
        <w:t>【</w:t>
      </w:r>
      <w:r>
        <w:rPr>
          <w:rFonts w:hint="eastAsia" w:ascii="宋体" w:hAnsi="宋体" w:cs="宋体"/>
          <w:color w:val="auto"/>
          <w:sz w:val="21"/>
          <w:szCs w:val="21"/>
          <w:highlight w:val="none"/>
          <w:u w:val="single"/>
          <w:lang w:eastAsia="zh-CN"/>
        </w:rPr>
        <w:t>长沙市开福区芙蓉中路一段88号天健壹平方英里H栋24楼</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lang w:eastAsia="zh-CN"/>
        </w:rPr>
        <w:t>获取</w:t>
      </w:r>
      <w:r>
        <w:rPr>
          <w:rFonts w:hint="eastAsia" w:ascii="宋体" w:hAnsi="宋体" w:cs="宋体"/>
          <w:color w:val="auto"/>
          <w:sz w:val="21"/>
          <w:szCs w:val="21"/>
          <w:highlight w:val="none"/>
        </w:rPr>
        <w:t>磋商文件</w:t>
      </w:r>
      <w:r>
        <w:rPr>
          <w:rFonts w:hint="eastAsia" w:ascii="宋体" w:hAnsi="宋体" w:cs="宋体"/>
          <w:color w:val="auto"/>
          <w:sz w:val="21"/>
          <w:szCs w:val="21"/>
          <w:highlight w:val="none"/>
          <w:lang w:eastAsia="zh-CN"/>
        </w:rPr>
        <w:t>，否则投标将会被拒</w:t>
      </w:r>
      <w:bookmarkStart w:id="3" w:name="_GoBack"/>
      <w:bookmarkEnd w:id="3"/>
      <w:r>
        <w:rPr>
          <w:rFonts w:hint="eastAsia" w:ascii="宋体" w:hAnsi="宋体" w:cs="宋体"/>
          <w:color w:val="auto"/>
          <w:sz w:val="21"/>
          <w:szCs w:val="21"/>
          <w:highlight w:val="none"/>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textAlignment w:val="auto"/>
        <w:rPr>
          <w:rFonts w:hint="eastAsia" w:ascii="宋体" w:hAnsi="宋体" w:cs="宋体"/>
          <w:b/>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、本磋商文件公告期为</w:t>
      </w:r>
      <w:r>
        <w:rPr>
          <w:rFonts w:hint="eastAsia" w:ascii="宋体" w:hAnsi="宋体" w:cs="宋体"/>
          <w:color w:val="auto"/>
          <w:sz w:val="21"/>
          <w:szCs w:val="21"/>
          <w:highlight w:val="none"/>
          <w:u w:val="single"/>
        </w:rPr>
        <w:t>202</w:t>
      </w:r>
      <w:r>
        <w:rPr>
          <w:rFonts w:hint="eastAsia" w:ascii="宋体" w:hAnsi="宋体" w:cs="宋体"/>
          <w:color w:val="auto"/>
          <w:sz w:val="21"/>
          <w:szCs w:val="21"/>
          <w:highlight w:val="none"/>
          <w:u w:val="single"/>
          <w:lang w:val="en-US" w:eastAsia="zh-CN"/>
        </w:rPr>
        <w:t>3</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10</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27</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日起至 </w:t>
      </w:r>
      <w:r>
        <w:rPr>
          <w:rFonts w:hint="eastAsia" w:ascii="宋体" w:hAnsi="宋体" w:cs="宋体"/>
          <w:color w:val="auto"/>
          <w:sz w:val="21"/>
          <w:szCs w:val="21"/>
          <w:highlight w:val="none"/>
          <w:u w:val="single"/>
        </w:rPr>
        <w:t>202</w:t>
      </w:r>
      <w:r>
        <w:rPr>
          <w:rFonts w:hint="eastAsia" w:ascii="宋体" w:hAnsi="宋体" w:cs="宋体"/>
          <w:color w:val="auto"/>
          <w:sz w:val="21"/>
          <w:szCs w:val="21"/>
          <w:highlight w:val="none"/>
          <w:u w:val="single"/>
          <w:lang w:val="en-US" w:eastAsia="zh-CN"/>
        </w:rPr>
        <w:t>3</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11</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1</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w:t>
      </w:r>
    </w:p>
    <w:p>
      <w:pPr>
        <w:adjustRightIn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四、响应文件提交的截止时间、开启时间及地点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1、提交首次响应文件的截止时间为</w:t>
      </w:r>
      <w:r>
        <w:rPr>
          <w:rFonts w:hint="eastAsia" w:ascii="宋体" w:hAnsi="宋体" w:cs="宋体"/>
          <w:color w:val="auto"/>
          <w:sz w:val="21"/>
          <w:szCs w:val="21"/>
          <w:highlight w:val="none"/>
          <w:u w:val="single"/>
        </w:rPr>
        <w:t xml:space="preserve"> 202</w:t>
      </w:r>
      <w:r>
        <w:rPr>
          <w:rFonts w:hint="eastAsia" w:ascii="宋体" w:hAnsi="宋体" w:cs="宋体"/>
          <w:color w:val="auto"/>
          <w:sz w:val="21"/>
          <w:szCs w:val="21"/>
          <w:highlight w:val="none"/>
          <w:u w:val="single"/>
          <w:lang w:val="en-US" w:eastAsia="zh-CN"/>
        </w:rPr>
        <w:t>3</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11</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7</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w:t>
      </w:r>
      <w:r>
        <w:rPr>
          <w:rFonts w:hint="eastAsia" w:ascii="宋体" w:hAnsi="宋体" w:cs="宋体"/>
          <w:color w:val="auto"/>
          <w:sz w:val="21"/>
          <w:szCs w:val="21"/>
          <w:highlight w:val="none"/>
          <w:u w:val="single"/>
        </w:rPr>
        <w:t xml:space="preserve"> </w:t>
      </w:r>
      <w:r>
        <w:rPr>
          <w:rFonts w:ascii="宋体" w:hAnsi="宋体" w:cs="宋体"/>
          <w:color w:val="auto"/>
          <w:sz w:val="21"/>
          <w:szCs w:val="21"/>
          <w:highlight w:val="none"/>
          <w:u w:val="single"/>
        </w:rPr>
        <w:t>1</w:t>
      </w:r>
      <w:r>
        <w:rPr>
          <w:rFonts w:hint="eastAsia" w:ascii="宋体" w:hAnsi="宋体" w:cs="宋体"/>
          <w:color w:val="auto"/>
          <w:sz w:val="21"/>
          <w:szCs w:val="21"/>
          <w:highlight w:val="none"/>
          <w:u w:val="single"/>
          <w:lang w:val="en-US" w:eastAsia="zh-CN"/>
        </w:rPr>
        <w:t>4</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时</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00</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分（北京时间），地点为</w:t>
      </w:r>
      <w:r>
        <w:rPr>
          <w:rFonts w:hint="eastAsia" w:ascii="宋体" w:hAnsi="宋体" w:cs="宋体"/>
          <w:color w:val="auto"/>
          <w:sz w:val="21"/>
          <w:szCs w:val="21"/>
          <w:highlight w:val="none"/>
          <w:u w:val="single"/>
          <w:lang w:eastAsia="zh-CN"/>
        </w:rPr>
        <w:t>中采联合招标有限公司</w:t>
      </w:r>
      <w:r>
        <w:rPr>
          <w:rFonts w:hint="eastAsia" w:ascii="宋体" w:hAnsi="宋体" w:cs="宋体"/>
          <w:color w:val="auto"/>
          <w:sz w:val="21"/>
          <w:szCs w:val="21"/>
          <w:highlight w:val="none"/>
          <w:u w:val="single"/>
        </w:rPr>
        <w:t>【</w:t>
      </w:r>
      <w:r>
        <w:rPr>
          <w:rFonts w:hint="eastAsia" w:ascii="宋体" w:hAnsi="宋体" w:cs="宋体"/>
          <w:color w:val="auto"/>
          <w:sz w:val="21"/>
          <w:szCs w:val="21"/>
          <w:highlight w:val="none"/>
          <w:u w:val="single"/>
          <w:lang w:eastAsia="zh-CN"/>
        </w:rPr>
        <w:t>长沙市开福区芙蓉中路一段88号天健壹平方英里H栋24楼</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(指定地点)。在截止时间后送达的响应文件为无效文件，采购人、采购代理机构或者磋商小组应当拒收。</w:t>
      </w:r>
    </w:p>
    <w:p>
      <w:pPr>
        <w:keepNext w:val="0"/>
        <w:keepLines w:val="0"/>
        <w:pageBreakBefore w:val="0"/>
        <w:widowControl w:val="0"/>
        <w:tabs>
          <w:tab w:val="left" w:pos="360"/>
        </w:tabs>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2、首次响应文件的开启时间及地点与提交首次响应文件的截止时间及地点为同一时间及地点。</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b/>
          <w:bCs/>
          <w:color w:val="auto"/>
          <w:sz w:val="21"/>
          <w:szCs w:val="21"/>
          <w:highlight w:val="none"/>
        </w:rPr>
      </w:pPr>
      <w:r>
        <w:rPr>
          <w:rFonts w:hint="eastAsia" w:ascii="宋体" w:hAnsi="宋体" w:cs="宋体"/>
          <w:b/>
          <w:color w:val="auto"/>
          <w:kern w:val="0"/>
          <w:sz w:val="21"/>
          <w:szCs w:val="21"/>
          <w:highlight w:val="none"/>
        </w:rPr>
        <w:t>五、</w:t>
      </w:r>
      <w:r>
        <w:rPr>
          <w:rFonts w:hint="eastAsia" w:ascii="宋体" w:hAnsi="宋体"/>
          <w:b/>
          <w:bCs/>
          <w:color w:val="auto"/>
          <w:sz w:val="21"/>
          <w:szCs w:val="21"/>
          <w:highlight w:val="none"/>
        </w:rPr>
        <w:t xml:space="preserve">联系方式 </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olor w:val="auto"/>
          <w:sz w:val="21"/>
          <w:szCs w:val="21"/>
          <w:highlight w:val="none"/>
          <w:u w:val="single"/>
          <w:lang w:eastAsia="zh-CN"/>
        </w:rPr>
      </w:pPr>
      <w:r>
        <w:rPr>
          <w:rFonts w:hint="eastAsia" w:ascii="宋体" w:hAnsi="宋体"/>
          <w:color w:val="auto"/>
          <w:sz w:val="21"/>
          <w:szCs w:val="21"/>
          <w:highlight w:val="none"/>
        </w:rPr>
        <w:t>采</w:t>
      </w:r>
      <w:r>
        <w:rPr>
          <w:rFonts w:ascii="宋体" w:hAnsi="宋体"/>
          <w:color w:val="auto"/>
          <w:sz w:val="21"/>
          <w:szCs w:val="21"/>
          <w:highlight w:val="none"/>
        </w:rPr>
        <w:t xml:space="preserve"> </w:t>
      </w:r>
      <w:r>
        <w:rPr>
          <w:rFonts w:hint="eastAsia" w:ascii="宋体" w:hAnsi="宋体"/>
          <w:color w:val="auto"/>
          <w:sz w:val="21"/>
          <w:szCs w:val="21"/>
          <w:highlight w:val="none"/>
        </w:rPr>
        <w:t>购</w:t>
      </w:r>
      <w:r>
        <w:rPr>
          <w:rFonts w:ascii="宋体" w:hAnsi="宋体"/>
          <w:color w:val="auto"/>
          <w:sz w:val="21"/>
          <w:szCs w:val="21"/>
          <w:highlight w:val="none"/>
        </w:rPr>
        <w:t xml:space="preserve"> </w:t>
      </w:r>
      <w:r>
        <w:rPr>
          <w:rFonts w:hint="eastAsia" w:ascii="宋体" w:hAnsi="宋体"/>
          <w:color w:val="auto"/>
          <w:sz w:val="21"/>
          <w:szCs w:val="21"/>
          <w:highlight w:val="none"/>
        </w:rPr>
        <w:t>人：</w:t>
      </w:r>
      <w:r>
        <w:rPr>
          <w:rFonts w:hint="eastAsia" w:ascii="宋体" w:hAnsi="宋体"/>
          <w:color w:val="auto"/>
          <w:sz w:val="21"/>
          <w:szCs w:val="21"/>
          <w:highlight w:val="none"/>
          <w:lang w:eastAsia="zh-CN"/>
        </w:rPr>
        <w:t>湖南智谷投资发展集团有限公司</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联</w:t>
      </w:r>
      <w:r>
        <w:rPr>
          <w:rFonts w:ascii="宋体" w:hAnsi="宋体"/>
          <w:color w:val="auto"/>
          <w:sz w:val="21"/>
          <w:szCs w:val="21"/>
          <w:highlight w:val="none"/>
        </w:rPr>
        <w:t xml:space="preserve"> </w:t>
      </w:r>
      <w:r>
        <w:rPr>
          <w:rFonts w:hint="eastAsia" w:ascii="宋体" w:hAnsi="宋体"/>
          <w:color w:val="auto"/>
          <w:sz w:val="21"/>
          <w:szCs w:val="21"/>
          <w:highlight w:val="none"/>
        </w:rPr>
        <w:t>系</w:t>
      </w:r>
      <w:r>
        <w:rPr>
          <w:rFonts w:ascii="宋体" w:hAnsi="宋体"/>
          <w:color w:val="auto"/>
          <w:sz w:val="21"/>
          <w:szCs w:val="21"/>
          <w:highlight w:val="none"/>
        </w:rPr>
        <w:t xml:space="preserve"> </w:t>
      </w:r>
      <w:r>
        <w:rPr>
          <w:rFonts w:hint="eastAsia" w:ascii="宋体" w:hAnsi="宋体"/>
          <w:color w:val="auto"/>
          <w:sz w:val="21"/>
          <w:szCs w:val="21"/>
          <w:highlight w:val="none"/>
        </w:rPr>
        <w:t>人：</w:t>
      </w:r>
      <w:r>
        <w:rPr>
          <w:rFonts w:hint="eastAsia" w:ascii="宋体" w:hAnsi="宋体"/>
          <w:color w:val="auto"/>
          <w:sz w:val="21"/>
          <w:szCs w:val="21"/>
          <w:highlight w:val="none"/>
          <w:lang w:eastAsia="zh-CN"/>
        </w:rPr>
        <w:t>秦先生</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电</w:t>
      </w:r>
      <w:r>
        <w:rPr>
          <w:rFonts w:ascii="宋体" w:hAnsi="宋体"/>
          <w:color w:val="auto"/>
          <w:sz w:val="21"/>
          <w:szCs w:val="21"/>
          <w:highlight w:val="none"/>
        </w:rPr>
        <w:t xml:space="preserve">    </w:t>
      </w:r>
      <w:r>
        <w:rPr>
          <w:rFonts w:hint="eastAsia" w:ascii="宋体" w:hAnsi="宋体"/>
          <w:color w:val="auto"/>
          <w:sz w:val="21"/>
          <w:szCs w:val="21"/>
          <w:highlight w:val="none"/>
        </w:rPr>
        <w:t>话：</w:t>
      </w:r>
      <w:r>
        <w:rPr>
          <w:rFonts w:hint="eastAsia" w:ascii="宋体" w:hAnsi="宋体"/>
          <w:color w:val="auto"/>
          <w:sz w:val="21"/>
          <w:szCs w:val="21"/>
          <w:highlight w:val="none"/>
          <w:lang w:eastAsia="zh-CN"/>
        </w:rPr>
        <w:t>0731-85532267</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地</w:t>
      </w:r>
      <w:r>
        <w:rPr>
          <w:rFonts w:ascii="宋体" w:hAnsi="宋体"/>
          <w:color w:val="auto"/>
          <w:sz w:val="21"/>
          <w:szCs w:val="21"/>
          <w:highlight w:val="none"/>
        </w:rPr>
        <w:t xml:space="preserve">    </w:t>
      </w:r>
      <w:r>
        <w:rPr>
          <w:rFonts w:hint="eastAsia" w:ascii="宋体" w:hAnsi="宋体"/>
          <w:color w:val="auto"/>
          <w:sz w:val="21"/>
          <w:szCs w:val="21"/>
          <w:highlight w:val="none"/>
        </w:rPr>
        <w:t>址：</w:t>
      </w:r>
      <w:r>
        <w:rPr>
          <w:rFonts w:hint="eastAsia" w:ascii="宋体" w:hAnsi="宋体" w:cs="宋体"/>
          <w:color w:val="auto"/>
          <w:sz w:val="21"/>
          <w:szCs w:val="21"/>
          <w:highlight w:val="none"/>
          <w:lang w:eastAsia="zh-CN"/>
        </w:rPr>
        <w:t>湖南长沙市岳麓区学士路336号湖南省检验检测特色产业园A1栋23楼</w:t>
      </w:r>
    </w:p>
    <w:p>
      <w:pPr>
        <w:pStyle w:val="20"/>
        <w:keepNext w:val="0"/>
        <w:keepLines w:val="0"/>
        <w:pageBreakBefore w:val="0"/>
        <w:widowControl w:val="0"/>
        <w:kinsoku/>
        <w:wordWrap/>
        <w:overflowPunct/>
        <w:topLinePunct w:val="0"/>
        <w:autoSpaceDE/>
        <w:autoSpaceDN/>
        <w:bidi w:val="0"/>
        <w:spacing w:after="0" w:line="360" w:lineRule="exact"/>
        <w:textAlignment w:val="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采购代理机构：</w:t>
      </w:r>
      <w:r>
        <w:rPr>
          <w:rFonts w:hint="eastAsia" w:ascii="宋体" w:hAnsi="宋体"/>
          <w:color w:val="auto"/>
          <w:sz w:val="21"/>
          <w:szCs w:val="21"/>
          <w:highlight w:val="none"/>
          <w:lang w:eastAsia="zh-CN"/>
        </w:rPr>
        <w:t>中采联合招标有限公司</w:t>
      </w:r>
    </w:p>
    <w:p>
      <w:pPr>
        <w:pStyle w:val="20"/>
        <w:keepNext w:val="0"/>
        <w:keepLines w:val="0"/>
        <w:pageBreakBefore w:val="0"/>
        <w:widowControl w:val="0"/>
        <w:kinsoku/>
        <w:wordWrap/>
        <w:overflowPunct/>
        <w:topLinePunct w:val="0"/>
        <w:autoSpaceDE/>
        <w:autoSpaceDN/>
        <w:bidi w:val="0"/>
        <w:spacing w:after="0" w:line="360" w:lineRule="exact"/>
        <w:textAlignment w:val="auto"/>
        <w:rPr>
          <w:rFonts w:hint="eastAsia" w:ascii="宋体" w:hAnsi="宋体"/>
          <w:color w:val="auto"/>
          <w:sz w:val="21"/>
          <w:szCs w:val="21"/>
          <w:highlight w:val="none"/>
        </w:rPr>
      </w:pPr>
      <w:r>
        <w:rPr>
          <w:rFonts w:hint="eastAsia" w:ascii="宋体" w:hAnsi="宋体"/>
          <w:color w:val="auto"/>
          <w:sz w:val="21"/>
          <w:szCs w:val="21"/>
          <w:highlight w:val="none"/>
        </w:rPr>
        <w:t>联 系 人：</w:t>
      </w:r>
      <w:r>
        <w:rPr>
          <w:rFonts w:hint="eastAsia" w:ascii="宋体" w:hAnsi="宋体"/>
          <w:color w:val="auto"/>
          <w:sz w:val="21"/>
          <w:szCs w:val="21"/>
          <w:highlight w:val="none"/>
          <w:lang w:eastAsia="zh-CN"/>
        </w:rPr>
        <w:t>鲁帆、肖艳、陈素</w:t>
      </w:r>
      <w:r>
        <w:rPr>
          <w:rFonts w:hint="eastAsia" w:ascii="宋体" w:hAnsi="宋体"/>
          <w:color w:val="auto"/>
          <w:sz w:val="21"/>
          <w:szCs w:val="21"/>
          <w:highlight w:val="none"/>
        </w:rPr>
        <w:t xml:space="preserve">                     </w:t>
      </w:r>
    </w:p>
    <w:p>
      <w:pPr>
        <w:pStyle w:val="20"/>
        <w:keepNext w:val="0"/>
        <w:keepLines w:val="0"/>
        <w:pageBreakBefore w:val="0"/>
        <w:widowControl w:val="0"/>
        <w:kinsoku/>
        <w:wordWrap/>
        <w:overflowPunct/>
        <w:topLinePunct w:val="0"/>
        <w:autoSpaceDE/>
        <w:autoSpaceDN/>
        <w:bidi w:val="0"/>
        <w:spacing w:after="0" w:line="360" w:lineRule="exact"/>
        <w:textAlignment w:val="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电    话：</w:t>
      </w:r>
      <w:r>
        <w:rPr>
          <w:rFonts w:hint="eastAsia" w:ascii="宋体" w:hAnsi="宋体"/>
          <w:color w:val="auto"/>
          <w:sz w:val="21"/>
          <w:szCs w:val="21"/>
          <w:highlight w:val="none"/>
          <w:lang w:eastAsia="zh-CN"/>
        </w:rPr>
        <w:t>0731-85162085</w:t>
      </w:r>
    </w:p>
    <w:p>
      <w:pPr>
        <w:pStyle w:val="20"/>
        <w:keepNext w:val="0"/>
        <w:keepLines w:val="0"/>
        <w:pageBreakBefore w:val="0"/>
        <w:widowControl w:val="0"/>
        <w:kinsoku/>
        <w:wordWrap/>
        <w:overflowPunct/>
        <w:topLinePunct w:val="0"/>
        <w:autoSpaceDE/>
        <w:autoSpaceDN/>
        <w:bidi w:val="0"/>
        <w:spacing w:after="0" w:line="360" w:lineRule="exact"/>
        <w:textAlignment w:val="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地    址：</w:t>
      </w:r>
      <w:r>
        <w:rPr>
          <w:rFonts w:hint="eastAsia" w:ascii="宋体" w:hAnsi="宋体"/>
          <w:color w:val="auto"/>
          <w:sz w:val="21"/>
          <w:szCs w:val="21"/>
          <w:highlight w:val="none"/>
          <w:lang w:eastAsia="zh-CN"/>
        </w:rPr>
        <w:t>长沙市开福区芙蓉中路一段88号天健壹平方英里H栋24楼</w:t>
      </w:r>
    </w:p>
    <w:p>
      <w:pPr>
        <w:pStyle w:val="20"/>
        <w:keepNext w:val="0"/>
        <w:keepLines w:val="0"/>
        <w:pageBreakBefore w:val="0"/>
        <w:widowControl w:val="0"/>
        <w:kinsoku/>
        <w:wordWrap/>
        <w:overflowPunct/>
        <w:topLinePunct w:val="0"/>
        <w:autoSpaceDE/>
        <w:autoSpaceDN/>
        <w:bidi w:val="0"/>
        <w:spacing w:after="0" w:line="360" w:lineRule="exact"/>
        <w:textAlignment w:val="auto"/>
        <w:rPr>
          <w:rFonts w:hint="eastAsia" w:ascii="宋体" w:hAnsi="宋体"/>
          <w:color w:val="auto"/>
          <w:sz w:val="21"/>
          <w:szCs w:val="21"/>
          <w:highlight w:val="none"/>
        </w:rPr>
      </w:pPr>
      <w:r>
        <w:rPr>
          <w:rFonts w:hint="eastAsia" w:ascii="宋体" w:hAnsi="宋体"/>
          <w:color w:val="auto"/>
          <w:sz w:val="21"/>
          <w:szCs w:val="21"/>
          <w:highlight w:val="none"/>
        </w:rPr>
        <w:t>监管部门：审计监察部</w:t>
      </w:r>
    </w:p>
    <w:p>
      <w:pPr>
        <w:pStyle w:val="20"/>
        <w:keepNext w:val="0"/>
        <w:keepLines w:val="0"/>
        <w:pageBreakBefore w:val="0"/>
        <w:widowControl w:val="0"/>
        <w:kinsoku/>
        <w:wordWrap/>
        <w:overflowPunct/>
        <w:topLinePunct w:val="0"/>
        <w:autoSpaceDE/>
        <w:autoSpaceDN/>
        <w:bidi w:val="0"/>
        <w:spacing w:after="0" w:line="360" w:lineRule="exact"/>
        <w:textAlignment w:val="auto"/>
        <w:rPr>
          <w:rFonts w:hint="eastAsia" w:ascii="宋体" w:hAnsi="宋体"/>
          <w:color w:val="auto"/>
          <w:sz w:val="21"/>
          <w:szCs w:val="21"/>
          <w:highlight w:val="none"/>
        </w:rPr>
      </w:pPr>
      <w:r>
        <w:rPr>
          <w:rFonts w:hint="eastAsia" w:ascii="宋体" w:hAnsi="宋体"/>
          <w:color w:val="auto"/>
          <w:sz w:val="21"/>
          <w:szCs w:val="21"/>
          <w:highlight w:val="none"/>
        </w:rPr>
        <w:t>联系人：</w:t>
      </w:r>
      <w:r>
        <w:rPr>
          <w:rFonts w:hint="eastAsia" w:ascii="宋体" w:hAnsi="宋体"/>
          <w:color w:val="auto"/>
          <w:sz w:val="21"/>
          <w:szCs w:val="21"/>
          <w:highlight w:val="none"/>
          <w:lang w:val="en-US" w:eastAsia="zh-CN"/>
        </w:rPr>
        <w:t>杨先生</w:t>
      </w:r>
    </w:p>
    <w:p>
      <w:pPr>
        <w:pStyle w:val="20"/>
        <w:keepNext w:val="0"/>
        <w:keepLines w:val="0"/>
        <w:pageBreakBefore w:val="0"/>
        <w:widowControl w:val="0"/>
        <w:kinsoku/>
        <w:wordWrap/>
        <w:overflowPunct/>
        <w:topLinePunct w:val="0"/>
        <w:autoSpaceDE/>
        <w:autoSpaceDN/>
        <w:bidi w:val="0"/>
        <w:spacing w:after="0" w:line="360" w:lineRule="exact"/>
        <w:textAlignment w:val="auto"/>
        <w:rPr>
          <w:rFonts w:ascii="宋体" w:hAnsi="宋体"/>
          <w:color w:val="auto"/>
          <w:sz w:val="21"/>
          <w:szCs w:val="21"/>
          <w:highlight w:val="none"/>
        </w:rPr>
      </w:pPr>
      <w:r>
        <w:rPr>
          <w:rFonts w:hint="eastAsia" w:ascii="宋体" w:hAnsi="宋体"/>
          <w:color w:val="auto"/>
          <w:sz w:val="21"/>
          <w:szCs w:val="21"/>
          <w:highlight w:val="none"/>
        </w:rPr>
        <w:t>电话：0731-85581812</w:t>
      </w:r>
    </w:p>
    <w:p>
      <w:pPr>
        <w:adjustRightInd w:val="0"/>
        <w:snapToGrid w:val="0"/>
        <w:spacing w:line="360" w:lineRule="auto"/>
        <w:jc w:val="center"/>
        <w:rPr>
          <w:rFonts w:hint="eastAsia" w:ascii="Times New Roman" w:hAnsi="Times New Roman"/>
          <w:b/>
          <w:bCs/>
          <w:color w:val="auto"/>
          <w:szCs w:val="28"/>
          <w:highlight w:val="none"/>
        </w:rPr>
      </w:pPr>
    </w:p>
    <w:p>
      <w:pPr>
        <w:pStyle w:val="59"/>
        <w:rPr>
          <w:rFonts w:hint="eastAsia"/>
          <w:color w:val="auto"/>
        </w:rPr>
      </w:pPr>
    </w:p>
    <w:p>
      <w:pPr>
        <w:adjustRightInd w:val="0"/>
        <w:snapToGrid w:val="0"/>
        <w:spacing w:line="360" w:lineRule="auto"/>
        <w:jc w:val="center"/>
        <w:rPr>
          <w:rFonts w:hint="eastAsia" w:ascii="Times New Roman" w:hAnsi="Times New Roman"/>
          <w:b/>
          <w:bCs/>
          <w:color w:val="auto"/>
          <w:szCs w:val="28"/>
          <w:highlight w:val="none"/>
        </w:rPr>
      </w:pPr>
    </w:p>
    <w:p>
      <w:pPr>
        <w:adjustRightInd w:val="0"/>
        <w:snapToGrid w:val="0"/>
        <w:spacing w:line="360" w:lineRule="auto"/>
        <w:jc w:val="center"/>
        <w:rPr>
          <w:rFonts w:hint="eastAsia" w:ascii="Times New Roman" w:hAnsi="Times New Roman"/>
          <w:b/>
          <w:bCs/>
          <w:color w:val="auto"/>
          <w:szCs w:val="28"/>
          <w:highlight w:val="none"/>
        </w:rPr>
      </w:pPr>
    </w:p>
    <w:p>
      <w:pPr>
        <w:adjustRightInd w:val="0"/>
        <w:snapToGrid w:val="0"/>
        <w:spacing w:line="360" w:lineRule="auto"/>
        <w:jc w:val="center"/>
        <w:rPr>
          <w:rFonts w:hint="eastAsia" w:ascii="Times New Roman" w:hAnsi="Times New Roman"/>
          <w:b/>
          <w:bCs/>
          <w:color w:val="auto"/>
          <w:szCs w:val="28"/>
          <w:highlight w:val="none"/>
        </w:rPr>
      </w:pPr>
      <w:r>
        <w:rPr>
          <w:rFonts w:hint="eastAsia" w:ascii="Times New Roman" w:hAnsi="Times New Roman"/>
          <w:b/>
          <w:bCs/>
          <w:color w:val="auto"/>
          <w:szCs w:val="28"/>
          <w:highlight w:val="none"/>
        </w:rPr>
        <w:t>第二章  磋商须知</w:t>
      </w:r>
    </w:p>
    <w:p>
      <w:pPr>
        <w:pStyle w:val="6"/>
        <w:rPr>
          <w:rFonts w:hint="eastAsia"/>
          <w:color w:val="auto"/>
          <w:sz w:val="21"/>
          <w:szCs w:val="21"/>
          <w:highlight w:val="none"/>
        </w:rPr>
      </w:pPr>
      <w:r>
        <w:rPr>
          <w:rFonts w:hint="eastAsia"/>
          <w:color w:val="auto"/>
          <w:sz w:val="21"/>
          <w:szCs w:val="21"/>
          <w:highlight w:val="none"/>
        </w:rPr>
        <w:t>磋商须知前附表</w:t>
      </w:r>
    </w:p>
    <w:p>
      <w:pPr>
        <w:pStyle w:val="25"/>
        <w:rPr>
          <w:rFonts w:hint="eastAsia" w:ascii="黑体" w:eastAsia="黑体"/>
          <w:b/>
          <w:color w:val="auto"/>
          <w:highlight w:val="none"/>
        </w:rPr>
      </w:pPr>
      <w:r>
        <w:rPr>
          <w:rFonts w:hint="eastAsia" w:hAnsi="宋体" w:cs="宋体"/>
          <w:color w:val="auto"/>
          <w:highlight w:val="none"/>
        </w:rPr>
        <w:t>注： 请在方框□内划√选择，在“条款号”内限选一项。（本项目采用的条款用“■”标示）</w:t>
      </w:r>
    </w:p>
    <w:tbl>
      <w:tblPr>
        <w:tblStyle w:val="44"/>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58"/>
        <w:gridCol w:w="1788"/>
        <w:gridCol w:w="12"/>
        <w:gridCol w:w="566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tblHeader/>
          <w:jc w:val="center"/>
        </w:trPr>
        <w:tc>
          <w:tcPr>
            <w:tcW w:w="1658" w:type="dxa"/>
            <w:noWrap w:val="0"/>
            <w:vAlign w:val="center"/>
          </w:tcPr>
          <w:p>
            <w:pPr>
              <w:adjustRightInd w:val="0"/>
              <w:snapToGrid w:val="0"/>
              <w:spacing w:line="288" w:lineRule="auto"/>
              <w:jc w:val="center"/>
              <w:rPr>
                <w:rFonts w:hint="eastAsia" w:ascii="宋体" w:hAnsi="宋体" w:eastAsia="宋体" w:cs="Times New Roman"/>
                <w:b/>
                <w:color w:val="auto"/>
                <w:sz w:val="21"/>
                <w:szCs w:val="21"/>
                <w:highlight w:val="none"/>
              </w:rPr>
            </w:pPr>
            <w:r>
              <w:rPr>
                <w:rFonts w:hint="eastAsia" w:ascii="宋体" w:hAnsi="宋体" w:eastAsia="宋体" w:cs="Times New Roman"/>
                <w:b/>
                <w:color w:val="auto"/>
                <w:sz w:val="21"/>
                <w:szCs w:val="21"/>
                <w:highlight w:val="none"/>
              </w:rPr>
              <w:t>条款号</w:t>
            </w:r>
          </w:p>
        </w:tc>
        <w:tc>
          <w:tcPr>
            <w:tcW w:w="1788" w:type="dxa"/>
            <w:noWrap w:val="0"/>
            <w:vAlign w:val="center"/>
          </w:tcPr>
          <w:p>
            <w:pPr>
              <w:adjustRightInd w:val="0"/>
              <w:snapToGrid w:val="0"/>
              <w:spacing w:line="288" w:lineRule="auto"/>
              <w:jc w:val="center"/>
              <w:rPr>
                <w:rFonts w:hint="eastAsia" w:ascii="宋体" w:hAnsi="宋体" w:eastAsia="宋体" w:cs="Times New Roman"/>
                <w:b/>
                <w:color w:val="auto"/>
                <w:sz w:val="21"/>
                <w:szCs w:val="21"/>
                <w:highlight w:val="none"/>
              </w:rPr>
            </w:pPr>
            <w:r>
              <w:rPr>
                <w:rFonts w:hint="eastAsia" w:ascii="宋体" w:hAnsi="宋体" w:eastAsia="宋体" w:cs="Times New Roman"/>
                <w:b/>
                <w:color w:val="auto"/>
                <w:sz w:val="21"/>
                <w:szCs w:val="21"/>
                <w:highlight w:val="none"/>
              </w:rPr>
              <w:t>条款名称</w:t>
            </w:r>
          </w:p>
        </w:tc>
        <w:tc>
          <w:tcPr>
            <w:tcW w:w="5677" w:type="dxa"/>
            <w:gridSpan w:val="2"/>
            <w:noWrap w:val="0"/>
            <w:vAlign w:val="center"/>
          </w:tcPr>
          <w:p>
            <w:pPr>
              <w:adjustRightInd w:val="0"/>
              <w:snapToGrid w:val="0"/>
              <w:spacing w:line="288" w:lineRule="auto"/>
              <w:jc w:val="center"/>
              <w:rPr>
                <w:rFonts w:hint="eastAsia" w:ascii="宋体" w:hAnsi="宋体" w:eastAsia="宋体" w:cs="Times New Roman"/>
                <w:b/>
                <w:color w:val="auto"/>
                <w:sz w:val="21"/>
                <w:szCs w:val="21"/>
                <w:highlight w:val="none"/>
              </w:rPr>
            </w:pPr>
            <w:r>
              <w:rPr>
                <w:rFonts w:hint="eastAsia" w:ascii="宋体" w:hAnsi="宋体" w:eastAsia="宋体" w:cs="Times New Roman"/>
                <w:b/>
                <w:color w:val="auto"/>
                <w:sz w:val="21"/>
                <w:szCs w:val="21"/>
                <w:highlight w:val="none"/>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123" w:type="dxa"/>
            <w:gridSpan w:val="4"/>
            <w:noWrap w:val="0"/>
            <w:vAlign w:val="center"/>
          </w:tcPr>
          <w:p>
            <w:pPr>
              <w:adjustRightInd w:val="0"/>
              <w:snapToGrid w:val="0"/>
              <w:spacing w:line="288" w:lineRule="auto"/>
              <w:rPr>
                <w:rFonts w:hint="eastAsia" w:ascii="宋体" w:hAnsi="宋体" w:eastAsia="宋体" w:cs="Times New Roman"/>
                <w:color w:val="auto"/>
                <w:sz w:val="21"/>
                <w:szCs w:val="21"/>
                <w:highlight w:val="none"/>
              </w:rPr>
            </w:pPr>
            <w:r>
              <w:rPr>
                <w:rFonts w:hint="eastAsia" w:ascii="宋体" w:hAnsi="宋体" w:eastAsia="宋体" w:cs="Times New Roman"/>
                <w:b/>
                <w:color w:val="auto"/>
                <w:sz w:val="21"/>
                <w:szCs w:val="21"/>
                <w:highlight w:val="none"/>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5" w:hRule="atLeast"/>
          <w:jc w:val="center"/>
        </w:trPr>
        <w:tc>
          <w:tcPr>
            <w:tcW w:w="1658" w:type="dxa"/>
            <w:noWrap w:val="0"/>
            <w:vAlign w:val="center"/>
          </w:tcPr>
          <w:p>
            <w:pPr>
              <w:adjustRightInd w:val="0"/>
              <w:snapToGrid w:val="0"/>
              <w:spacing w:line="288" w:lineRule="auto"/>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第二章第1.1款</w:t>
            </w:r>
          </w:p>
        </w:tc>
        <w:tc>
          <w:tcPr>
            <w:tcW w:w="1788" w:type="dxa"/>
            <w:noWrap w:val="0"/>
            <w:vAlign w:val="center"/>
          </w:tcPr>
          <w:p>
            <w:pPr>
              <w:adjustRightInd w:val="0"/>
              <w:snapToGrid w:val="0"/>
              <w:spacing w:line="288"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采购项目</w:t>
            </w:r>
          </w:p>
        </w:tc>
        <w:tc>
          <w:tcPr>
            <w:tcW w:w="5677" w:type="dxa"/>
            <w:gridSpan w:val="2"/>
            <w:noWrap w:val="0"/>
            <w:vAlign w:val="center"/>
          </w:tcPr>
          <w:p>
            <w:pPr>
              <w:adjustRightInd w:val="0"/>
              <w:snapToGrid w:val="0"/>
              <w:spacing w:line="288" w:lineRule="auto"/>
              <w:rPr>
                <w:rFonts w:hint="eastAsia" w:ascii="宋体" w:hAnsi="宋体" w:eastAsia="宋体" w:cs="Times New Roman"/>
                <w:color w:val="auto"/>
                <w:sz w:val="21"/>
                <w:szCs w:val="21"/>
                <w:highlight w:val="none"/>
              </w:rPr>
            </w:pPr>
            <w:r>
              <w:rPr>
                <w:rFonts w:hint="eastAsia" w:ascii="宋体" w:hAnsi="宋体" w:cs="Times New Roman"/>
                <w:color w:val="auto"/>
                <w:sz w:val="21"/>
                <w:szCs w:val="21"/>
                <w:highlight w:val="none"/>
                <w:lang w:eastAsia="zh-CN"/>
              </w:rPr>
              <w:t>湖南省检验检测特色产业园2023-2024年度保洁服务采购项目（第二次）</w:t>
            </w:r>
            <w:r>
              <w:rPr>
                <w:rFonts w:hint="eastAsia" w:ascii="宋体" w:hAnsi="宋体" w:eastAsia="宋体" w:cs="Times New Roman"/>
                <w:color w:val="auto"/>
                <w:sz w:val="21"/>
                <w:szCs w:val="21"/>
                <w:highlight w:val="non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18" w:hRule="atLeast"/>
          <w:jc w:val="center"/>
        </w:trPr>
        <w:tc>
          <w:tcPr>
            <w:tcW w:w="1658" w:type="dxa"/>
            <w:noWrap w:val="0"/>
            <w:vAlign w:val="center"/>
          </w:tcPr>
          <w:p>
            <w:pPr>
              <w:adjustRightInd w:val="0"/>
              <w:snapToGrid w:val="0"/>
              <w:spacing w:line="288" w:lineRule="auto"/>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第二章第2.1款</w:t>
            </w:r>
          </w:p>
        </w:tc>
        <w:tc>
          <w:tcPr>
            <w:tcW w:w="1788" w:type="dxa"/>
            <w:noWrap w:val="0"/>
            <w:vAlign w:val="center"/>
          </w:tcPr>
          <w:p>
            <w:pPr>
              <w:adjustRightInd w:val="0"/>
              <w:snapToGrid w:val="0"/>
              <w:spacing w:line="288"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采购人</w:t>
            </w:r>
          </w:p>
        </w:tc>
        <w:tc>
          <w:tcPr>
            <w:tcW w:w="5677" w:type="dxa"/>
            <w:gridSpan w:val="2"/>
            <w:noWrap w:val="0"/>
            <w:vAlign w:val="center"/>
          </w:tcPr>
          <w:p>
            <w:pPr>
              <w:adjustRightInd w:val="0"/>
              <w:snapToGrid w:val="0"/>
              <w:spacing w:line="360" w:lineRule="auto"/>
              <w:rPr>
                <w:rFonts w:hint="eastAsia" w:ascii="宋体" w:hAnsi="宋体" w:eastAsia="宋体" w:cs="Times New Roman"/>
                <w:color w:val="auto"/>
                <w:sz w:val="21"/>
                <w:szCs w:val="21"/>
                <w:highlight w:val="none"/>
                <w:u w:val="single"/>
                <w:lang w:eastAsia="zh-CN"/>
              </w:rPr>
            </w:pPr>
            <w:r>
              <w:rPr>
                <w:rFonts w:hint="eastAsia" w:ascii="宋体" w:hAnsi="宋体" w:eastAsia="宋体" w:cs="Times New Roman"/>
                <w:color w:val="auto"/>
                <w:sz w:val="21"/>
                <w:szCs w:val="21"/>
                <w:highlight w:val="none"/>
              </w:rPr>
              <w:t>采</w:t>
            </w:r>
            <w:r>
              <w:rPr>
                <w:rFonts w:ascii="宋体" w:hAnsi="宋体" w:eastAsia="宋体" w:cs="Times New Roman"/>
                <w:color w:val="auto"/>
                <w:sz w:val="21"/>
                <w:szCs w:val="21"/>
                <w:highlight w:val="none"/>
              </w:rPr>
              <w:t xml:space="preserve"> </w:t>
            </w:r>
            <w:r>
              <w:rPr>
                <w:rFonts w:hint="eastAsia" w:ascii="宋体" w:hAnsi="宋体" w:eastAsia="宋体" w:cs="Times New Roman"/>
                <w:color w:val="auto"/>
                <w:sz w:val="21"/>
                <w:szCs w:val="21"/>
                <w:highlight w:val="none"/>
              </w:rPr>
              <w:t>购</w:t>
            </w:r>
            <w:r>
              <w:rPr>
                <w:rFonts w:ascii="宋体" w:hAnsi="宋体" w:eastAsia="宋体" w:cs="Times New Roman"/>
                <w:color w:val="auto"/>
                <w:sz w:val="21"/>
                <w:szCs w:val="21"/>
                <w:highlight w:val="none"/>
              </w:rPr>
              <w:t xml:space="preserve"> </w:t>
            </w:r>
            <w:r>
              <w:rPr>
                <w:rFonts w:hint="eastAsia" w:ascii="宋体" w:hAnsi="宋体" w:eastAsia="宋体" w:cs="Times New Roman"/>
                <w:color w:val="auto"/>
                <w:sz w:val="21"/>
                <w:szCs w:val="21"/>
                <w:highlight w:val="none"/>
              </w:rPr>
              <w:t>人：</w:t>
            </w:r>
            <w:r>
              <w:rPr>
                <w:rFonts w:hint="eastAsia" w:ascii="宋体" w:hAnsi="宋体" w:cs="Times New Roman"/>
                <w:color w:val="auto"/>
                <w:sz w:val="21"/>
                <w:szCs w:val="21"/>
                <w:highlight w:val="none"/>
                <w:lang w:eastAsia="zh-CN"/>
              </w:rPr>
              <w:t>湖南智谷投资发展集团有限公司</w:t>
            </w:r>
          </w:p>
          <w:p>
            <w:pPr>
              <w:adjustRightInd w:val="0"/>
              <w:snapToGrid w:val="0"/>
              <w:spacing w:line="360" w:lineRule="auto"/>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rPr>
              <w:t>联</w:t>
            </w:r>
            <w:r>
              <w:rPr>
                <w:rFonts w:ascii="宋体" w:hAnsi="宋体" w:eastAsia="宋体" w:cs="Times New Roman"/>
                <w:color w:val="auto"/>
                <w:sz w:val="21"/>
                <w:szCs w:val="21"/>
                <w:highlight w:val="none"/>
              </w:rPr>
              <w:t xml:space="preserve"> </w:t>
            </w:r>
            <w:r>
              <w:rPr>
                <w:rFonts w:hint="eastAsia" w:ascii="宋体" w:hAnsi="宋体" w:eastAsia="宋体" w:cs="Times New Roman"/>
                <w:color w:val="auto"/>
                <w:sz w:val="21"/>
                <w:szCs w:val="21"/>
                <w:highlight w:val="none"/>
              </w:rPr>
              <w:t>系</w:t>
            </w:r>
            <w:r>
              <w:rPr>
                <w:rFonts w:ascii="宋体" w:hAnsi="宋体" w:eastAsia="宋体" w:cs="Times New Roman"/>
                <w:color w:val="auto"/>
                <w:sz w:val="21"/>
                <w:szCs w:val="21"/>
                <w:highlight w:val="none"/>
              </w:rPr>
              <w:t xml:space="preserve"> </w:t>
            </w:r>
            <w:r>
              <w:rPr>
                <w:rFonts w:hint="eastAsia" w:ascii="宋体" w:hAnsi="宋体" w:eastAsia="宋体" w:cs="Times New Roman"/>
                <w:color w:val="auto"/>
                <w:sz w:val="21"/>
                <w:szCs w:val="21"/>
                <w:highlight w:val="none"/>
              </w:rPr>
              <w:t>人：</w:t>
            </w:r>
            <w:r>
              <w:rPr>
                <w:rFonts w:hint="eastAsia" w:ascii="宋体" w:hAnsi="宋体" w:cs="Times New Roman"/>
                <w:color w:val="auto"/>
                <w:sz w:val="21"/>
                <w:szCs w:val="21"/>
                <w:highlight w:val="none"/>
                <w:lang w:eastAsia="zh-CN"/>
              </w:rPr>
              <w:t>秦先生</w:t>
            </w:r>
          </w:p>
          <w:p>
            <w:pPr>
              <w:adjustRightInd w:val="0"/>
              <w:snapToGrid w:val="0"/>
              <w:spacing w:line="360" w:lineRule="auto"/>
              <w:rPr>
                <w:rFonts w:hint="eastAsia" w:ascii="宋体" w:hAnsi="宋体" w:eastAsia="宋体" w:cs="Times New Roman"/>
                <w:color w:val="auto"/>
                <w:sz w:val="21"/>
                <w:szCs w:val="21"/>
                <w:highlight w:val="none"/>
                <w:lang w:eastAsia="zh-CN"/>
              </w:rPr>
            </w:pPr>
            <w:r>
              <w:rPr>
                <w:rFonts w:hint="eastAsia" w:ascii="宋体" w:hAnsi="宋体" w:eastAsia="宋体" w:cs="Times New Roman"/>
                <w:color w:val="auto"/>
                <w:sz w:val="21"/>
                <w:szCs w:val="21"/>
                <w:highlight w:val="none"/>
              </w:rPr>
              <w:t>电</w:t>
            </w:r>
            <w:r>
              <w:rPr>
                <w:rFonts w:ascii="宋体" w:hAnsi="宋体" w:eastAsia="宋体" w:cs="Times New Roman"/>
                <w:color w:val="auto"/>
                <w:sz w:val="21"/>
                <w:szCs w:val="21"/>
                <w:highlight w:val="none"/>
              </w:rPr>
              <w:t xml:space="preserve">    </w:t>
            </w:r>
            <w:r>
              <w:rPr>
                <w:rFonts w:hint="eastAsia" w:ascii="宋体" w:hAnsi="宋体" w:eastAsia="宋体" w:cs="Times New Roman"/>
                <w:color w:val="auto"/>
                <w:sz w:val="21"/>
                <w:szCs w:val="21"/>
                <w:highlight w:val="none"/>
              </w:rPr>
              <w:t>话：</w:t>
            </w:r>
            <w:r>
              <w:rPr>
                <w:rFonts w:hint="eastAsia" w:ascii="宋体" w:hAnsi="宋体" w:cs="Times New Roman"/>
                <w:color w:val="auto"/>
                <w:sz w:val="21"/>
                <w:szCs w:val="21"/>
                <w:highlight w:val="none"/>
                <w:lang w:eastAsia="zh-CN"/>
              </w:rPr>
              <w:t>0731-85532267</w:t>
            </w:r>
          </w:p>
          <w:p>
            <w:pPr>
              <w:adjustRightInd w:val="0"/>
              <w:snapToGrid w:val="0"/>
              <w:spacing w:line="360" w:lineRule="auto"/>
              <w:rPr>
                <w:rFonts w:hint="eastAsia" w:ascii="宋体" w:hAnsi="宋体" w:eastAsia="宋体" w:cs="Times New Roman"/>
                <w:color w:val="auto"/>
                <w:sz w:val="21"/>
                <w:szCs w:val="21"/>
                <w:highlight w:val="none"/>
                <w:u w:val="single"/>
                <w:lang w:eastAsia="zh-CN"/>
              </w:rPr>
            </w:pPr>
            <w:r>
              <w:rPr>
                <w:rFonts w:hint="eastAsia" w:ascii="宋体" w:hAnsi="宋体" w:eastAsia="宋体" w:cs="Times New Roman"/>
                <w:color w:val="auto"/>
                <w:sz w:val="21"/>
                <w:szCs w:val="21"/>
                <w:highlight w:val="none"/>
              </w:rPr>
              <w:t>地</w:t>
            </w:r>
            <w:r>
              <w:rPr>
                <w:rFonts w:ascii="宋体" w:hAnsi="宋体" w:eastAsia="宋体" w:cs="Times New Roman"/>
                <w:color w:val="auto"/>
                <w:sz w:val="21"/>
                <w:szCs w:val="21"/>
                <w:highlight w:val="none"/>
              </w:rPr>
              <w:t xml:space="preserve">    </w:t>
            </w:r>
            <w:r>
              <w:rPr>
                <w:rFonts w:hint="eastAsia" w:ascii="宋体" w:hAnsi="宋体" w:eastAsia="宋体" w:cs="Times New Roman"/>
                <w:color w:val="auto"/>
                <w:sz w:val="21"/>
                <w:szCs w:val="21"/>
                <w:highlight w:val="none"/>
              </w:rPr>
              <w:t>址：</w:t>
            </w:r>
            <w:r>
              <w:rPr>
                <w:rFonts w:hint="eastAsia" w:ascii="宋体" w:hAnsi="宋体" w:cs="宋体"/>
                <w:color w:val="auto"/>
                <w:sz w:val="21"/>
                <w:szCs w:val="21"/>
                <w:highlight w:val="none"/>
                <w:lang w:eastAsia="zh-CN"/>
              </w:rPr>
              <w:t>湖南长沙市岳麓区学士路336号湖南省检验检测特色产业园A1栋23楼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658" w:type="dxa"/>
            <w:noWrap w:val="0"/>
            <w:vAlign w:val="center"/>
          </w:tcPr>
          <w:p>
            <w:pPr>
              <w:adjustRightInd w:val="0"/>
              <w:snapToGrid w:val="0"/>
              <w:spacing w:line="288" w:lineRule="auto"/>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第二章第2.2款</w:t>
            </w:r>
          </w:p>
        </w:tc>
        <w:tc>
          <w:tcPr>
            <w:tcW w:w="1788" w:type="dxa"/>
            <w:noWrap w:val="0"/>
            <w:vAlign w:val="center"/>
          </w:tcPr>
          <w:p>
            <w:pPr>
              <w:adjustRightInd w:val="0"/>
              <w:snapToGrid w:val="0"/>
              <w:spacing w:line="288"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采购代理机构</w:t>
            </w:r>
          </w:p>
        </w:tc>
        <w:tc>
          <w:tcPr>
            <w:tcW w:w="5677" w:type="dxa"/>
            <w:gridSpan w:val="2"/>
            <w:noWrap w:val="0"/>
            <w:vAlign w:val="center"/>
          </w:tcPr>
          <w:p>
            <w:pPr>
              <w:pStyle w:val="25"/>
              <w:spacing w:line="288" w:lineRule="auto"/>
              <w:jc w:val="left"/>
              <w:rPr>
                <w:rFonts w:hint="eastAsia" w:hAnsi="宋体" w:eastAsia="宋体"/>
                <w:color w:val="auto"/>
                <w:highlight w:val="none"/>
                <w:lang w:eastAsia="zh-CN"/>
              </w:rPr>
            </w:pPr>
            <w:r>
              <w:rPr>
                <w:rFonts w:hint="eastAsia" w:hAnsi="宋体" w:eastAsia="宋体"/>
                <w:color w:val="auto"/>
                <w:highlight w:val="none"/>
              </w:rPr>
              <w:t>采购代理机构：</w:t>
            </w:r>
            <w:r>
              <w:rPr>
                <w:rFonts w:hint="eastAsia" w:hAnsi="宋体"/>
                <w:color w:val="auto"/>
                <w:highlight w:val="none"/>
                <w:lang w:eastAsia="zh-CN"/>
              </w:rPr>
              <w:t>中采联合招标有限公司</w:t>
            </w:r>
          </w:p>
          <w:p>
            <w:pPr>
              <w:pStyle w:val="25"/>
              <w:spacing w:line="288" w:lineRule="auto"/>
              <w:jc w:val="left"/>
              <w:rPr>
                <w:rFonts w:hint="eastAsia" w:hAnsi="宋体" w:eastAsia="宋体"/>
                <w:color w:val="auto"/>
                <w:highlight w:val="none"/>
              </w:rPr>
            </w:pPr>
            <w:r>
              <w:rPr>
                <w:rFonts w:hint="eastAsia" w:hAnsi="宋体" w:eastAsia="宋体"/>
                <w:color w:val="auto"/>
                <w:highlight w:val="none"/>
              </w:rPr>
              <w:t>联 系 人：</w:t>
            </w:r>
            <w:r>
              <w:rPr>
                <w:rFonts w:hint="eastAsia" w:hAnsi="宋体"/>
                <w:color w:val="auto"/>
                <w:highlight w:val="none"/>
                <w:lang w:eastAsia="zh-CN"/>
              </w:rPr>
              <w:t>鲁帆、肖艳、陈素</w:t>
            </w:r>
            <w:r>
              <w:rPr>
                <w:rFonts w:hint="eastAsia" w:hAnsi="宋体" w:eastAsia="宋体"/>
                <w:color w:val="auto"/>
                <w:highlight w:val="none"/>
              </w:rPr>
              <w:t xml:space="preserve">                     </w:t>
            </w:r>
          </w:p>
          <w:p>
            <w:pPr>
              <w:pStyle w:val="25"/>
              <w:spacing w:line="288" w:lineRule="auto"/>
              <w:jc w:val="left"/>
              <w:rPr>
                <w:rFonts w:hint="eastAsia" w:hAnsi="宋体" w:eastAsia="宋体"/>
                <w:color w:val="auto"/>
                <w:highlight w:val="none"/>
                <w:lang w:eastAsia="zh-CN"/>
              </w:rPr>
            </w:pPr>
            <w:r>
              <w:rPr>
                <w:rFonts w:hint="eastAsia" w:hAnsi="宋体" w:eastAsia="宋体"/>
                <w:color w:val="auto"/>
                <w:highlight w:val="none"/>
              </w:rPr>
              <w:t>电    话：</w:t>
            </w:r>
            <w:r>
              <w:rPr>
                <w:rFonts w:hint="eastAsia" w:hAnsi="宋体"/>
                <w:color w:val="auto"/>
                <w:highlight w:val="none"/>
                <w:lang w:eastAsia="zh-CN"/>
              </w:rPr>
              <w:t>0731-85162085</w:t>
            </w:r>
          </w:p>
          <w:p>
            <w:pPr>
              <w:pStyle w:val="25"/>
              <w:spacing w:line="288" w:lineRule="auto"/>
              <w:jc w:val="left"/>
              <w:rPr>
                <w:rFonts w:hint="eastAsia" w:hAnsi="宋体" w:eastAsia="宋体"/>
                <w:color w:val="auto"/>
                <w:highlight w:val="none"/>
                <w:lang w:eastAsia="zh-CN"/>
              </w:rPr>
            </w:pPr>
            <w:r>
              <w:rPr>
                <w:rFonts w:hint="eastAsia" w:hAnsi="宋体" w:eastAsia="宋体"/>
                <w:color w:val="auto"/>
                <w:highlight w:val="none"/>
              </w:rPr>
              <w:t>地    址：</w:t>
            </w:r>
            <w:r>
              <w:rPr>
                <w:rFonts w:hint="eastAsia" w:hAnsi="宋体"/>
                <w:color w:val="auto"/>
                <w:highlight w:val="none"/>
                <w:lang w:eastAsia="zh-CN"/>
              </w:rPr>
              <w:t>长沙市开福区芙蓉中路一段88号天健壹平方英里H栋24楼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1658" w:type="dxa"/>
            <w:noWrap w:val="0"/>
            <w:vAlign w:val="center"/>
          </w:tcPr>
          <w:p>
            <w:pPr>
              <w:adjustRightInd w:val="0"/>
              <w:snapToGrid w:val="0"/>
              <w:spacing w:line="288" w:lineRule="auto"/>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第二章第2.3款</w:t>
            </w:r>
          </w:p>
        </w:tc>
        <w:tc>
          <w:tcPr>
            <w:tcW w:w="1788" w:type="dxa"/>
            <w:noWrap w:val="0"/>
            <w:vAlign w:val="center"/>
          </w:tcPr>
          <w:p>
            <w:pPr>
              <w:adjustRightInd w:val="0"/>
              <w:snapToGrid w:val="0"/>
              <w:spacing w:line="288" w:lineRule="auto"/>
              <w:rPr>
                <w:rFonts w:hint="eastAsia" w:ascii="宋体" w:hAnsi="宋体" w:eastAsia="宋体" w:cs="Times New Roman"/>
                <w:bCs/>
                <w:color w:val="auto"/>
                <w:sz w:val="21"/>
                <w:szCs w:val="21"/>
                <w:highlight w:val="none"/>
              </w:rPr>
            </w:pPr>
            <w:r>
              <w:rPr>
                <w:rFonts w:hint="eastAsia" w:ascii="宋体" w:hAnsi="宋体" w:eastAsia="宋体" w:cs="宋体"/>
                <w:color w:val="auto"/>
                <w:kern w:val="0"/>
                <w:sz w:val="21"/>
                <w:szCs w:val="21"/>
                <w:highlight w:val="none"/>
              </w:rPr>
              <w:t>供应商的</w:t>
            </w:r>
            <w:r>
              <w:rPr>
                <w:rFonts w:hint="eastAsia" w:ascii="宋体" w:hAnsi="宋体" w:eastAsia="宋体" w:cs="Times New Roman"/>
                <w:color w:val="auto"/>
                <w:sz w:val="21"/>
                <w:szCs w:val="21"/>
                <w:highlight w:val="none"/>
              </w:rPr>
              <w:t>邀请方式</w:t>
            </w:r>
          </w:p>
        </w:tc>
        <w:tc>
          <w:tcPr>
            <w:tcW w:w="5677" w:type="dxa"/>
            <w:gridSpan w:val="2"/>
            <w:noWrap w:val="0"/>
            <w:vAlign w:val="center"/>
          </w:tcPr>
          <w:p>
            <w:pPr>
              <w:adjustRightInd w:val="0"/>
              <w:snapToGrid w:val="0"/>
              <w:spacing w:line="288"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■（1）发布公告</w:t>
            </w:r>
          </w:p>
          <w:p>
            <w:pPr>
              <w:adjustRightInd w:val="0"/>
              <w:snapToGrid w:val="0"/>
              <w:spacing w:line="288"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□（2）采购人和评审专家分别书面推荐的方式邀请不少于3家符合相应资格条件的供应商</w:t>
            </w:r>
          </w:p>
          <w:p>
            <w:pPr>
              <w:adjustRightInd w:val="0"/>
              <w:snapToGrid w:val="0"/>
              <w:spacing w:line="288" w:lineRule="auto"/>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□（3）随机从省级财政部门建立的供应商库中抽取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第二章第3.1款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bCs/>
                <w:color w:val="auto"/>
                <w:sz w:val="21"/>
                <w:szCs w:val="21"/>
                <w:highlight w:val="none"/>
              </w:rPr>
              <w:t>供应商</w:t>
            </w:r>
            <w:r>
              <w:rPr>
                <w:rFonts w:hint="eastAsia" w:ascii="宋体" w:hAnsi="宋体" w:eastAsia="宋体" w:cs="Times New Roman"/>
                <w:color w:val="auto"/>
                <w:sz w:val="21"/>
                <w:szCs w:val="21"/>
                <w:highlight w:val="none"/>
              </w:rPr>
              <w:t>资格条件</w:t>
            </w:r>
          </w:p>
        </w:tc>
        <w:tc>
          <w:tcPr>
            <w:tcW w:w="5677" w:type="dxa"/>
            <w:gridSpan w:val="2"/>
            <w:noWrap w:val="0"/>
            <w:vAlign w:val="center"/>
          </w:tcPr>
          <w:p>
            <w:pPr>
              <w:adjustRightInd w:val="0"/>
              <w:snapToGrid w:val="0"/>
              <w:spacing w:line="360" w:lineRule="auto"/>
              <w:jc w:val="left"/>
              <w:rPr>
                <w:rFonts w:hint="eastAsia" w:ascii="宋体" w:hAnsi="宋体" w:eastAsia="宋体" w:cs="宋体"/>
                <w:color w:val="auto"/>
                <w:sz w:val="21"/>
                <w:szCs w:val="21"/>
              </w:rPr>
            </w:pPr>
            <w:r>
              <w:rPr>
                <w:rFonts w:hint="eastAsia" w:ascii="宋体" w:hAnsi="宋体" w:eastAsia="宋体" w:cs="Times New Roman"/>
                <w:color w:val="auto"/>
                <w:sz w:val="21"/>
                <w:szCs w:val="21"/>
                <w:highlight w:val="none"/>
              </w:rPr>
              <w:t>1、供应商基本资格条件：符合《中华人民共和国政府采购法》第二十二条规定的供应商条件</w:t>
            </w:r>
            <w:r>
              <w:rPr>
                <w:rFonts w:hint="eastAsia" w:ascii="宋体" w:hAnsi="宋体" w:cs="Times New Roman"/>
                <w:color w:val="auto"/>
                <w:sz w:val="21"/>
                <w:szCs w:val="21"/>
                <w:highlight w:val="none"/>
                <w:lang w:eastAsia="zh-CN"/>
              </w:rPr>
              <w:t>，</w:t>
            </w:r>
            <w:r>
              <w:rPr>
                <w:rFonts w:hint="eastAsia" w:ascii="宋体" w:hAnsi="宋体" w:eastAsia="宋体" w:cs="宋体"/>
                <w:color w:val="auto"/>
                <w:sz w:val="21"/>
                <w:szCs w:val="21"/>
              </w:rPr>
              <w:t>并提供以下资格证明文件：</w:t>
            </w:r>
          </w:p>
          <w:p>
            <w:pPr>
              <w:adjustRightInd w:val="0"/>
              <w:snapToGrid w:val="0"/>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（1）法人提交企业法人营业执照副本(或者法人登记证书)以及组织机构代码证副本复印件；</w:t>
            </w:r>
          </w:p>
          <w:p>
            <w:pPr>
              <w:adjustRightInd w:val="0"/>
              <w:snapToGrid w:val="0"/>
              <w:spacing w:line="360" w:lineRule="auto"/>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）法人提交法定代表人身份证明原件或者法定代表人授权委托书原件并附法定代表人身份证明原件；自然人提交身份证明复印件</w:t>
            </w:r>
            <w:r>
              <w:rPr>
                <w:rFonts w:hint="eastAsia" w:ascii="宋体" w:hAnsi="宋体" w:eastAsia="宋体" w:cs="宋体"/>
                <w:color w:val="auto"/>
                <w:sz w:val="21"/>
                <w:szCs w:val="21"/>
                <w:lang w:eastAsia="zh-CN"/>
              </w:rPr>
              <w:t>；</w:t>
            </w:r>
          </w:p>
          <w:p>
            <w:pPr>
              <w:adjustRightInd w:val="0"/>
              <w:snapToGrid w:val="0"/>
              <w:spacing w:line="360" w:lineRule="auto"/>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w:t>
            </w:r>
            <w:r>
              <w:rPr>
                <w:rFonts w:hint="eastAsia" w:ascii="宋体" w:hAnsi="宋体" w:eastAsia="宋体" w:cs="宋体"/>
                <w:color w:val="auto"/>
                <w:sz w:val="21"/>
                <w:szCs w:val="21"/>
                <w:lang w:val="en-US" w:eastAsia="zh-CN"/>
              </w:rPr>
              <w:t>提供《</w:t>
            </w:r>
            <w:r>
              <w:rPr>
                <w:rFonts w:hint="eastAsia" w:ascii="宋体" w:hAnsi="宋体" w:eastAsia="宋体" w:cs="宋体"/>
                <w:color w:val="auto"/>
                <w:sz w:val="21"/>
                <w:szCs w:val="21"/>
                <w:lang w:eastAsia="zh-CN"/>
              </w:rPr>
              <w:t>湖南省政府采购供应商资格承诺函</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eastAsia="zh-CN"/>
              </w:rPr>
              <w:t>；</w:t>
            </w:r>
          </w:p>
          <w:p>
            <w:pPr>
              <w:adjustRightInd w:val="0"/>
              <w:snapToGrid w:val="0"/>
              <w:spacing w:line="360" w:lineRule="auto"/>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本项目专门面向中小微企业采购，所属行业为“物业管理”，投标人须提供《中小企业声明函》，否则视为无效响应。</w:t>
            </w:r>
          </w:p>
          <w:p>
            <w:pPr>
              <w:keepNext w:val="0"/>
              <w:keepLines w:val="0"/>
              <w:widowControl/>
              <w:suppressLineNumbers w:val="0"/>
              <w:jc w:val="left"/>
              <w:rPr>
                <w:rFonts w:hint="eastAsia" w:ascii="宋体" w:hAnsi="宋体" w:eastAsia="宋体" w:cs="Times New Roman"/>
                <w:color w:val="auto"/>
                <w:sz w:val="21"/>
                <w:szCs w:val="21"/>
                <w:highlight w:val="none"/>
              </w:rPr>
            </w:pPr>
            <w:r>
              <w:rPr>
                <w:rFonts w:hint="eastAsia" w:ascii="宋体" w:hAnsi="宋体" w:eastAsia="宋体" w:cs="宋体"/>
                <w:b/>
                <w:bCs/>
                <w:i w:val="0"/>
                <w:iCs w:val="0"/>
                <w:caps w:val="0"/>
                <w:color w:val="auto"/>
                <w:spacing w:val="0"/>
                <w:sz w:val="21"/>
                <w:szCs w:val="21"/>
                <w:shd w:val="clear" w:color="auto" w:fill="FEFFFF"/>
                <w:lang w:val="en-US" w:eastAsia="zh-CN"/>
              </w:rPr>
              <w:t>其他说明：①投标人具有实行了“三证合一”登记制度改革的新证，视同为持有工商营业执照、组织机构代码证和税务登记证，实行了“五证合一”登记制度改革的新证，视同为持有工商营业执照、组织机构代码证、税务登记证、社保登记证和统计登记证；符合基本资格条件的相关条款（“三证合一”为国发【2015】33号文件规定，2015年10月1日执行；“五证合一”为国发【2016】53号文件规定，2016年10月1日执行）实行了“三证合一”或者“五证合一”的，请自行说明。②根据长沙市财政局《关于政府采购促进中小企业发展若干措施的通知》（长财采购</w:t>
            </w:r>
            <w:r>
              <w:rPr>
                <w:rFonts w:hint="default" w:ascii="宋体" w:hAnsi="宋体" w:eastAsia="宋体" w:cs="宋体"/>
                <w:b/>
                <w:bCs/>
                <w:i w:val="0"/>
                <w:iCs w:val="0"/>
                <w:caps w:val="0"/>
                <w:color w:val="auto"/>
                <w:spacing w:val="0"/>
                <w:sz w:val="21"/>
                <w:szCs w:val="21"/>
                <w:shd w:val="clear" w:color="auto" w:fill="FEFFFF"/>
                <w:lang w:val="en-US" w:eastAsia="zh-CN"/>
              </w:rPr>
              <w:t>[2022]10</w:t>
            </w:r>
            <w:r>
              <w:rPr>
                <w:rFonts w:hint="eastAsia" w:ascii="宋体" w:hAnsi="宋体" w:eastAsia="宋体" w:cs="宋体"/>
                <w:b/>
                <w:bCs/>
                <w:i w:val="0"/>
                <w:iCs w:val="0"/>
                <w:caps w:val="0"/>
                <w:color w:val="auto"/>
                <w:spacing w:val="0"/>
                <w:sz w:val="21"/>
                <w:szCs w:val="21"/>
                <w:shd w:val="clear" w:color="auto" w:fill="FEFFFF"/>
                <w:lang w:val="en-US" w:eastAsia="zh-CN"/>
              </w:rPr>
              <w:t>号）文件精神，供应商凭《湖南省政府采购供应商资格承诺函》（格式详见响应文件组成）参与政府采购活动，无需提供财务状况报告、依法缴纳税收和社会保障资金的相关文件材料、参加政府采购活动前</w:t>
            </w:r>
            <w:r>
              <w:rPr>
                <w:rFonts w:hint="default" w:ascii="宋体" w:hAnsi="宋体" w:eastAsia="宋体" w:cs="宋体"/>
                <w:b/>
                <w:bCs/>
                <w:i w:val="0"/>
                <w:iCs w:val="0"/>
                <w:caps w:val="0"/>
                <w:color w:val="auto"/>
                <w:spacing w:val="0"/>
                <w:sz w:val="21"/>
                <w:szCs w:val="21"/>
                <w:shd w:val="clear" w:color="auto" w:fill="FEFFFF"/>
                <w:lang w:val="en-US" w:eastAsia="zh-CN"/>
              </w:rPr>
              <w:t>3</w:t>
            </w:r>
            <w:r>
              <w:rPr>
                <w:rFonts w:hint="eastAsia" w:ascii="宋体" w:hAnsi="宋体" w:eastAsia="宋体" w:cs="宋体"/>
                <w:b/>
                <w:bCs/>
                <w:i w:val="0"/>
                <w:iCs w:val="0"/>
                <w:caps w:val="0"/>
                <w:color w:val="auto"/>
                <w:spacing w:val="0"/>
                <w:sz w:val="21"/>
                <w:szCs w:val="21"/>
                <w:shd w:val="clear" w:color="auto" w:fill="FEFFFF"/>
                <w:lang w:val="en-US" w:eastAsia="zh-CN"/>
              </w:rPr>
              <w:t>年在经营活动中没有重大违法记录的书面声明。③投标人须如实填写《中小企业声明函》（格式详见响应文件组成），若</w:t>
            </w:r>
            <w:r>
              <w:rPr>
                <w:rFonts w:hint="eastAsia" w:ascii="宋体" w:hAnsi="宋体" w:eastAsia="宋体" w:cs="宋体"/>
                <w:b/>
                <w:bCs/>
                <w:i w:val="0"/>
                <w:iCs w:val="0"/>
                <w:caps w:val="0"/>
                <w:color w:val="auto"/>
                <w:spacing w:val="0"/>
                <w:sz w:val="21"/>
                <w:szCs w:val="21"/>
                <w:shd w:val="clear" w:color="auto" w:fill="FEFFFF"/>
              </w:rPr>
              <w:t>提供的《中小企业声明函》内容不实，属于提供虚假材料谋取成交，依照《中华人民共和国政府采购法》等国家有关规定追究相应责</w:t>
            </w:r>
            <w:r>
              <w:rPr>
                <w:rFonts w:hint="eastAsia" w:ascii="宋体" w:hAnsi="宋体" w:eastAsia="宋体" w:cs="宋体"/>
                <w:b/>
                <w:bCs/>
                <w:i w:val="0"/>
                <w:iCs w:val="0"/>
                <w:caps w:val="0"/>
                <w:color w:val="auto"/>
                <w:spacing w:val="0"/>
                <w:sz w:val="21"/>
                <w:szCs w:val="21"/>
                <w:shd w:val="clear" w:color="auto" w:fill="FEFFFF"/>
                <w:lang w:val="en-US" w:eastAsia="zh-CN"/>
              </w:rPr>
              <w:t>任。④</w:t>
            </w:r>
            <w:r>
              <w:rPr>
                <w:rFonts w:hint="eastAsia" w:ascii="宋体" w:hAnsi="宋体" w:eastAsia="宋体" w:cs="宋体"/>
                <w:b/>
                <w:bCs/>
                <w:i w:val="0"/>
                <w:iCs w:val="0"/>
                <w:caps w:val="0"/>
                <w:color w:val="auto"/>
                <w:spacing w:val="0"/>
                <w:sz w:val="21"/>
                <w:szCs w:val="21"/>
                <w:shd w:val="clear" w:color="auto" w:fill="FEFFFF"/>
              </w:rPr>
              <w:t>被“信用中国”网站列入失信被执行人和重大税收违法案件当事人名单的、被“中国政府采购网”网站列入政府采购严重违法失信行为记录名单（处罚期限尚未届满的），不得参与本项目的政府采购活动</w:t>
            </w:r>
            <w:r>
              <w:rPr>
                <w:rFonts w:hint="eastAsia" w:ascii="宋体" w:hAnsi="宋体" w:eastAsia="宋体" w:cs="宋体"/>
                <w:b/>
                <w:bCs/>
                <w:i w:val="0"/>
                <w:iCs w:val="0"/>
                <w:caps w:val="0"/>
                <w:color w:val="auto"/>
                <w:spacing w:val="0"/>
                <w:sz w:val="21"/>
                <w:szCs w:val="21"/>
                <w:shd w:val="clear" w:color="auto" w:fill="FEFFFF"/>
                <w:lang w:eastAsia="zh-CN"/>
              </w:rPr>
              <w:t>。</w:t>
            </w:r>
          </w:p>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cs="Times New Roman"/>
                <w:color w:val="auto"/>
                <w:sz w:val="21"/>
                <w:szCs w:val="21"/>
                <w:highlight w:val="none"/>
                <w:lang w:val="en-US" w:eastAsia="zh-CN"/>
              </w:rPr>
              <w:t>2</w:t>
            </w:r>
            <w:r>
              <w:rPr>
                <w:rFonts w:hint="eastAsia" w:ascii="宋体" w:hAnsi="宋体" w:eastAsia="宋体" w:cs="Times New Roman"/>
                <w:color w:val="auto"/>
                <w:sz w:val="21"/>
                <w:szCs w:val="21"/>
                <w:highlight w:val="none"/>
              </w:rPr>
              <w:t>、特定资格条件：无。</w:t>
            </w:r>
          </w:p>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cs="Times New Roman"/>
                <w:color w:val="auto"/>
                <w:sz w:val="21"/>
                <w:szCs w:val="21"/>
                <w:highlight w:val="none"/>
                <w:lang w:val="en-US" w:eastAsia="zh-CN"/>
              </w:rPr>
              <w:t>3</w:t>
            </w:r>
            <w:r>
              <w:rPr>
                <w:rFonts w:hint="eastAsia" w:ascii="宋体" w:hAnsi="宋体" w:eastAsia="宋体" w:cs="Times New Roman"/>
                <w:color w:val="auto"/>
                <w:sz w:val="21"/>
                <w:szCs w:val="21"/>
                <w:highlight w:val="none"/>
              </w:rPr>
              <w:t>、提供的资格证明文件复印件需加盖供应商单位公章。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第二章第6.1款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联合体形式</w:t>
            </w:r>
          </w:p>
        </w:tc>
        <w:tc>
          <w:tcPr>
            <w:tcW w:w="5677" w:type="dxa"/>
            <w:gridSpan w:val="2"/>
            <w:noWrap w:val="0"/>
            <w:vAlign w:val="center"/>
          </w:tcPr>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 不接受</w:t>
            </w:r>
          </w:p>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 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51"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第二章第6.2（3）款</w:t>
            </w:r>
          </w:p>
        </w:tc>
        <w:tc>
          <w:tcPr>
            <w:tcW w:w="1788" w:type="dxa"/>
            <w:noWrap w:val="0"/>
            <w:vAlign w:val="center"/>
          </w:tcPr>
          <w:p>
            <w:pP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对联合体各方的要求</w:t>
            </w:r>
          </w:p>
        </w:tc>
        <w:tc>
          <w:tcPr>
            <w:tcW w:w="5677" w:type="dxa"/>
            <w:gridSpan w:val="2"/>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2"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第二章第7.1款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现场勘察</w:t>
            </w:r>
          </w:p>
        </w:tc>
        <w:tc>
          <w:tcPr>
            <w:tcW w:w="5677" w:type="dxa"/>
            <w:gridSpan w:val="2"/>
            <w:noWrap w:val="0"/>
            <w:vAlign w:val="center"/>
          </w:tcPr>
          <w:p>
            <w:pPr>
              <w:widowControl/>
              <w:adjustRightInd w:val="0"/>
              <w:snapToGrid w:val="0"/>
              <w:spacing w:line="360" w:lineRule="auto"/>
              <w:rPr>
                <w:rFonts w:hint="eastAsia" w:ascii="Times New Roman" w:hAnsi="Times New Roman" w:eastAsia="宋体"/>
                <w:color w:val="auto"/>
                <w:sz w:val="21"/>
                <w:highlight w:val="none"/>
              </w:rPr>
            </w:pPr>
            <w:r>
              <w:rPr>
                <w:rFonts w:hint="eastAsia" w:ascii="Times New Roman" w:hAnsi="Times New Roman" w:eastAsia="宋体"/>
                <w:color w:val="auto"/>
                <w:sz w:val="21"/>
                <w:highlight w:val="none"/>
              </w:rPr>
              <w:t>■ 采购人不组织</w:t>
            </w:r>
          </w:p>
          <w:p>
            <w:pPr>
              <w:widowControl/>
              <w:adjustRightInd w:val="0"/>
              <w:snapToGrid w:val="0"/>
              <w:spacing w:line="360" w:lineRule="auto"/>
              <w:rPr>
                <w:rFonts w:hint="eastAsia" w:ascii="宋体" w:hAnsi="宋体" w:eastAsia="宋体" w:cs="Times New Roman"/>
                <w:color w:val="auto"/>
                <w:sz w:val="21"/>
                <w:szCs w:val="21"/>
                <w:highlight w:val="none"/>
              </w:rPr>
            </w:pPr>
            <w:r>
              <w:rPr>
                <w:rFonts w:hint="eastAsia" w:ascii="Times New Roman" w:hAnsi="Times New Roman" w:eastAsia="宋体"/>
                <w:color w:val="auto"/>
                <w:sz w:val="21"/>
                <w:highlight w:val="none"/>
              </w:rPr>
              <w:t xml:space="preserve">□ 采购人组织，时间： / 地点： / 联系人： /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7" w:hRule="atLeast"/>
          <w:jc w:val="center"/>
        </w:trPr>
        <w:tc>
          <w:tcPr>
            <w:tcW w:w="1658" w:type="dxa"/>
            <w:tcBorders>
              <w:bottom w:val="single" w:color="auto" w:sz="4" w:space="0"/>
            </w:tcBorders>
            <w:noWrap w:val="0"/>
            <w:vAlign w:val="center"/>
          </w:tcPr>
          <w:p>
            <w:pP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第二章第8.1款</w:t>
            </w:r>
          </w:p>
        </w:tc>
        <w:tc>
          <w:tcPr>
            <w:tcW w:w="1788" w:type="dxa"/>
            <w:noWrap w:val="0"/>
            <w:vAlign w:val="center"/>
          </w:tcPr>
          <w:p>
            <w:pP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采购进口产品</w:t>
            </w:r>
          </w:p>
        </w:tc>
        <w:tc>
          <w:tcPr>
            <w:tcW w:w="5677" w:type="dxa"/>
            <w:gridSpan w:val="2"/>
            <w:noWrap w:val="0"/>
            <w:vAlign w:val="center"/>
          </w:tcPr>
          <w:p>
            <w:pPr>
              <w:rPr>
                <w:rFonts w:hint="eastAsia" w:ascii="宋体" w:hAnsi="宋体" w:eastAsia="宋体" w:cs="Times New Roman"/>
                <w:color w:val="auto"/>
                <w:sz w:val="21"/>
                <w:szCs w:val="21"/>
                <w:highlight w:val="none"/>
              </w:rPr>
            </w:pPr>
            <w:r>
              <w:rPr>
                <w:rFonts w:hint="eastAsia" w:ascii="宋体" w:hAnsi="宋体" w:eastAsia="宋体" w:cs="宋体"/>
                <w:color w:val="auto"/>
                <w:sz w:val="21"/>
                <w:szCs w:val="21"/>
                <w:highlight w:val="none"/>
              </w:rPr>
              <w:t>本招标项目不适用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1658" w:type="dxa"/>
            <w:tcBorders>
              <w:top w:val="single" w:color="auto" w:sz="4" w:space="0"/>
              <w:bottom w:val="single" w:color="auto" w:sz="4" w:space="0"/>
            </w:tcBorders>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第二章第9.1款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政府采购强制采购：</w:t>
            </w:r>
          </w:p>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(1)标记★符号的节能产品；</w:t>
            </w:r>
          </w:p>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(2)其他。</w:t>
            </w:r>
          </w:p>
        </w:tc>
        <w:tc>
          <w:tcPr>
            <w:tcW w:w="5677" w:type="dxa"/>
            <w:gridSpan w:val="2"/>
            <w:noWrap w:val="0"/>
            <w:vAlign w:val="center"/>
          </w:tcPr>
          <w:p>
            <w:pPr>
              <w:adjustRightInd w:val="0"/>
              <w:snapToGrid w:val="0"/>
              <w:spacing w:before="156" w:beforeLines="5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 否</w:t>
            </w:r>
          </w:p>
          <w:p>
            <w:pPr>
              <w:adjustRightInd w:val="0"/>
              <w:snapToGrid w:val="0"/>
              <w:spacing w:before="156" w:beforeLines="5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 是，采购《节能产品政府采购品目清单》内标记★符号的节能产品，提供有效期之内的节能产品认证证书，并加盖投标人单位章。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28" w:hRule="atLeast"/>
          <w:jc w:val="center"/>
        </w:trPr>
        <w:tc>
          <w:tcPr>
            <w:tcW w:w="1658" w:type="dxa"/>
            <w:tcBorders>
              <w:top w:val="single" w:color="auto" w:sz="4" w:space="0"/>
            </w:tcBorders>
            <w:noWrap w:val="0"/>
            <w:vAlign w:val="center"/>
          </w:tcPr>
          <w:p>
            <w:pPr>
              <w:rPr>
                <w:rFonts w:hint="eastAsia" w:ascii="宋体" w:hAnsi="宋体" w:eastAsia="宋体" w:cs="Times New Roman"/>
                <w:color w:val="auto"/>
                <w:sz w:val="21"/>
                <w:szCs w:val="21"/>
                <w:highlight w:val="none"/>
              </w:rPr>
            </w:pPr>
          </w:p>
          <w:p>
            <w:pPr>
              <w:rPr>
                <w:rFonts w:hint="eastAsia" w:ascii="宋体" w:hAnsi="宋体" w:eastAsia="宋体" w:cs="Times New Roman"/>
                <w:color w:val="auto"/>
                <w:sz w:val="21"/>
                <w:szCs w:val="21"/>
                <w:highlight w:val="none"/>
              </w:rPr>
            </w:pPr>
          </w:p>
          <w:p>
            <w:pPr>
              <w:rPr>
                <w:rFonts w:hint="eastAsia" w:ascii="宋体" w:hAnsi="宋体" w:eastAsia="宋体" w:cs="Times New Roman"/>
                <w:color w:val="auto"/>
                <w:sz w:val="21"/>
                <w:szCs w:val="21"/>
                <w:highlight w:val="none"/>
              </w:rPr>
            </w:pPr>
          </w:p>
          <w:p>
            <w:pPr>
              <w:rPr>
                <w:rFonts w:hint="eastAsia" w:ascii="宋体" w:hAnsi="宋体" w:eastAsia="宋体" w:cs="Times New Roman"/>
                <w:color w:val="auto"/>
                <w:sz w:val="21"/>
                <w:szCs w:val="21"/>
                <w:highlight w:val="none"/>
              </w:rPr>
            </w:pPr>
          </w:p>
          <w:p>
            <w:pPr>
              <w:rPr>
                <w:rFonts w:hint="eastAsia" w:ascii="宋体" w:hAnsi="宋体" w:eastAsia="宋体" w:cs="Times New Roman"/>
                <w:color w:val="auto"/>
                <w:sz w:val="21"/>
                <w:szCs w:val="21"/>
                <w:highlight w:val="none"/>
              </w:rPr>
            </w:pPr>
          </w:p>
          <w:p>
            <w:pPr>
              <w:rPr>
                <w:rFonts w:hint="eastAsia" w:ascii="宋体" w:hAnsi="宋体" w:eastAsia="宋体" w:cs="Times New Roman"/>
                <w:color w:val="auto"/>
                <w:sz w:val="21"/>
                <w:szCs w:val="21"/>
                <w:highlight w:val="none"/>
              </w:rPr>
            </w:pPr>
          </w:p>
          <w:p>
            <w:pPr>
              <w:rPr>
                <w:rFonts w:hint="eastAsia" w:ascii="宋体" w:hAnsi="宋体" w:eastAsia="宋体" w:cs="Times New Roman"/>
                <w:color w:val="auto"/>
                <w:sz w:val="21"/>
                <w:szCs w:val="21"/>
                <w:highlight w:val="none"/>
              </w:rPr>
            </w:pPr>
          </w:p>
          <w:p>
            <w:pP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第二章第9.2款</w:t>
            </w:r>
          </w:p>
          <w:p>
            <w:pPr>
              <w:rPr>
                <w:rFonts w:hint="eastAsia" w:ascii="宋体" w:hAnsi="宋体" w:eastAsia="宋体" w:cs="Times New Roman"/>
                <w:color w:val="auto"/>
                <w:sz w:val="21"/>
                <w:szCs w:val="21"/>
                <w:highlight w:val="none"/>
              </w:rPr>
            </w:pPr>
          </w:p>
          <w:p>
            <w:pPr>
              <w:rPr>
                <w:rFonts w:hint="eastAsia" w:ascii="宋体" w:hAnsi="宋体" w:eastAsia="宋体" w:cs="Times New Roman"/>
                <w:color w:val="auto"/>
                <w:sz w:val="21"/>
                <w:szCs w:val="21"/>
                <w:highlight w:val="none"/>
              </w:rPr>
            </w:pPr>
          </w:p>
          <w:p>
            <w:pPr>
              <w:adjustRightInd w:val="0"/>
              <w:snapToGrid w:val="0"/>
              <w:rPr>
                <w:rFonts w:hint="eastAsia" w:ascii="宋体" w:hAnsi="宋体" w:eastAsia="宋体" w:cs="Times New Roman"/>
                <w:color w:val="auto"/>
                <w:sz w:val="21"/>
                <w:szCs w:val="21"/>
                <w:highlight w:val="none"/>
              </w:rPr>
            </w:pPr>
          </w:p>
          <w:p>
            <w:pPr>
              <w:adjustRightInd w:val="0"/>
              <w:snapToGrid w:val="0"/>
              <w:rPr>
                <w:rFonts w:hint="eastAsia" w:ascii="宋体" w:hAnsi="宋体" w:eastAsia="宋体" w:cs="Times New Roman"/>
                <w:color w:val="auto"/>
                <w:sz w:val="21"/>
                <w:szCs w:val="21"/>
                <w:highlight w:val="none"/>
              </w:rPr>
            </w:pPr>
          </w:p>
          <w:p>
            <w:pPr>
              <w:adjustRightInd w:val="0"/>
              <w:snapToGrid w:val="0"/>
              <w:jc w:val="center"/>
              <w:rPr>
                <w:rFonts w:hint="eastAsia" w:ascii="宋体" w:hAnsi="宋体" w:eastAsia="宋体" w:cs="Times New Roman"/>
                <w:color w:val="auto"/>
                <w:sz w:val="21"/>
                <w:szCs w:val="21"/>
                <w:highlight w:val="none"/>
              </w:rPr>
            </w:pPr>
          </w:p>
          <w:p>
            <w:pPr>
              <w:adjustRightInd w:val="0"/>
              <w:snapToGrid w:val="0"/>
              <w:jc w:val="center"/>
              <w:rPr>
                <w:rFonts w:hint="eastAsia" w:ascii="宋体" w:hAnsi="宋体" w:eastAsia="宋体" w:cs="Times New Roman"/>
                <w:color w:val="auto"/>
                <w:sz w:val="21"/>
                <w:szCs w:val="21"/>
                <w:highlight w:val="none"/>
              </w:rPr>
            </w:pPr>
          </w:p>
          <w:p>
            <w:pPr>
              <w:adjustRightInd w:val="0"/>
              <w:snapToGrid w:val="0"/>
              <w:rPr>
                <w:rFonts w:hint="eastAsia" w:ascii="宋体" w:hAnsi="宋体" w:eastAsia="宋体" w:cs="Times New Roman"/>
                <w:color w:val="auto"/>
                <w:sz w:val="21"/>
                <w:szCs w:val="21"/>
                <w:highlight w:val="none"/>
              </w:rPr>
            </w:pPr>
          </w:p>
          <w:p>
            <w:pPr>
              <w:adjustRightInd w:val="0"/>
              <w:snapToGrid w:val="0"/>
              <w:jc w:val="center"/>
              <w:rPr>
                <w:rFonts w:hint="eastAsia" w:ascii="宋体" w:hAnsi="宋体" w:eastAsia="宋体" w:cs="Times New Roman"/>
                <w:color w:val="auto"/>
                <w:sz w:val="21"/>
                <w:szCs w:val="21"/>
                <w:highlight w:val="none"/>
              </w:rPr>
            </w:pPr>
          </w:p>
        </w:tc>
        <w:tc>
          <w:tcPr>
            <w:tcW w:w="1788" w:type="dxa"/>
            <w:noWrap w:val="0"/>
            <w:vAlign w:val="center"/>
          </w:tcPr>
          <w:p>
            <w:pP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政府采购优先采购：</w:t>
            </w:r>
          </w:p>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(1)非标记★符号的节能产品；</w:t>
            </w:r>
          </w:p>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(2)环境标志产品；</w:t>
            </w:r>
          </w:p>
          <w:p>
            <w:pPr>
              <w:adjustRightInd w:val="0"/>
              <w:snapToGrid w:val="0"/>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(3)两型产</w:t>
            </w:r>
          </w:p>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品；</w:t>
            </w:r>
          </w:p>
          <w:p>
            <w:pPr>
              <w:rPr>
                <w:rFonts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(4)</w:t>
            </w:r>
            <w:r>
              <w:rPr>
                <w:rFonts w:hint="eastAsia" w:ascii="宋体" w:hAnsi="宋体" w:eastAsia="宋体" w:cs="宋体"/>
                <w:bCs/>
                <w:color w:val="auto"/>
                <w:kern w:val="0"/>
                <w:sz w:val="21"/>
                <w:szCs w:val="21"/>
                <w:highlight w:val="none"/>
              </w:rPr>
              <w:t>支持</w:t>
            </w:r>
            <w:r>
              <w:rPr>
                <w:rFonts w:hint="eastAsia" w:ascii="宋体" w:hAnsi="宋体" w:eastAsia="宋体" w:cs="Times New Roman"/>
                <w:color w:val="auto"/>
                <w:sz w:val="21"/>
                <w:szCs w:val="21"/>
                <w:highlight w:val="none"/>
              </w:rPr>
              <w:t>中小企业发展；</w:t>
            </w:r>
          </w:p>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(5)其他。</w:t>
            </w:r>
          </w:p>
          <w:p>
            <w:pPr>
              <w:rPr>
                <w:rFonts w:hint="eastAsia" w:ascii="宋体" w:hAnsi="宋体" w:eastAsia="宋体" w:cs="Times New Roman"/>
                <w:color w:val="auto"/>
                <w:sz w:val="21"/>
                <w:szCs w:val="21"/>
                <w:highlight w:val="none"/>
              </w:rPr>
            </w:pPr>
          </w:p>
        </w:tc>
        <w:tc>
          <w:tcPr>
            <w:tcW w:w="5677" w:type="dxa"/>
            <w:gridSpan w:val="2"/>
            <w:noWrap w:val="0"/>
            <w:vAlign w:val="center"/>
          </w:tcPr>
          <w:p>
            <w:pPr>
              <w:adjustRightInd w:val="0"/>
              <w:snapToGrid w:val="0"/>
              <w:spacing w:before="156" w:beforeLines="5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 xml:space="preserve">1、采购产品为《节能产品政府采购品目清单》内非标记★符号的，分别给予技术和价格项标准总分值4%-8%的加分。本项目具体加分比例分别为 ：技术  </w:t>
            </w:r>
            <w:r>
              <w:rPr>
                <w:rFonts w:hint="eastAsia" w:ascii="宋体" w:hAnsi="宋体" w:eastAsia="宋体"/>
                <w:color w:val="auto"/>
                <w:sz w:val="21"/>
                <w:szCs w:val="21"/>
                <w:highlight w:val="none"/>
                <w:lang w:val="en-US" w:eastAsia="zh-CN"/>
              </w:rPr>
              <w:t>4</w:t>
            </w:r>
            <w:r>
              <w:rPr>
                <w:rFonts w:hint="eastAsia" w:ascii="宋体" w:hAnsi="宋体" w:eastAsia="宋体"/>
                <w:color w:val="auto"/>
                <w:sz w:val="21"/>
                <w:szCs w:val="21"/>
                <w:highlight w:val="none"/>
              </w:rPr>
              <w:t xml:space="preserve">  %、价格  </w:t>
            </w:r>
            <w:r>
              <w:rPr>
                <w:rFonts w:hint="eastAsia" w:ascii="宋体" w:hAnsi="宋体" w:eastAsia="宋体"/>
                <w:color w:val="auto"/>
                <w:sz w:val="21"/>
                <w:szCs w:val="21"/>
                <w:highlight w:val="none"/>
                <w:lang w:val="en-US" w:eastAsia="zh-CN"/>
              </w:rPr>
              <w:t>4</w:t>
            </w:r>
            <w:r>
              <w:rPr>
                <w:rFonts w:hint="eastAsia" w:ascii="宋体" w:hAnsi="宋体" w:eastAsia="宋体"/>
                <w:color w:val="auto"/>
                <w:sz w:val="21"/>
                <w:szCs w:val="21"/>
                <w:highlight w:val="none"/>
              </w:rPr>
              <w:t xml:space="preserve">  %。</w:t>
            </w:r>
          </w:p>
          <w:p>
            <w:pPr>
              <w:adjustRightInd w:val="0"/>
              <w:snapToGrid w:val="0"/>
              <w:spacing w:before="156" w:beforeLines="5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 xml:space="preserve">2、采购产品为《环境标志产品政府采购品目清单》内的，分别给予技术和价格项标准总分值4%-8%的加分。本项目具体加分比例分别为 ：技术 </w:t>
            </w:r>
            <w:r>
              <w:rPr>
                <w:rFonts w:hint="eastAsia" w:ascii="宋体" w:hAnsi="宋体" w:eastAsia="宋体"/>
                <w:color w:val="auto"/>
                <w:sz w:val="21"/>
                <w:szCs w:val="21"/>
                <w:highlight w:val="none"/>
                <w:lang w:val="en-US" w:eastAsia="zh-CN"/>
              </w:rPr>
              <w:t>4</w:t>
            </w:r>
            <w:r>
              <w:rPr>
                <w:rFonts w:hint="eastAsia" w:ascii="宋体" w:hAnsi="宋体" w:eastAsia="宋体"/>
                <w:color w:val="auto"/>
                <w:sz w:val="21"/>
                <w:szCs w:val="21"/>
                <w:highlight w:val="none"/>
              </w:rPr>
              <w:t xml:space="preserve">  %、价格  </w:t>
            </w:r>
            <w:r>
              <w:rPr>
                <w:rFonts w:hint="eastAsia" w:ascii="宋体" w:hAnsi="宋体" w:eastAsia="宋体"/>
                <w:color w:val="auto"/>
                <w:sz w:val="21"/>
                <w:szCs w:val="21"/>
                <w:highlight w:val="none"/>
                <w:lang w:val="en-US" w:eastAsia="zh-CN"/>
              </w:rPr>
              <w:t>4</w:t>
            </w:r>
            <w:r>
              <w:rPr>
                <w:rFonts w:hint="eastAsia" w:ascii="宋体" w:hAnsi="宋体" w:eastAsia="宋体"/>
                <w:color w:val="auto"/>
                <w:sz w:val="21"/>
                <w:szCs w:val="21"/>
                <w:highlight w:val="none"/>
              </w:rPr>
              <w:t xml:space="preserve">  %。</w:t>
            </w:r>
          </w:p>
          <w:p>
            <w:pPr>
              <w:adjustRightInd w:val="0"/>
              <w:snapToGrid w:val="0"/>
              <w:spacing w:before="156" w:beforeLines="5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3、采购产品为《长沙市两型产品目录》内的：</w:t>
            </w:r>
          </w:p>
          <w:p>
            <w:pPr>
              <w:adjustRightInd w:val="0"/>
              <w:snapToGrid w:val="0"/>
              <w:spacing w:before="156" w:beforeLines="5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（1）分别给予技术和价格项标准总分值4%-8%的加</w:t>
            </w:r>
          </w:p>
          <w:p>
            <w:pPr>
              <w:adjustRightInd w:val="0"/>
              <w:snapToGrid w:val="0"/>
              <w:spacing w:before="156" w:beforeLines="5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 xml:space="preserve">分，本项目具体加分比例分别为 ：技术  </w:t>
            </w:r>
            <w:r>
              <w:rPr>
                <w:rFonts w:hint="eastAsia" w:ascii="宋体" w:hAnsi="宋体" w:eastAsia="宋体"/>
                <w:color w:val="auto"/>
                <w:sz w:val="21"/>
                <w:szCs w:val="21"/>
                <w:highlight w:val="none"/>
                <w:lang w:val="en-US" w:eastAsia="zh-CN"/>
              </w:rPr>
              <w:t>8</w:t>
            </w:r>
            <w:r>
              <w:rPr>
                <w:rFonts w:hint="eastAsia" w:ascii="宋体" w:hAnsi="宋体" w:eastAsia="宋体"/>
                <w:color w:val="auto"/>
                <w:sz w:val="21"/>
                <w:szCs w:val="21"/>
                <w:highlight w:val="none"/>
              </w:rPr>
              <w:t xml:space="preserve">  %、价格  </w:t>
            </w:r>
            <w:r>
              <w:rPr>
                <w:rFonts w:hint="eastAsia" w:ascii="宋体" w:hAnsi="宋体" w:eastAsia="宋体"/>
                <w:color w:val="auto"/>
                <w:sz w:val="21"/>
                <w:szCs w:val="21"/>
                <w:highlight w:val="none"/>
                <w:lang w:val="en-US" w:eastAsia="zh-CN"/>
              </w:rPr>
              <w:t>8</w:t>
            </w:r>
            <w:r>
              <w:rPr>
                <w:rFonts w:hint="eastAsia" w:ascii="宋体" w:hAnsi="宋体" w:eastAsia="宋体"/>
                <w:color w:val="auto"/>
                <w:sz w:val="21"/>
                <w:szCs w:val="21"/>
                <w:highlight w:val="none"/>
              </w:rPr>
              <w:t xml:space="preserve">  %。</w:t>
            </w:r>
          </w:p>
          <w:p>
            <w:pPr>
              <w:adjustRightInd w:val="0"/>
              <w:snapToGrid w:val="0"/>
              <w:spacing w:before="156" w:beforeLines="5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 xml:space="preserve">对在本地设有生产基地和备品备件库、有售后服务机构和网点的两型产品，给予商务评标总分值4%-8%的加分，本项目具体加分比例为  </w:t>
            </w:r>
            <w:r>
              <w:rPr>
                <w:rFonts w:hint="eastAsia" w:ascii="宋体" w:hAnsi="宋体" w:eastAsia="宋体"/>
                <w:color w:val="auto"/>
                <w:sz w:val="21"/>
                <w:szCs w:val="21"/>
                <w:highlight w:val="none"/>
                <w:lang w:val="en-US" w:eastAsia="zh-CN"/>
              </w:rPr>
              <w:t>8</w:t>
            </w:r>
            <w:r>
              <w:rPr>
                <w:rFonts w:hint="eastAsia" w:ascii="宋体" w:hAnsi="宋体" w:eastAsia="宋体"/>
                <w:color w:val="auto"/>
                <w:sz w:val="21"/>
                <w:szCs w:val="21"/>
                <w:highlight w:val="none"/>
              </w:rPr>
              <w:t xml:space="preserve">   %。</w:t>
            </w:r>
          </w:p>
          <w:p>
            <w:pPr>
              <w:adjustRightInd w:val="0"/>
              <w:snapToGrid w:val="0"/>
              <w:spacing w:before="156" w:beforeLines="5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上述三类产品中取其中一类。节能产品、环境标书产品提供有效期之内的节能产品、环境标志产品认证证书；《长沙市两型产品政府采购目录》提供目录所在页或证书复印件（该页包含制造商或企业名称或申请单位名称、规格型号、有效截止日期等内容），并加盖投标人单位章。</w:t>
            </w:r>
          </w:p>
          <w:p>
            <w:pPr>
              <w:adjustRightInd w:val="0"/>
              <w:snapToGrid w:val="0"/>
              <w:spacing w:before="156" w:beforeLines="5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4、</w:t>
            </w:r>
            <w:r>
              <w:rPr>
                <w:rFonts w:hint="eastAsia" w:ascii="宋体" w:hAnsi="宋体" w:eastAsia="宋体"/>
                <w:color w:val="auto"/>
                <w:sz w:val="21"/>
                <w:szCs w:val="21"/>
                <w:highlight w:val="none"/>
                <w:lang w:val="en-US" w:eastAsia="zh-CN"/>
              </w:rPr>
              <w:t>本项目为</w:t>
            </w:r>
            <w:r>
              <w:rPr>
                <w:rFonts w:hint="eastAsia" w:ascii="宋体" w:hAnsi="宋体" w:eastAsia="宋体"/>
                <w:color w:val="auto"/>
                <w:sz w:val="21"/>
                <w:szCs w:val="21"/>
                <w:highlight w:val="none"/>
              </w:rPr>
              <w:t>专门面向中小</w:t>
            </w:r>
            <w:r>
              <w:rPr>
                <w:rFonts w:hint="eastAsia" w:ascii="宋体" w:hAnsi="宋体" w:eastAsia="宋体"/>
                <w:color w:val="auto"/>
                <w:sz w:val="21"/>
                <w:szCs w:val="21"/>
                <w:highlight w:val="none"/>
                <w:lang w:val="en-US" w:eastAsia="zh-CN"/>
              </w:rPr>
              <w:t>微</w:t>
            </w:r>
            <w:r>
              <w:rPr>
                <w:rFonts w:hint="eastAsia" w:ascii="宋体" w:hAnsi="宋体" w:eastAsia="宋体"/>
                <w:color w:val="auto"/>
                <w:sz w:val="21"/>
                <w:szCs w:val="21"/>
                <w:highlight w:val="none"/>
              </w:rPr>
              <w:t>企业采购，</w:t>
            </w:r>
            <w:r>
              <w:rPr>
                <w:rFonts w:hint="eastAsia" w:ascii="宋体" w:hAnsi="宋体" w:eastAsia="宋体"/>
                <w:color w:val="auto"/>
                <w:sz w:val="21"/>
                <w:szCs w:val="21"/>
                <w:highlight w:val="none"/>
                <w:lang w:val="en-US" w:eastAsia="zh-CN"/>
              </w:rPr>
              <w:t>所属行业为“物业管理”，</w:t>
            </w:r>
            <w:r>
              <w:rPr>
                <w:rFonts w:hint="eastAsia" w:ascii="宋体" w:hAnsi="宋体" w:eastAsia="宋体"/>
                <w:color w:val="auto"/>
                <w:sz w:val="21"/>
                <w:szCs w:val="21"/>
                <w:highlight w:val="none"/>
              </w:rPr>
              <w:t>符合政府采购促进中小企业发展相关规定的：</w:t>
            </w:r>
          </w:p>
          <w:p>
            <w:pPr>
              <w:adjustRightInd w:val="0"/>
              <w:snapToGrid w:val="0"/>
              <w:spacing w:before="156" w:beforeLines="50"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（1）给予小型和微型企业、福利和监狱企业产品的价格给予</w:t>
            </w:r>
            <w:r>
              <w:rPr>
                <w:rFonts w:hint="eastAsia" w:ascii="宋体" w:hAnsi="宋体" w:eastAsia="宋体"/>
                <w:color w:val="auto"/>
                <w:sz w:val="21"/>
                <w:szCs w:val="21"/>
                <w:highlight w:val="none"/>
                <w:lang w:val="en-US" w:eastAsia="zh-CN"/>
              </w:rPr>
              <w:t>10</w:t>
            </w:r>
            <w:r>
              <w:rPr>
                <w:rFonts w:hint="eastAsia" w:ascii="宋体" w:hAnsi="宋体" w:eastAsia="宋体"/>
                <w:color w:val="auto"/>
                <w:sz w:val="21"/>
                <w:szCs w:val="21"/>
                <w:highlight w:val="none"/>
              </w:rPr>
              <w:t>%-</w:t>
            </w:r>
            <w:r>
              <w:rPr>
                <w:rFonts w:hint="eastAsia" w:ascii="宋体" w:hAnsi="宋体" w:eastAsia="宋体"/>
                <w:color w:val="auto"/>
                <w:sz w:val="21"/>
                <w:szCs w:val="21"/>
                <w:highlight w:val="none"/>
                <w:lang w:val="en-US" w:eastAsia="zh-CN"/>
              </w:rPr>
              <w:t>20</w:t>
            </w:r>
            <w:r>
              <w:rPr>
                <w:rFonts w:hint="eastAsia" w:ascii="宋体" w:hAnsi="宋体" w:eastAsia="宋体"/>
                <w:color w:val="auto"/>
                <w:sz w:val="21"/>
                <w:szCs w:val="21"/>
                <w:highlight w:val="none"/>
              </w:rPr>
              <w:t xml:space="preserve">%的扣除，用扣除后的价格参与评审，本项目具体扣除比例为 </w:t>
            </w:r>
            <w:r>
              <w:rPr>
                <w:rFonts w:hint="eastAsia" w:ascii="宋体" w:hAnsi="宋体" w:eastAsia="宋体"/>
                <w:color w:val="auto"/>
                <w:sz w:val="21"/>
                <w:szCs w:val="21"/>
                <w:highlight w:val="none"/>
                <w:lang w:val="en-US" w:eastAsia="zh-CN"/>
              </w:rPr>
              <w:t>/</w:t>
            </w:r>
            <w:r>
              <w:rPr>
                <w:rFonts w:hint="eastAsia" w:ascii="宋体" w:hAnsi="宋体" w:eastAsia="宋体"/>
                <w:color w:val="auto"/>
                <w:sz w:val="21"/>
                <w:szCs w:val="21"/>
                <w:highlight w:val="none"/>
              </w:rPr>
              <w:t xml:space="preserve"> ％，不重复享受政策。</w:t>
            </w:r>
          </w:p>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olor w:val="auto"/>
                <w:sz w:val="21"/>
                <w:szCs w:val="21"/>
                <w:highlight w:val="none"/>
              </w:rPr>
              <w:t>（2）给予联合体2%-3%的价格扣除，用扣除后的价格参与评审，本项目具体扣除比例为   /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1658" w:type="dxa"/>
            <w:vMerge w:val="restart"/>
            <w:tcBorders>
              <w:top w:val="single" w:color="auto" w:sz="4" w:space="0"/>
            </w:tcBorders>
            <w:noWrap w:val="0"/>
            <w:vAlign w:val="center"/>
          </w:tcPr>
          <w:p>
            <w:pPr>
              <w:rPr>
                <w:rFonts w:hint="eastAsia" w:ascii="宋体" w:hAnsi="宋体" w:eastAsia="宋体" w:cs="Times New Roman"/>
                <w:color w:val="auto"/>
                <w:sz w:val="21"/>
                <w:szCs w:val="21"/>
                <w:highlight w:val="none"/>
              </w:rPr>
            </w:pPr>
          </w:p>
          <w:p>
            <w:pP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第二章第9.6款</w:t>
            </w:r>
          </w:p>
          <w:p>
            <w:pPr>
              <w:rPr>
                <w:rFonts w:hint="eastAsia" w:ascii="宋体" w:hAnsi="宋体" w:eastAsia="宋体" w:cs="Times New Roman"/>
                <w:color w:val="auto"/>
                <w:sz w:val="21"/>
                <w:szCs w:val="21"/>
                <w:highlight w:val="none"/>
              </w:rPr>
            </w:pPr>
          </w:p>
        </w:tc>
        <w:tc>
          <w:tcPr>
            <w:tcW w:w="1788" w:type="dxa"/>
            <w:noWrap w:val="0"/>
            <w:vAlign w:val="center"/>
          </w:tcPr>
          <w:p>
            <w:pPr>
              <w:rPr>
                <w:rFonts w:hint="eastAsia" w:ascii="宋体" w:hAnsi="宋体" w:eastAsia="宋体" w:cs="Times New Roman"/>
                <w:color w:val="auto"/>
                <w:sz w:val="21"/>
                <w:szCs w:val="21"/>
                <w:highlight w:val="none"/>
              </w:rPr>
            </w:pPr>
            <w:r>
              <w:rPr>
                <w:rFonts w:hint="eastAsia" w:ascii="宋体" w:hAnsi="宋体" w:eastAsia="宋体" w:cs="宋体"/>
                <w:bCs/>
                <w:color w:val="auto"/>
                <w:kern w:val="0"/>
                <w:sz w:val="21"/>
                <w:szCs w:val="21"/>
                <w:highlight w:val="none"/>
              </w:rPr>
              <w:t>政府采购支持中小企业融资</w:t>
            </w:r>
          </w:p>
        </w:tc>
        <w:tc>
          <w:tcPr>
            <w:tcW w:w="5677" w:type="dxa"/>
            <w:gridSpan w:val="2"/>
            <w:noWrap w:val="0"/>
            <w:vAlign w:val="center"/>
          </w:tcPr>
          <w:p>
            <w:pP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有融资需求的，可向本附表附页1所列银行咨询或登陆中国湖南政府采购网查询。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8" w:hRule="atLeast"/>
          <w:jc w:val="center"/>
        </w:trPr>
        <w:tc>
          <w:tcPr>
            <w:tcW w:w="1658" w:type="dxa"/>
            <w:vMerge w:val="continue"/>
            <w:noWrap w:val="0"/>
            <w:vAlign w:val="center"/>
          </w:tcPr>
          <w:p>
            <w:pPr>
              <w:rPr>
                <w:rFonts w:hint="eastAsia" w:ascii="宋体" w:hAnsi="宋体" w:eastAsia="宋体" w:cs="Times New Roman"/>
                <w:color w:val="auto"/>
                <w:sz w:val="21"/>
                <w:szCs w:val="21"/>
                <w:highlight w:val="none"/>
              </w:rPr>
            </w:pPr>
          </w:p>
        </w:tc>
        <w:tc>
          <w:tcPr>
            <w:tcW w:w="1788" w:type="dxa"/>
            <w:noWrap w:val="0"/>
            <w:vAlign w:val="center"/>
          </w:tcPr>
          <w:p>
            <w:pPr>
              <w:rPr>
                <w:rFonts w:hint="eastAsia" w:ascii="宋体" w:hAnsi="宋体" w:eastAsia="宋体" w:cs="Times New Roman"/>
                <w:color w:val="auto"/>
                <w:sz w:val="21"/>
                <w:szCs w:val="21"/>
                <w:highlight w:val="none"/>
              </w:rPr>
            </w:pPr>
            <w:r>
              <w:rPr>
                <w:rFonts w:hint="eastAsia" w:ascii="宋体" w:hAnsi="宋体" w:eastAsia="宋体" w:cs="宋体"/>
                <w:bCs/>
                <w:color w:val="auto"/>
                <w:kern w:val="0"/>
                <w:sz w:val="21"/>
                <w:szCs w:val="21"/>
                <w:highlight w:val="none"/>
              </w:rPr>
              <w:t>政府采购信用担保</w:t>
            </w:r>
          </w:p>
        </w:tc>
        <w:tc>
          <w:tcPr>
            <w:tcW w:w="5677" w:type="dxa"/>
            <w:gridSpan w:val="2"/>
            <w:noWrap w:val="0"/>
            <w:vAlign w:val="center"/>
          </w:tcPr>
          <w:p>
            <w:pP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有履约担保或融资担保需求的，可向本附表附页2所列担保机构咨询或登陆中国湖南政府采购网查询，格式见附页3。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70" w:hRule="atLeast"/>
          <w:jc w:val="center"/>
        </w:trPr>
        <w:tc>
          <w:tcPr>
            <w:tcW w:w="1658" w:type="dxa"/>
            <w:vMerge w:val="continue"/>
            <w:noWrap w:val="0"/>
            <w:vAlign w:val="center"/>
          </w:tcPr>
          <w:p>
            <w:pPr>
              <w:rPr>
                <w:rFonts w:hint="eastAsia" w:ascii="宋体" w:hAnsi="宋体" w:eastAsia="宋体" w:cs="Times New Roman"/>
                <w:color w:val="auto"/>
                <w:sz w:val="21"/>
                <w:szCs w:val="21"/>
                <w:highlight w:val="none"/>
              </w:rPr>
            </w:pPr>
          </w:p>
        </w:tc>
        <w:tc>
          <w:tcPr>
            <w:tcW w:w="1788" w:type="dxa"/>
            <w:noWrap w:val="0"/>
            <w:vAlign w:val="center"/>
          </w:tcPr>
          <w:p>
            <w:pP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法律、法规、规章和省级以上财政部门规定的其他内容</w:t>
            </w:r>
          </w:p>
        </w:tc>
        <w:tc>
          <w:tcPr>
            <w:tcW w:w="5677" w:type="dxa"/>
            <w:gridSpan w:val="2"/>
            <w:noWrap w:val="0"/>
            <w:vAlign w:val="center"/>
          </w:tcPr>
          <w:p>
            <w:pP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123" w:type="dxa"/>
            <w:gridSpan w:val="4"/>
            <w:noWrap w:val="0"/>
            <w:vAlign w:val="center"/>
          </w:tcPr>
          <w:p>
            <w:pPr>
              <w:adjustRightInd w:val="0"/>
              <w:snapToGrid w:val="0"/>
              <w:rPr>
                <w:rFonts w:hint="eastAsia" w:ascii="宋体" w:hAnsi="宋体" w:eastAsia="宋体" w:cs="Times New Roman"/>
                <w:b/>
                <w:color w:val="auto"/>
                <w:sz w:val="21"/>
                <w:szCs w:val="21"/>
                <w:highlight w:val="none"/>
              </w:rPr>
            </w:pPr>
            <w:r>
              <w:rPr>
                <w:rFonts w:hint="eastAsia" w:ascii="宋体" w:hAnsi="宋体" w:eastAsia="宋体" w:cs="Times New Roman"/>
                <w:b/>
                <w:color w:val="auto"/>
                <w:sz w:val="21"/>
                <w:szCs w:val="21"/>
                <w:highlight w:val="none"/>
              </w:rPr>
              <w:t>二、磋商文件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第二章第10.3款</w:t>
            </w:r>
          </w:p>
        </w:tc>
        <w:tc>
          <w:tcPr>
            <w:tcW w:w="178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磋商文件的可能实质性变动内容</w:t>
            </w:r>
          </w:p>
        </w:tc>
        <w:tc>
          <w:tcPr>
            <w:tcW w:w="5677" w:type="dxa"/>
            <w:gridSpan w:val="2"/>
            <w:noWrap w:val="0"/>
            <w:vAlign w:val="center"/>
          </w:tcPr>
          <w:p>
            <w:pPr>
              <w:adjustRightInd w:val="0"/>
              <w:snapToGrid w:val="0"/>
              <w:jc w:val="left"/>
              <w:rPr>
                <w:rFonts w:hint="eastAsia" w:ascii="宋体" w:hAnsi="宋体" w:eastAsia="宋体" w:cs="Times New Roman"/>
                <w:color w:val="auto"/>
                <w:sz w:val="21"/>
                <w:szCs w:val="21"/>
                <w:highlight w:val="none"/>
                <w:u w:val="single"/>
              </w:rPr>
            </w:pPr>
            <w:r>
              <w:rPr>
                <w:rFonts w:hint="eastAsia" w:ascii="Calibri" w:hAnsi="Calibri" w:eastAsia="宋体" w:cs="Times New Roman"/>
                <w:color w:val="auto"/>
                <w:sz w:val="21"/>
                <w:szCs w:val="21"/>
                <w:highlight w:val="none"/>
              </w:rPr>
              <w:t>磋商</w:t>
            </w:r>
            <w:r>
              <w:rPr>
                <w:rFonts w:ascii="Calibri" w:hAnsi="Calibri" w:eastAsia="宋体" w:cs="Times New Roman"/>
                <w:color w:val="auto"/>
                <w:sz w:val="21"/>
                <w:szCs w:val="21"/>
                <w:highlight w:val="none"/>
              </w:rPr>
              <w:t>文件的实质性变动内容为</w:t>
            </w:r>
            <w:r>
              <w:rPr>
                <w:rFonts w:hint="eastAsia" w:ascii="Calibri" w:hAnsi="Calibri" w:eastAsia="宋体" w:cs="Times New Roman"/>
                <w:color w:val="auto"/>
                <w:sz w:val="21"/>
                <w:szCs w:val="21"/>
                <w:highlight w:val="none"/>
              </w:rPr>
              <w:t>磋商</w:t>
            </w:r>
            <w:r>
              <w:rPr>
                <w:rFonts w:ascii="Calibri" w:hAnsi="Calibri" w:eastAsia="宋体" w:cs="Times New Roman"/>
                <w:color w:val="auto"/>
                <w:sz w:val="21"/>
                <w:szCs w:val="21"/>
                <w:highlight w:val="none"/>
              </w:rPr>
              <w:t>文件的组成部分，实质性变动内容</w:t>
            </w:r>
            <w:r>
              <w:rPr>
                <w:rFonts w:ascii="Calibri" w:hAnsi="Calibri" w:eastAsia="宋体" w:cs="Times New Roman"/>
                <w:color w:val="auto"/>
                <w:sz w:val="21"/>
                <w:szCs w:val="21"/>
                <w:highlight w:val="none"/>
                <w:lang w:val="zh-CN"/>
              </w:rPr>
              <w:t>与</w:t>
            </w:r>
            <w:r>
              <w:rPr>
                <w:rFonts w:hint="eastAsia" w:ascii="Calibri" w:hAnsi="Calibri" w:eastAsia="宋体" w:cs="Times New Roman"/>
                <w:color w:val="auto"/>
                <w:sz w:val="21"/>
                <w:szCs w:val="21"/>
                <w:highlight w:val="none"/>
              </w:rPr>
              <w:t>磋商</w:t>
            </w:r>
            <w:r>
              <w:rPr>
                <w:rFonts w:ascii="Calibri" w:hAnsi="Calibri" w:eastAsia="宋体" w:cs="Times New Roman"/>
                <w:color w:val="auto"/>
                <w:sz w:val="21"/>
                <w:szCs w:val="21"/>
                <w:highlight w:val="none"/>
              </w:rPr>
              <w:t>文件</w:t>
            </w:r>
            <w:r>
              <w:rPr>
                <w:rFonts w:ascii="Calibri" w:hAnsi="Calibri" w:eastAsia="宋体" w:cs="Times New Roman"/>
                <w:color w:val="auto"/>
                <w:sz w:val="21"/>
                <w:szCs w:val="21"/>
                <w:highlight w:val="none"/>
                <w:lang w:val="zh-CN"/>
              </w:rPr>
              <w:t>不一致时，以</w:t>
            </w:r>
            <w:r>
              <w:rPr>
                <w:rFonts w:ascii="Calibri" w:hAnsi="Calibri" w:eastAsia="宋体" w:cs="Times New Roman"/>
                <w:color w:val="auto"/>
                <w:sz w:val="21"/>
                <w:szCs w:val="21"/>
                <w:highlight w:val="none"/>
              </w:rPr>
              <w:t>实质性变动内容</w:t>
            </w:r>
            <w:r>
              <w:rPr>
                <w:rFonts w:ascii="Calibri" w:hAnsi="Calibri" w:eastAsia="宋体" w:cs="Times New Roman"/>
                <w:color w:val="auto"/>
                <w:sz w:val="21"/>
                <w:szCs w:val="21"/>
                <w:highlight w:val="none"/>
                <w:lang w:val="zh-CN"/>
              </w:rPr>
              <w:t>为准。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第二章第11.1款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磋商文件的提供期限</w:t>
            </w:r>
          </w:p>
        </w:tc>
        <w:tc>
          <w:tcPr>
            <w:tcW w:w="5677" w:type="dxa"/>
            <w:gridSpan w:val="2"/>
            <w:noWrap w:val="0"/>
            <w:vAlign w:val="center"/>
          </w:tcPr>
          <w:p>
            <w:pPr>
              <w:adjustRightInd w:val="0"/>
              <w:snapToGrid w:val="0"/>
              <w:jc w:val="left"/>
              <w:rPr>
                <w:rFonts w:hint="eastAsia" w:ascii="宋体" w:hAnsi="宋体" w:eastAsia="宋体" w:cs="Times New Roman"/>
                <w:color w:val="auto"/>
                <w:sz w:val="21"/>
                <w:szCs w:val="21"/>
                <w:highlight w:val="none"/>
                <w:u w:val="single"/>
              </w:rPr>
            </w:pPr>
            <w:r>
              <w:rPr>
                <w:rFonts w:hint="eastAsia" w:ascii="宋体" w:hAnsi="宋体" w:eastAsia="宋体" w:cs="宋体"/>
                <w:color w:val="auto"/>
                <w:sz w:val="21"/>
                <w:szCs w:val="21"/>
                <w:highlight w:val="none"/>
                <w:u w:val="single"/>
              </w:rPr>
              <w:t>202</w:t>
            </w:r>
            <w:r>
              <w:rPr>
                <w:rFonts w:hint="eastAsia" w:ascii="宋体" w:hAnsi="宋体" w:cs="宋体"/>
                <w:color w:val="auto"/>
                <w:sz w:val="21"/>
                <w:szCs w:val="21"/>
                <w:highlight w:val="none"/>
                <w:u w:val="single"/>
                <w:lang w:val="en-US" w:eastAsia="zh-CN"/>
              </w:rPr>
              <w:t>3</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10</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27</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日起至 </w:t>
            </w:r>
            <w:r>
              <w:rPr>
                <w:rFonts w:hint="eastAsia" w:ascii="宋体" w:hAnsi="宋体" w:eastAsia="宋体" w:cs="宋体"/>
                <w:color w:val="auto"/>
                <w:sz w:val="21"/>
                <w:szCs w:val="21"/>
                <w:highlight w:val="none"/>
                <w:u w:val="single"/>
              </w:rPr>
              <w:t>202</w:t>
            </w:r>
            <w:r>
              <w:rPr>
                <w:rFonts w:hint="eastAsia" w:ascii="宋体" w:hAnsi="宋体" w:cs="宋体"/>
                <w:color w:val="auto"/>
                <w:sz w:val="21"/>
                <w:szCs w:val="21"/>
                <w:highlight w:val="none"/>
                <w:u w:val="single"/>
                <w:lang w:val="en-US" w:eastAsia="zh-CN"/>
              </w:rPr>
              <w:t>3</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11</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cs="宋体"/>
                <w:color w:val="auto"/>
                <w:sz w:val="21"/>
                <w:szCs w:val="21"/>
                <w:highlight w:val="none"/>
                <w:u w:val="single"/>
                <w:lang w:val="en-US" w:eastAsia="zh-CN"/>
              </w:rPr>
              <w:t>3</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第二章第11.2款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领取或购买磋商文件时应提供的资料</w:t>
            </w:r>
          </w:p>
        </w:tc>
        <w:tc>
          <w:tcPr>
            <w:tcW w:w="5677" w:type="dxa"/>
            <w:gridSpan w:val="2"/>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 xml:space="preserve">个人身份证、法定代表人身份证明（附法人营业执照）或者授权委托书(并附法定代表人身份证明、法人营业执照)。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第二章第12.1款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提交首次响应文件的截止时间</w:t>
            </w:r>
          </w:p>
        </w:tc>
        <w:tc>
          <w:tcPr>
            <w:tcW w:w="5677" w:type="dxa"/>
            <w:gridSpan w:val="2"/>
            <w:noWrap w:val="0"/>
            <w:vAlign w:val="center"/>
          </w:tcPr>
          <w:p>
            <w:pPr>
              <w:adjustRightInd w:val="0"/>
              <w:snapToGrid w:val="0"/>
              <w:jc w:val="left"/>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u w:val="single"/>
              </w:rPr>
              <w:t xml:space="preserve"> 202</w:t>
            </w:r>
            <w:r>
              <w:rPr>
                <w:rFonts w:hint="eastAsia" w:ascii="宋体" w:hAnsi="宋体" w:cs="Times New Roman"/>
                <w:color w:val="auto"/>
                <w:sz w:val="21"/>
                <w:szCs w:val="21"/>
                <w:highlight w:val="none"/>
                <w:u w:val="single"/>
                <w:lang w:val="en-US" w:eastAsia="zh-CN"/>
              </w:rPr>
              <w:t>3</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年</w:t>
            </w:r>
            <w:r>
              <w:rPr>
                <w:rFonts w:hint="eastAsia" w:ascii="宋体" w:hAnsi="宋体" w:eastAsia="宋体" w:cs="Times New Roman"/>
                <w:color w:val="auto"/>
                <w:sz w:val="21"/>
                <w:szCs w:val="21"/>
                <w:highlight w:val="none"/>
                <w:u w:val="single"/>
              </w:rPr>
              <w:t xml:space="preserve"> </w:t>
            </w:r>
            <w:r>
              <w:rPr>
                <w:rFonts w:hint="eastAsia" w:ascii="宋体" w:hAnsi="宋体" w:cs="Times New Roman"/>
                <w:color w:val="auto"/>
                <w:sz w:val="21"/>
                <w:szCs w:val="21"/>
                <w:highlight w:val="none"/>
                <w:u w:val="single"/>
                <w:lang w:val="en-US" w:eastAsia="zh-CN"/>
              </w:rPr>
              <w:t xml:space="preserve">11 </w:t>
            </w:r>
            <w:r>
              <w:rPr>
                <w:rFonts w:hint="eastAsia" w:ascii="宋体" w:hAnsi="宋体" w:eastAsia="宋体" w:cs="Times New Roman"/>
                <w:color w:val="auto"/>
                <w:sz w:val="21"/>
                <w:szCs w:val="21"/>
                <w:highlight w:val="none"/>
              </w:rPr>
              <w:t>月</w:t>
            </w:r>
            <w:r>
              <w:rPr>
                <w:rFonts w:hint="eastAsia" w:ascii="宋体" w:hAnsi="宋体" w:eastAsia="宋体" w:cs="Times New Roman"/>
                <w:color w:val="auto"/>
                <w:sz w:val="21"/>
                <w:szCs w:val="21"/>
                <w:highlight w:val="none"/>
                <w:u w:val="single"/>
              </w:rPr>
              <w:t xml:space="preserve"> </w:t>
            </w:r>
            <w:r>
              <w:rPr>
                <w:rFonts w:hint="eastAsia" w:ascii="宋体" w:hAnsi="宋体" w:cs="Times New Roman"/>
                <w:color w:val="auto"/>
                <w:sz w:val="21"/>
                <w:szCs w:val="21"/>
                <w:highlight w:val="none"/>
                <w:u w:val="single"/>
                <w:lang w:val="en-US" w:eastAsia="zh-CN"/>
              </w:rPr>
              <w:t>7</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日</w:t>
            </w:r>
            <w:r>
              <w:rPr>
                <w:rFonts w:hint="eastAsia" w:ascii="宋体" w:hAnsi="宋体" w:eastAsia="宋体" w:cs="Times New Roman"/>
                <w:color w:val="auto"/>
                <w:sz w:val="21"/>
                <w:szCs w:val="21"/>
                <w:highlight w:val="none"/>
                <w:u w:val="single"/>
              </w:rPr>
              <w:t xml:space="preserve"> </w:t>
            </w:r>
            <w:r>
              <w:rPr>
                <w:rFonts w:ascii="宋体" w:hAnsi="宋体" w:eastAsia="宋体" w:cs="Times New Roman"/>
                <w:color w:val="auto"/>
                <w:sz w:val="21"/>
                <w:szCs w:val="21"/>
                <w:highlight w:val="none"/>
                <w:u w:val="single"/>
              </w:rPr>
              <w:t>1</w:t>
            </w:r>
            <w:r>
              <w:rPr>
                <w:rFonts w:hint="eastAsia" w:ascii="宋体" w:hAnsi="宋体" w:cs="Times New Roman"/>
                <w:color w:val="auto"/>
                <w:sz w:val="21"/>
                <w:szCs w:val="21"/>
                <w:highlight w:val="none"/>
                <w:u w:val="single"/>
                <w:lang w:val="en-US" w:eastAsia="zh-CN"/>
              </w:rPr>
              <w:t>4</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时</w:t>
            </w:r>
            <w:r>
              <w:rPr>
                <w:rFonts w:hint="eastAsia" w:ascii="宋体" w:hAnsi="宋体" w:eastAsia="宋体" w:cs="Times New Roman"/>
                <w:color w:val="auto"/>
                <w:sz w:val="21"/>
                <w:szCs w:val="21"/>
                <w:highlight w:val="none"/>
                <w:u w:val="single"/>
              </w:rPr>
              <w:t xml:space="preserve"> </w:t>
            </w:r>
            <w:r>
              <w:rPr>
                <w:rFonts w:hint="eastAsia" w:ascii="宋体" w:hAnsi="宋体" w:cs="Times New Roman"/>
                <w:color w:val="auto"/>
                <w:sz w:val="21"/>
                <w:szCs w:val="21"/>
                <w:highlight w:val="none"/>
                <w:u w:val="single"/>
                <w:lang w:val="en-US" w:eastAsia="zh-CN"/>
              </w:rPr>
              <w:t>00</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分 (北京时间)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9123" w:type="dxa"/>
            <w:gridSpan w:val="4"/>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b/>
                <w:color w:val="auto"/>
                <w:sz w:val="21"/>
                <w:szCs w:val="21"/>
                <w:highlight w:val="none"/>
              </w:rPr>
              <w:t>三、响应文件的编写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第二章第16.5款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采购项目预算</w:t>
            </w:r>
          </w:p>
        </w:tc>
        <w:tc>
          <w:tcPr>
            <w:tcW w:w="5677" w:type="dxa"/>
            <w:gridSpan w:val="2"/>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cs="Times New Roman"/>
                <w:b/>
                <w:bCs/>
                <w:color w:val="auto"/>
                <w:sz w:val="21"/>
                <w:szCs w:val="21"/>
                <w:highlight w:val="none"/>
                <w:lang w:eastAsia="zh-CN"/>
              </w:rPr>
              <w:t>864000</w:t>
            </w:r>
            <w:r>
              <w:rPr>
                <w:rFonts w:hint="eastAsia" w:ascii="宋体" w:hAnsi="宋体" w:eastAsia="宋体" w:cs="Times New Roman"/>
                <w:b/>
                <w:bCs/>
                <w:color w:val="auto"/>
                <w:sz w:val="21"/>
                <w:szCs w:val="21"/>
                <w:highlight w:val="none"/>
              </w:rPr>
              <w:t>.00元。本项目最高限价</w:t>
            </w:r>
            <w:r>
              <w:rPr>
                <w:rFonts w:hint="eastAsia" w:ascii="宋体" w:hAnsi="宋体" w:cs="Times New Roman"/>
                <w:b/>
                <w:bCs/>
                <w:color w:val="auto"/>
                <w:sz w:val="21"/>
                <w:szCs w:val="21"/>
                <w:highlight w:val="none"/>
                <w:lang w:eastAsia="zh-CN"/>
              </w:rPr>
              <w:t>864000</w:t>
            </w:r>
            <w:r>
              <w:rPr>
                <w:rFonts w:hint="eastAsia" w:ascii="宋体" w:hAnsi="宋体" w:eastAsia="宋体" w:cs="Times New Roman"/>
                <w:b/>
                <w:bCs/>
                <w:color w:val="auto"/>
                <w:sz w:val="21"/>
                <w:szCs w:val="21"/>
                <w:highlight w:val="none"/>
              </w:rPr>
              <w:t>.00元</w:t>
            </w:r>
            <w:r>
              <w:rPr>
                <w:rFonts w:hint="eastAsia" w:ascii="宋体" w:hAnsi="宋体" w:cs="Times New Roman"/>
                <w:b/>
                <w:bCs/>
                <w:color w:val="auto"/>
                <w:sz w:val="21"/>
                <w:szCs w:val="21"/>
                <w:highlight w:val="none"/>
                <w:lang w:eastAsia="zh-CN"/>
              </w:rPr>
              <w:t>、单项最高限价</w:t>
            </w:r>
            <w:r>
              <w:rPr>
                <w:rFonts w:hint="eastAsia" w:ascii="宋体" w:hAnsi="宋体" w:cs="Times New Roman"/>
                <w:b/>
                <w:bCs/>
                <w:color w:val="auto"/>
                <w:sz w:val="21"/>
                <w:szCs w:val="21"/>
                <w:highlight w:val="none"/>
                <w:lang w:val="en-US" w:eastAsia="zh-CN"/>
              </w:rPr>
              <w:t>3000元/月/人。</w:t>
            </w:r>
            <w:r>
              <w:rPr>
                <w:rFonts w:hint="eastAsia" w:ascii="宋体" w:hAnsi="宋体" w:eastAsia="宋体" w:cs="Times New Roman"/>
                <w:b w:val="0"/>
                <w:bCs w:val="0"/>
                <w:color w:val="auto"/>
                <w:sz w:val="21"/>
                <w:szCs w:val="21"/>
                <w:highlight w:val="none"/>
                <w:lang w:eastAsia="zh-CN"/>
              </w:rPr>
              <w:t>（</w:t>
            </w:r>
            <w:r>
              <w:rPr>
                <w:rFonts w:hint="eastAsia" w:ascii="宋体" w:hAnsi="宋体" w:eastAsia="宋体" w:cs="Times New Roman"/>
                <w:color w:val="auto"/>
                <w:sz w:val="21"/>
                <w:szCs w:val="21"/>
                <w:highlight w:val="none"/>
              </w:rPr>
              <w:t>投标人投标</w:t>
            </w:r>
            <w:r>
              <w:rPr>
                <w:rFonts w:hint="eastAsia" w:ascii="Calibri" w:hAnsi="Calibri" w:eastAsia="宋体" w:cs="Times New Roman"/>
                <w:color w:val="auto"/>
                <w:sz w:val="21"/>
                <w:szCs w:val="21"/>
                <w:highlight w:val="none"/>
              </w:rPr>
              <w:t>报价不得超过最高限价，也不得超过</w:t>
            </w:r>
            <w:r>
              <w:rPr>
                <w:rFonts w:hint="eastAsia" w:cs="Times New Roman"/>
                <w:color w:val="auto"/>
                <w:sz w:val="21"/>
                <w:szCs w:val="21"/>
                <w:highlight w:val="none"/>
                <w:lang w:eastAsia="zh-CN"/>
              </w:rPr>
              <w:t>单项最高</w:t>
            </w:r>
            <w:r>
              <w:rPr>
                <w:rFonts w:hint="eastAsia" w:ascii="Calibri" w:hAnsi="Calibri" w:eastAsia="宋体" w:cs="Times New Roman"/>
                <w:color w:val="auto"/>
                <w:sz w:val="21"/>
                <w:szCs w:val="21"/>
                <w:highlight w:val="none"/>
              </w:rPr>
              <w:t>限价，否则视为无效响应</w:t>
            </w:r>
            <w:r>
              <w:rPr>
                <w:rFonts w:hint="eastAsia" w:ascii="宋体" w:hAnsi="宋体" w:eastAsia="宋体" w:cs="Times New Roman"/>
                <w:b w:val="0"/>
                <w:bCs w:val="0"/>
                <w:color w:val="auto"/>
                <w:sz w:val="21"/>
                <w:szCs w:val="21"/>
                <w:highlight w:val="none"/>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783"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第二章第17.4款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非制造商的证明文件</w:t>
            </w:r>
          </w:p>
        </w:tc>
        <w:tc>
          <w:tcPr>
            <w:tcW w:w="5677" w:type="dxa"/>
            <w:gridSpan w:val="2"/>
            <w:noWrap w:val="0"/>
            <w:vAlign w:val="center"/>
          </w:tcPr>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■不要求提供</w:t>
            </w:r>
          </w:p>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sym w:font="Wingdings 2" w:char="00A3"/>
            </w:r>
            <w:r>
              <w:rPr>
                <w:rFonts w:hint="eastAsia" w:ascii="宋体" w:hAnsi="宋体" w:eastAsia="宋体" w:cs="Times New Roman"/>
                <w:color w:val="auto"/>
                <w:sz w:val="21"/>
                <w:szCs w:val="21"/>
                <w:highlight w:val="none"/>
              </w:rPr>
              <w:t>要求提供：（证明文件复印件须加盖供应商单位公章，否则视为无效响应。）</w:t>
            </w:r>
          </w:p>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经销、或代理投标货物、或为投标货物提供售后服务的证明文件。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第二章第17.5款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样品提供及样品提交的时间、地点</w:t>
            </w:r>
          </w:p>
        </w:tc>
        <w:tc>
          <w:tcPr>
            <w:tcW w:w="5677" w:type="dxa"/>
            <w:gridSpan w:val="2"/>
            <w:noWrap w:val="0"/>
            <w:vAlign w:val="center"/>
          </w:tcPr>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■不要求提供</w:t>
            </w:r>
          </w:p>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s="宋体"/>
                <w:color w:val="auto"/>
                <w:sz w:val="18"/>
                <w:szCs w:val="18"/>
                <w:highlight w:val="none"/>
              </w:rPr>
              <w:t xml:space="preserve">□ </w:t>
            </w:r>
            <w:r>
              <w:rPr>
                <w:rFonts w:hint="eastAsia" w:ascii="宋体" w:hAnsi="宋体" w:eastAsia="宋体" w:cs="Times New Roman"/>
                <w:color w:val="auto"/>
                <w:sz w:val="21"/>
                <w:szCs w:val="21"/>
                <w:highlight w:val="none"/>
              </w:rPr>
              <w:t>要求提供，提交的样品：</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、提交的时间：</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、地点：</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01"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第二章第18.1款</w:t>
            </w:r>
          </w:p>
        </w:tc>
        <w:tc>
          <w:tcPr>
            <w:tcW w:w="1788" w:type="dxa"/>
            <w:noWrap w:val="0"/>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宋体" w:hAnsi="宋体" w:eastAsia="宋体" w:cs="Times New Roman"/>
                <w:color w:val="auto"/>
                <w:sz w:val="21"/>
                <w:szCs w:val="21"/>
                <w:highlight w:val="none"/>
              </w:rPr>
            </w:pPr>
            <w:r>
              <w:rPr>
                <w:rFonts w:hint="eastAsia" w:ascii="宋体" w:hAnsi="宋体" w:cs="Times New Roman"/>
                <w:color w:val="auto"/>
                <w:sz w:val="21"/>
                <w:szCs w:val="21"/>
                <w:highlight w:val="none"/>
                <w:lang w:val="en-US" w:eastAsia="zh-CN"/>
              </w:rPr>
              <w:t>磋商</w:t>
            </w:r>
            <w:r>
              <w:rPr>
                <w:rFonts w:hint="eastAsia" w:ascii="宋体" w:hAnsi="宋体" w:eastAsia="宋体" w:cs="Times New Roman"/>
                <w:color w:val="auto"/>
                <w:sz w:val="21"/>
                <w:szCs w:val="21"/>
                <w:highlight w:val="none"/>
              </w:rPr>
              <w:t>保证金</w:t>
            </w:r>
          </w:p>
        </w:tc>
        <w:tc>
          <w:tcPr>
            <w:tcW w:w="5677" w:type="dxa"/>
            <w:gridSpan w:val="2"/>
            <w:noWrap w:val="0"/>
            <w:vAlign w:val="center"/>
          </w:tcPr>
          <w:p>
            <w:pPr>
              <w:widowControl/>
              <w:adjustRightInd w:val="0"/>
              <w:snapToGrid w:val="0"/>
              <w:spacing w:line="360" w:lineRule="auto"/>
              <w:rPr>
                <w:rFonts w:hint="eastAsia" w:ascii="Times New Roman" w:hAnsi="Times New Roman" w:eastAsia="宋体"/>
                <w:color w:val="auto"/>
                <w:sz w:val="21"/>
                <w:highlight w:val="none"/>
              </w:rPr>
            </w:pPr>
            <w:r>
              <w:rPr>
                <w:rFonts w:hint="eastAsia" w:ascii="Times New Roman" w:hAnsi="Times New Roman" w:eastAsia="宋体"/>
                <w:color w:val="auto"/>
                <w:sz w:val="21"/>
                <w:highlight w:val="none"/>
              </w:rPr>
              <w:t>■ 不要求提供</w:t>
            </w:r>
          </w:p>
          <w:p>
            <w:pPr>
              <w:widowControl/>
              <w:adjustRightInd w:val="0"/>
              <w:snapToGrid w:val="0"/>
              <w:spacing w:line="360" w:lineRule="auto"/>
              <w:rPr>
                <w:rFonts w:hint="eastAsia" w:ascii="Times New Roman" w:hAnsi="Times New Roman" w:eastAsia="宋体"/>
                <w:color w:val="auto"/>
                <w:sz w:val="21"/>
                <w:highlight w:val="none"/>
              </w:rPr>
            </w:pPr>
            <w:r>
              <w:rPr>
                <w:rFonts w:hint="eastAsia" w:ascii="Times New Roman" w:hAnsi="Times New Roman" w:eastAsia="宋体"/>
                <w:color w:val="auto"/>
                <w:sz w:val="21"/>
                <w:highlight w:val="none"/>
              </w:rPr>
              <w:t>□ 要求提供</w:t>
            </w:r>
          </w:p>
          <w:p>
            <w:pPr>
              <w:widowControl/>
              <w:adjustRightInd w:val="0"/>
              <w:snapToGrid w:val="0"/>
              <w:spacing w:line="360" w:lineRule="auto"/>
              <w:rPr>
                <w:rFonts w:hint="eastAsia" w:ascii="Times New Roman" w:hAnsi="Times New Roman" w:eastAsia="宋体"/>
                <w:color w:val="auto"/>
                <w:sz w:val="21"/>
                <w:highlight w:val="none"/>
              </w:rPr>
            </w:pPr>
            <w:r>
              <w:rPr>
                <w:rFonts w:hint="eastAsia" w:ascii="Times New Roman" w:hAnsi="Times New Roman" w:eastAsia="宋体"/>
                <w:color w:val="auto"/>
                <w:sz w:val="21"/>
                <w:highlight w:val="none"/>
              </w:rPr>
              <w:t>1、保证金数额：/ 元(人民币)</w:t>
            </w:r>
          </w:p>
          <w:p>
            <w:pPr>
              <w:widowControl/>
              <w:adjustRightInd w:val="0"/>
              <w:snapToGrid w:val="0"/>
              <w:spacing w:line="360" w:lineRule="auto"/>
              <w:rPr>
                <w:rFonts w:hint="eastAsia" w:ascii="Times New Roman" w:hAnsi="Times New Roman" w:eastAsia="宋体"/>
                <w:color w:val="auto"/>
                <w:sz w:val="21"/>
                <w:highlight w:val="none"/>
              </w:rPr>
            </w:pPr>
            <w:r>
              <w:rPr>
                <w:rFonts w:hint="eastAsia" w:ascii="Times New Roman" w:hAnsi="Times New Roman" w:eastAsia="宋体"/>
                <w:color w:val="auto"/>
                <w:sz w:val="21"/>
                <w:highlight w:val="none"/>
              </w:rPr>
              <w:t>2、缴纳方式：磋商保证金形式：以支票、汇票、本票等形式缴入如下账户，投标截止时间前查询已经到账，视为已缴纳。</w:t>
            </w:r>
          </w:p>
          <w:p>
            <w:pPr>
              <w:widowControl/>
              <w:adjustRightInd w:val="0"/>
              <w:snapToGrid w:val="0"/>
              <w:spacing w:line="360" w:lineRule="auto"/>
              <w:rPr>
                <w:rFonts w:hint="eastAsia" w:ascii="Times New Roman" w:hAnsi="Times New Roman" w:eastAsia="宋体"/>
                <w:color w:val="auto"/>
                <w:sz w:val="21"/>
                <w:highlight w:val="none"/>
              </w:rPr>
            </w:pPr>
            <w:r>
              <w:rPr>
                <w:rFonts w:hint="eastAsia" w:ascii="Times New Roman" w:hAnsi="Times New Roman" w:eastAsia="宋体"/>
                <w:color w:val="auto"/>
                <w:sz w:val="21"/>
                <w:highlight w:val="none"/>
              </w:rPr>
              <w:t xml:space="preserve">账户名：中采联合招标有限公司政府采购保证金专户 </w:t>
            </w:r>
          </w:p>
          <w:p>
            <w:pPr>
              <w:widowControl/>
              <w:adjustRightInd w:val="0"/>
              <w:snapToGrid w:val="0"/>
              <w:spacing w:line="360" w:lineRule="auto"/>
              <w:rPr>
                <w:rFonts w:hint="eastAsia" w:ascii="Times New Roman" w:hAnsi="Times New Roman" w:eastAsia="宋体"/>
                <w:color w:val="auto"/>
                <w:sz w:val="21"/>
                <w:highlight w:val="none"/>
              </w:rPr>
            </w:pPr>
            <w:r>
              <w:rPr>
                <w:rFonts w:hint="eastAsia" w:ascii="Times New Roman" w:hAnsi="Times New Roman" w:eastAsia="宋体"/>
                <w:color w:val="auto"/>
                <w:sz w:val="21"/>
                <w:highlight w:val="none"/>
              </w:rPr>
              <w:t>开户行： 长沙银行浏阳河支行</w:t>
            </w:r>
          </w:p>
          <w:p>
            <w:pPr>
              <w:widowControl/>
              <w:adjustRightInd w:val="0"/>
              <w:snapToGrid w:val="0"/>
              <w:spacing w:line="360" w:lineRule="auto"/>
              <w:rPr>
                <w:rFonts w:hint="eastAsia" w:ascii="宋体" w:hAnsi="宋体" w:eastAsia="宋体" w:cs="Times New Roman"/>
                <w:color w:val="auto"/>
                <w:sz w:val="21"/>
                <w:szCs w:val="21"/>
                <w:highlight w:val="none"/>
              </w:rPr>
            </w:pPr>
            <w:r>
              <w:rPr>
                <w:rFonts w:hint="eastAsia" w:ascii="Times New Roman" w:hAnsi="Times New Roman" w:eastAsia="宋体"/>
                <w:color w:val="auto"/>
                <w:sz w:val="21"/>
                <w:highlight w:val="none"/>
              </w:rPr>
              <w:t>账  号： 800193532908010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第二章第19.1款</w:t>
            </w:r>
          </w:p>
        </w:tc>
        <w:tc>
          <w:tcPr>
            <w:tcW w:w="1788" w:type="dxa"/>
            <w:noWrap w:val="0"/>
            <w:vAlign w:val="center"/>
          </w:tcPr>
          <w:p>
            <w:pPr>
              <w:adjustRightInd w:val="0"/>
              <w:snapToGrid w:val="0"/>
              <w:rPr>
                <w:rFonts w:hint="eastAsia" w:ascii="宋体" w:hAnsi="宋体" w:eastAsia="宋体" w:cs="Times New Roman"/>
                <w:bCs/>
                <w:color w:val="auto"/>
                <w:sz w:val="21"/>
                <w:szCs w:val="21"/>
                <w:highlight w:val="none"/>
              </w:rPr>
            </w:pPr>
            <w:r>
              <w:rPr>
                <w:rFonts w:hint="eastAsia" w:ascii="宋体" w:hAnsi="宋体" w:eastAsia="宋体" w:cs="Times New Roman"/>
                <w:bCs/>
                <w:color w:val="auto"/>
                <w:sz w:val="21"/>
                <w:szCs w:val="21"/>
                <w:highlight w:val="none"/>
              </w:rPr>
              <w:t>响应文件有效期</w:t>
            </w:r>
          </w:p>
        </w:tc>
        <w:tc>
          <w:tcPr>
            <w:tcW w:w="5677" w:type="dxa"/>
            <w:gridSpan w:val="2"/>
            <w:noWrap w:val="0"/>
            <w:vAlign w:val="center"/>
          </w:tcPr>
          <w:p>
            <w:pPr>
              <w:adjustRightInd w:val="0"/>
              <w:snapToGrid w:val="0"/>
              <w:rPr>
                <w:rFonts w:hint="eastAsia" w:ascii="宋体" w:hAnsi="宋体" w:eastAsia="宋体" w:cs="Times New Roman"/>
                <w:bCs/>
                <w:color w:val="auto"/>
                <w:sz w:val="21"/>
                <w:szCs w:val="21"/>
                <w:highlight w:val="none"/>
              </w:rPr>
            </w:pPr>
            <w:r>
              <w:rPr>
                <w:rFonts w:hint="eastAsia" w:ascii="宋体" w:hAnsi="宋体" w:eastAsia="宋体" w:cs="Times New Roman"/>
                <w:color w:val="auto"/>
                <w:sz w:val="21"/>
                <w:szCs w:val="21"/>
                <w:highlight w:val="none"/>
                <w:u w:val="single"/>
              </w:rPr>
              <w:t xml:space="preserve">  90  </w:t>
            </w:r>
            <w:r>
              <w:rPr>
                <w:rFonts w:hint="eastAsia" w:ascii="宋体" w:hAnsi="宋体" w:eastAsia="宋体" w:cs="Times New Roman"/>
                <w:color w:val="auto"/>
                <w:sz w:val="21"/>
                <w:szCs w:val="21"/>
                <w:highlight w:val="none"/>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第二章第20.1款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bCs/>
                <w:color w:val="auto"/>
                <w:sz w:val="21"/>
                <w:szCs w:val="21"/>
                <w:highlight w:val="none"/>
              </w:rPr>
              <w:t>响应</w:t>
            </w:r>
            <w:r>
              <w:rPr>
                <w:rFonts w:hint="eastAsia" w:ascii="宋体" w:hAnsi="宋体" w:eastAsia="宋体" w:cs="Times New Roman"/>
                <w:color w:val="auto"/>
                <w:sz w:val="21"/>
                <w:szCs w:val="21"/>
                <w:highlight w:val="none"/>
              </w:rPr>
              <w:t>文件份数</w:t>
            </w:r>
          </w:p>
        </w:tc>
        <w:tc>
          <w:tcPr>
            <w:tcW w:w="5677" w:type="dxa"/>
            <w:gridSpan w:val="2"/>
            <w:noWrap w:val="0"/>
            <w:vAlign w:val="center"/>
          </w:tcPr>
          <w:p>
            <w:pPr>
              <w:adjustRightInd w:val="0"/>
              <w:snapToGrid w:val="0"/>
              <w:rPr>
                <w:rFonts w:hint="eastAsia" w:ascii="宋体" w:hAnsi="宋体" w:eastAsia="宋体" w:cs="Times New Roman"/>
                <w:color w:val="auto"/>
                <w:sz w:val="21"/>
                <w:szCs w:val="21"/>
                <w:highlight w:val="none"/>
                <w:u w:val="single"/>
              </w:rPr>
            </w:pPr>
            <w:r>
              <w:rPr>
                <w:rFonts w:hint="eastAsia" w:ascii="宋体" w:hAnsi="宋体" w:eastAsia="宋体" w:cs="Times New Roman"/>
                <w:color w:val="auto"/>
                <w:sz w:val="21"/>
                <w:szCs w:val="21"/>
                <w:highlight w:val="none"/>
              </w:rPr>
              <w:t>正本一份，副本两份，电子文件（U盘）一份</w:t>
            </w:r>
            <w:r>
              <w:rPr>
                <w:rFonts w:hint="eastAsia" w:ascii="Calibri" w:hAnsi="宋体" w:eastAsia="宋体" w:cs="Times New Roman"/>
                <w:color w:val="auto"/>
                <w:sz w:val="21"/>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7" w:hRule="atLeast"/>
          <w:jc w:val="center"/>
        </w:trPr>
        <w:tc>
          <w:tcPr>
            <w:tcW w:w="9123" w:type="dxa"/>
            <w:gridSpan w:val="4"/>
            <w:noWrap w:val="0"/>
            <w:vAlign w:val="center"/>
          </w:tcPr>
          <w:p>
            <w:pPr>
              <w:adjustRightInd w:val="0"/>
              <w:snapToGrid w:val="0"/>
              <w:rPr>
                <w:rFonts w:hint="eastAsia" w:ascii="宋体" w:hAnsi="宋体" w:eastAsia="宋体" w:cs="Times New Roman"/>
                <w:b/>
                <w:bCs/>
                <w:color w:val="auto"/>
                <w:sz w:val="21"/>
                <w:szCs w:val="21"/>
                <w:highlight w:val="none"/>
              </w:rPr>
            </w:pPr>
            <w:r>
              <w:rPr>
                <w:rFonts w:hint="eastAsia" w:ascii="宋体" w:hAnsi="宋体" w:eastAsia="宋体" w:cs="Times New Roman"/>
                <w:b/>
                <w:color w:val="auto"/>
                <w:sz w:val="21"/>
                <w:szCs w:val="21"/>
                <w:highlight w:val="none"/>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第二章第21.2款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封套上应载明的信息</w:t>
            </w:r>
          </w:p>
        </w:tc>
        <w:tc>
          <w:tcPr>
            <w:tcW w:w="5677" w:type="dxa"/>
            <w:gridSpan w:val="2"/>
            <w:noWrap w:val="0"/>
            <w:vAlign w:val="center"/>
          </w:tcPr>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 xml:space="preserve">项目名称) 响应文件  </w:t>
            </w:r>
          </w:p>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采购代理机构编号：</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 xml:space="preserve">  </w:t>
            </w:r>
          </w:p>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供应商名称：</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 xml:space="preserve">     </w:t>
            </w:r>
          </w:p>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在</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年</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月</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日</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时</w:t>
            </w:r>
            <w:r>
              <w:rPr>
                <w:rFonts w:hint="eastAsia" w:ascii="宋体" w:hAnsi="宋体" w:eastAsia="宋体" w:cs="Times New Roman"/>
                <w:color w:val="auto"/>
                <w:sz w:val="21"/>
                <w:szCs w:val="21"/>
                <w:highlight w:val="none"/>
                <w:u w:val="single"/>
              </w:rPr>
              <w:t xml:space="preserve">  </w:t>
            </w:r>
            <w:r>
              <w:rPr>
                <w:rFonts w:hint="eastAsia" w:ascii="宋体" w:hAnsi="宋体" w:eastAsia="宋体" w:cs="Times New Roman"/>
                <w:color w:val="auto"/>
                <w:sz w:val="21"/>
                <w:szCs w:val="21"/>
                <w:highlight w:val="none"/>
              </w:rPr>
              <w:t>分之前不得启封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第二章第23.1款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响应文件的递交地点</w:t>
            </w:r>
          </w:p>
        </w:tc>
        <w:tc>
          <w:tcPr>
            <w:tcW w:w="5677" w:type="dxa"/>
            <w:gridSpan w:val="2"/>
            <w:noWrap w:val="0"/>
            <w:vAlign w:val="center"/>
          </w:tcPr>
          <w:p>
            <w:pPr>
              <w:adjustRightInd w:val="0"/>
              <w:snapToGrid w:val="0"/>
              <w:rPr>
                <w:rFonts w:hint="eastAsia" w:ascii="宋体" w:hAnsi="宋体" w:eastAsia="宋体" w:cs="Times New Roman"/>
                <w:b/>
                <w:bCs/>
                <w:color w:val="auto"/>
                <w:sz w:val="21"/>
                <w:szCs w:val="21"/>
                <w:highlight w:val="none"/>
              </w:rPr>
            </w:pPr>
            <w:r>
              <w:rPr>
                <w:rFonts w:hint="eastAsia" w:ascii="宋体" w:hAnsi="宋体" w:eastAsia="宋体" w:cs="Times New Roman"/>
                <w:color w:val="auto"/>
                <w:sz w:val="21"/>
                <w:szCs w:val="21"/>
                <w:highlight w:val="none"/>
              </w:rPr>
              <w:t>中采联合招标有限公司开标室（详细地址：长沙市开福区芙蓉中路一段88号天健金壹平英里H栋24楼）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 w:hRule="atLeast"/>
          <w:jc w:val="center"/>
        </w:trPr>
        <w:tc>
          <w:tcPr>
            <w:tcW w:w="9123" w:type="dxa"/>
            <w:gridSpan w:val="4"/>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宋体"/>
                <w:b/>
                <w:bCs/>
                <w:color w:val="auto"/>
                <w:sz w:val="21"/>
                <w:szCs w:val="21"/>
                <w:highlight w:val="none"/>
              </w:rPr>
              <w:t>五、响应文件的磋商与评审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第二章第31.2款</w:t>
            </w:r>
          </w:p>
        </w:tc>
        <w:tc>
          <w:tcPr>
            <w:tcW w:w="178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评审因素和标准</w:t>
            </w:r>
          </w:p>
        </w:tc>
        <w:tc>
          <w:tcPr>
            <w:tcW w:w="5677" w:type="dxa"/>
            <w:gridSpan w:val="2"/>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见附页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 w:hRule="atLeast"/>
          <w:jc w:val="center"/>
        </w:trPr>
        <w:tc>
          <w:tcPr>
            <w:tcW w:w="1658" w:type="dxa"/>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第二章第31.3款</w:t>
            </w:r>
          </w:p>
        </w:tc>
        <w:tc>
          <w:tcPr>
            <w:tcW w:w="1788"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技术、商务、价格</w:t>
            </w:r>
            <w:r>
              <w:rPr>
                <w:rFonts w:hint="eastAsia" w:ascii="宋体" w:hAnsi="宋体" w:eastAsia="宋体" w:cs="宋体"/>
                <w:color w:val="auto"/>
                <w:kern w:val="0"/>
                <w:sz w:val="21"/>
                <w:szCs w:val="21"/>
                <w:highlight w:val="none"/>
              </w:rPr>
              <w:t>得分或总得分</w:t>
            </w:r>
            <w:r>
              <w:rPr>
                <w:rFonts w:hint="eastAsia" w:ascii="宋体" w:hAnsi="宋体" w:eastAsia="宋体" w:cs="宋体"/>
                <w:color w:val="auto"/>
                <w:sz w:val="21"/>
                <w:szCs w:val="21"/>
                <w:highlight w:val="none"/>
              </w:rPr>
              <w:t>调整</w:t>
            </w:r>
          </w:p>
        </w:tc>
        <w:tc>
          <w:tcPr>
            <w:tcW w:w="5677" w:type="dxa"/>
            <w:gridSpan w:val="2"/>
            <w:noWrap w:val="0"/>
            <w:vAlign w:val="center"/>
          </w:tcPr>
          <w:p>
            <w:pPr>
              <w:adjustRightInd w:val="0"/>
              <w:snapToGrid w:val="0"/>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符合第二章第9.1款规定，按第二章第31.</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rPr>
              <w:t>款规定及本款分值调整：</w:t>
            </w:r>
          </w:p>
          <w:p>
            <w:pPr>
              <w:numPr>
                <w:ilvl w:val="0"/>
                <w:numId w:val="1"/>
              </w:numPr>
              <w:adjustRightInd w:val="0"/>
              <w:snapToGrid w:val="0"/>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节能产品：</w:t>
            </w:r>
          </w:p>
          <w:p>
            <w:pPr>
              <w:adjustRightInd w:val="0"/>
              <w:snapToGrid w:val="0"/>
              <w:spacing w:line="240" w:lineRule="atLeast"/>
              <w:ind w:firstLine="105" w:firstLineChars="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技术加分＝技术分值× 加分比例（比例见前附表第38.1项,下同）×（节能产品最后报价÷最后总报价）；</w:t>
            </w:r>
          </w:p>
          <w:p>
            <w:pPr>
              <w:adjustRightInd w:val="0"/>
              <w:snapToGrid w:val="0"/>
              <w:spacing w:line="240" w:lineRule="atLeast"/>
              <w:ind w:left="350" w:leftChars="50" w:hanging="210" w:hanging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价格加分＝价格分值×加分比例×（节能产品最后</w:t>
            </w:r>
          </w:p>
          <w:p>
            <w:pPr>
              <w:adjustRightInd w:val="0"/>
              <w:snapToGrid w:val="0"/>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报价÷最后总报价）。</w:t>
            </w:r>
          </w:p>
          <w:p>
            <w:pPr>
              <w:adjustRightInd w:val="0"/>
              <w:snapToGrid w:val="0"/>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2、环境标志产品：</w:t>
            </w:r>
          </w:p>
          <w:p>
            <w:pPr>
              <w:adjustRightInd w:val="0"/>
              <w:snapToGrid w:val="0"/>
              <w:spacing w:line="240" w:lineRule="atLeast"/>
              <w:ind w:firstLine="105" w:firstLineChars="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技术加分＝技术分值× 加分比例×（环境标志产品最后报价÷最后总报价）；</w:t>
            </w:r>
          </w:p>
          <w:p>
            <w:pPr>
              <w:adjustRightInd w:val="0"/>
              <w:snapToGrid w:val="0"/>
              <w:spacing w:line="240" w:lineRule="atLeast"/>
              <w:ind w:left="350" w:leftChars="50" w:hanging="210" w:hanging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价格加分＝价格分值×加分比例×（环境标志产品</w:t>
            </w:r>
          </w:p>
          <w:p>
            <w:pPr>
              <w:adjustRightInd w:val="0"/>
              <w:snapToGrid w:val="0"/>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最后报价÷最后总报价）。</w:t>
            </w:r>
          </w:p>
          <w:p>
            <w:pPr>
              <w:adjustRightInd w:val="0"/>
              <w:snapToGrid w:val="0"/>
              <w:spacing w:line="240" w:lineRule="atLeast"/>
              <w:ind w:left="210" w:hanging="210" w:hanging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3、两型产品：</w:t>
            </w:r>
          </w:p>
          <w:p>
            <w:pPr>
              <w:adjustRightInd w:val="0"/>
              <w:snapToGrid w:val="0"/>
              <w:spacing w:line="240" w:lineRule="atLeast"/>
              <w:ind w:firstLine="105" w:firstLineChars="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商务加分＝商务分值×加分比例×（两型产品最后报价÷最后总报价）；</w:t>
            </w:r>
          </w:p>
          <w:p>
            <w:pPr>
              <w:adjustRightInd w:val="0"/>
              <w:snapToGrid w:val="0"/>
              <w:spacing w:line="240" w:lineRule="atLeast"/>
              <w:ind w:firstLine="105" w:firstLineChars="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技术加分＝技术分值×加分比例×（两型产品最后报价÷最后总报价）；</w:t>
            </w:r>
          </w:p>
          <w:p>
            <w:pPr>
              <w:adjustRightInd w:val="0"/>
              <w:snapToGrid w:val="0"/>
              <w:spacing w:line="240" w:lineRule="atLeast"/>
              <w:ind w:left="350" w:leftChars="50" w:hanging="210" w:hanging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价格加分＝价格分值×加分比例×（两型产品最后</w:t>
            </w:r>
          </w:p>
          <w:p>
            <w:pPr>
              <w:adjustRightInd w:val="0"/>
              <w:snapToGrid w:val="0"/>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报价÷最后总报价）。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 w:hRule="atLeast"/>
          <w:jc w:val="center"/>
        </w:trPr>
        <w:tc>
          <w:tcPr>
            <w:tcW w:w="1658" w:type="dxa"/>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第二章第31.</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rPr>
              <w:t>款</w:t>
            </w:r>
          </w:p>
        </w:tc>
        <w:tc>
          <w:tcPr>
            <w:tcW w:w="1788" w:type="dxa"/>
            <w:noWrap w:val="0"/>
            <w:vAlign w:val="center"/>
          </w:tcPr>
          <w:p>
            <w:pPr>
              <w:adjustRightInd w:val="0"/>
              <w:snapToGrid w:val="0"/>
              <w:spacing w:before="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多处或部分获得政府采购政策优惠的计算方法</w:t>
            </w:r>
          </w:p>
        </w:tc>
        <w:tc>
          <w:tcPr>
            <w:tcW w:w="5677" w:type="dxa"/>
            <w:gridSpan w:val="2"/>
            <w:noWrap w:val="0"/>
            <w:vAlign w:val="center"/>
          </w:tcPr>
          <w:p>
            <w:pPr>
              <w:adjustRightInd w:val="0"/>
              <w:snapToGrid w:val="0"/>
              <w:spacing w:line="24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1、符合政府采购优先采购政策的，产品只能享受节能产品、环境标志产品、两型产品等产品优惠中的一项(由供应商在响应文件中选择并填报政策功能编码，评审时进行加分) 。</w:t>
            </w:r>
          </w:p>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2、供应商享受支持中小企业发展政策优惠的，可以与同时享受节能产品、环境标志产品、两型产品等产品优惠中的一项累加。</w:t>
            </w:r>
          </w:p>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3、同一项目中部分产品属于优先采购政策的，评审时只对该部分产品的报价实行价格扣除或加分（按该部分产品的报价占总报价的百分比调整）。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9123" w:type="dxa"/>
            <w:gridSpan w:val="4"/>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b/>
                <w:color w:val="auto"/>
                <w:sz w:val="21"/>
                <w:szCs w:val="21"/>
                <w:highlight w:val="none"/>
              </w:rPr>
              <w:t>六、成交结果信息公布与供应商质疑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第二章第37.1款、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财政部门指定的媒体</w:t>
            </w:r>
          </w:p>
        </w:tc>
        <w:tc>
          <w:tcPr>
            <w:tcW w:w="5677" w:type="dxa"/>
            <w:gridSpan w:val="2"/>
            <w:noWrap w:val="0"/>
            <w:vAlign w:val="center"/>
          </w:tcPr>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s="宋体"/>
                <w:color w:val="auto"/>
                <w:sz w:val="21"/>
                <w:szCs w:val="21"/>
                <w:highlight w:val="none"/>
              </w:rPr>
              <w:t>长沙政府采购网</w:t>
            </w:r>
            <w:r>
              <w:rPr>
                <w:rFonts w:ascii="宋体" w:hAnsi="宋体" w:eastAsia="宋体" w:cs="宋体"/>
                <w:color w:val="auto"/>
                <w:sz w:val="21"/>
                <w:szCs w:val="21"/>
                <w:highlight w:val="none"/>
              </w:rPr>
              <w:fldChar w:fldCharType="begin"/>
            </w:r>
            <w:r>
              <w:rPr>
                <w:rFonts w:ascii="宋体" w:hAnsi="宋体" w:eastAsia="宋体" w:cs="宋体"/>
                <w:color w:val="auto"/>
                <w:sz w:val="21"/>
                <w:szCs w:val="21"/>
                <w:highlight w:val="none"/>
              </w:rPr>
              <w:instrText xml:space="preserve"> HYPERLINK "http://changs.ccgp-hunan.gov.cn" </w:instrText>
            </w:r>
            <w:r>
              <w:rPr>
                <w:rFonts w:ascii="宋体" w:hAnsi="宋体" w:eastAsia="宋体" w:cs="宋体"/>
                <w:color w:val="auto"/>
                <w:sz w:val="21"/>
                <w:szCs w:val="21"/>
                <w:highlight w:val="none"/>
              </w:rPr>
              <w:fldChar w:fldCharType="separate"/>
            </w:r>
            <w:r>
              <w:rPr>
                <w:rStyle w:val="53"/>
                <w:rFonts w:ascii="宋体" w:hAnsi="宋体" w:cs="宋体"/>
                <w:color w:val="auto"/>
                <w:sz w:val="21"/>
                <w:szCs w:val="21"/>
                <w:highlight w:val="none"/>
              </w:rPr>
              <w:t>http://changs.ccgp-hunan.gov.cn</w:t>
            </w:r>
            <w:r>
              <w:rPr>
                <w:rFonts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、湖南智谷投资发展集团有限公司官方网站www.hnzhigu.cn</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第二章第39.3款</w:t>
            </w:r>
          </w:p>
        </w:tc>
        <w:tc>
          <w:tcPr>
            <w:tcW w:w="1788" w:type="dxa"/>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履约担保</w:t>
            </w:r>
          </w:p>
        </w:tc>
        <w:tc>
          <w:tcPr>
            <w:tcW w:w="5677" w:type="dxa"/>
            <w:gridSpan w:val="2"/>
            <w:noWrap w:val="0"/>
            <w:vAlign w:val="center"/>
          </w:tcPr>
          <w:p>
            <w:pPr>
              <w:adjustRightInd w:val="0"/>
              <w:snapToGrid w:val="0"/>
              <w:spacing w:before="156" w:beforeLines="5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 不要求提供</w:t>
            </w:r>
          </w:p>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 要求提供，履约担保的金额为：</w:t>
            </w:r>
            <w:r>
              <w:rPr>
                <w:rFonts w:hint="eastAsia" w:ascii="宋体" w:hAnsi="宋体" w:eastAsia="宋体" w:cs="Times New Roman"/>
                <w:color w:val="auto"/>
                <w:sz w:val="21"/>
                <w:szCs w:val="21"/>
                <w:highlight w:val="none"/>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123" w:type="dxa"/>
            <w:gridSpan w:val="4"/>
            <w:noWrap w:val="0"/>
            <w:vAlign w:val="center"/>
          </w:tcPr>
          <w:p>
            <w:pPr>
              <w:adjustRightInd w:val="0"/>
              <w:snapToGrid w:val="0"/>
              <w:rPr>
                <w:rFonts w:hint="eastAsia" w:ascii="宋体" w:hAnsi="宋体" w:eastAsia="宋体" w:cs="Times New Roman"/>
                <w:b/>
                <w:color w:val="auto"/>
                <w:sz w:val="21"/>
                <w:szCs w:val="21"/>
                <w:highlight w:val="none"/>
              </w:rPr>
            </w:pPr>
            <w:r>
              <w:rPr>
                <w:rFonts w:hint="eastAsia" w:ascii="宋体" w:hAnsi="宋体" w:eastAsia="宋体" w:cs="Times New Roman"/>
                <w:b/>
                <w:color w:val="auto"/>
                <w:sz w:val="21"/>
                <w:szCs w:val="21"/>
                <w:highlight w:val="none"/>
              </w:rPr>
              <w:t>七、其他规定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23" w:hRule="atLeast"/>
          <w:jc w:val="center"/>
        </w:trPr>
        <w:tc>
          <w:tcPr>
            <w:tcW w:w="1658" w:type="dxa"/>
            <w:noWrap w:val="0"/>
            <w:vAlign w:val="center"/>
          </w:tcPr>
          <w:p>
            <w:pPr>
              <w:adjustRightInd w:val="0"/>
              <w:snapToGrid w:val="0"/>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第二章第41.1款</w:t>
            </w:r>
          </w:p>
        </w:tc>
        <w:tc>
          <w:tcPr>
            <w:tcW w:w="1800" w:type="dxa"/>
            <w:gridSpan w:val="2"/>
            <w:noWrap w:val="0"/>
            <w:vAlign w:val="center"/>
          </w:tcPr>
          <w:p>
            <w:pPr>
              <w:adjustRightInd w:val="0"/>
              <w:snapToGrid w:val="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采购代理服务费</w:t>
            </w:r>
          </w:p>
        </w:tc>
        <w:tc>
          <w:tcPr>
            <w:tcW w:w="5665" w:type="dxa"/>
            <w:noWrap w:val="0"/>
            <w:vAlign w:val="center"/>
          </w:tcPr>
          <w:p>
            <w:pPr>
              <w:adjustRightInd w:val="0"/>
              <w:snapToGrid w:val="0"/>
              <w:rPr>
                <w:rFonts w:hint="eastAsia" w:ascii="宋体" w:hAnsi="宋体" w:cs="Times New Roman"/>
                <w:color w:val="auto"/>
                <w:sz w:val="21"/>
                <w:szCs w:val="21"/>
                <w:highlight w:val="none"/>
                <w:lang w:eastAsia="zh-CN"/>
              </w:rPr>
            </w:pPr>
            <w:r>
              <w:rPr>
                <w:rFonts w:hint="eastAsia" w:ascii="宋体" w:hAnsi="宋体" w:cs="Times New Roman"/>
                <w:color w:val="auto"/>
                <w:sz w:val="21"/>
                <w:szCs w:val="21"/>
                <w:highlight w:val="none"/>
                <w:lang w:val="en-US" w:eastAsia="zh-CN"/>
              </w:rPr>
              <w:t>代理机构</w:t>
            </w:r>
            <w:r>
              <w:rPr>
                <w:rFonts w:hint="eastAsia" w:ascii="宋体" w:hAnsi="宋体" w:cs="Times New Roman"/>
                <w:color w:val="auto"/>
                <w:sz w:val="21"/>
                <w:szCs w:val="21"/>
                <w:highlight w:val="none"/>
                <w:lang w:eastAsia="zh-CN"/>
              </w:rPr>
              <w:t>参照《国家计委关于印发【招标代理服务收费管理暂行办法】的通知》（计价格【</w:t>
            </w:r>
            <w:r>
              <w:rPr>
                <w:rFonts w:hint="eastAsia" w:ascii="宋体" w:hAnsi="宋体" w:cs="Times New Roman"/>
                <w:color w:val="auto"/>
                <w:sz w:val="21"/>
                <w:szCs w:val="21"/>
                <w:highlight w:val="none"/>
                <w:lang w:val="en-US" w:eastAsia="zh-CN"/>
              </w:rPr>
              <w:t>2002</w:t>
            </w:r>
            <w:r>
              <w:rPr>
                <w:rFonts w:hint="eastAsia" w:ascii="宋体" w:hAnsi="宋体" w:cs="Times New Roman"/>
                <w:color w:val="auto"/>
                <w:sz w:val="21"/>
                <w:szCs w:val="21"/>
                <w:highlight w:val="none"/>
                <w:lang w:eastAsia="zh-CN"/>
              </w:rPr>
              <w:t>】</w:t>
            </w:r>
            <w:r>
              <w:rPr>
                <w:rFonts w:hint="eastAsia" w:ascii="宋体" w:hAnsi="宋体" w:cs="Times New Roman"/>
                <w:color w:val="auto"/>
                <w:sz w:val="21"/>
                <w:szCs w:val="21"/>
                <w:highlight w:val="none"/>
                <w:lang w:val="en-US" w:eastAsia="zh-CN"/>
              </w:rPr>
              <w:t>1980号</w:t>
            </w:r>
            <w:r>
              <w:rPr>
                <w:rFonts w:hint="eastAsia" w:ascii="宋体" w:hAnsi="宋体" w:cs="Times New Roman"/>
                <w:color w:val="auto"/>
                <w:sz w:val="21"/>
                <w:szCs w:val="21"/>
                <w:highlight w:val="none"/>
                <w:lang w:eastAsia="zh-CN"/>
              </w:rPr>
              <w:t>）的规定</w:t>
            </w:r>
            <w:r>
              <w:rPr>
                <w:rFonts w:hint="eastAsia" w:ascii="宋体" w:hAnsi="宋体" w:cs="Times New Roman"/>
                <w:color w:val="auto"/>
                <w:sz w:val="21"/>
                <w:szCs w:val="21"/>
                <w:highlight w:val="none"/>
                <w:lang w:val="en-US" w:eastAsia="zh-CN"/>
              </w:rPr>
              <w:t>向中标（成交）人</w:t>
            </w:r>
            <w:r>
              <w:rPr>
                <w:rFonts w:hint="eastAsia" w:ascii="宋体" w:hAnsi="宋体" w:cs="Times New Roman"/>
                <w:color w:val="auto"/>
                <w:sz w:val="21"/>
                <w:szCs w:val="21"/>
                <w:highlight w:val="none"/>
                <w:lang w:eastAsia="zh-CN"/>
              </w:rPr>
              <w:t>收取代理服务费。</w:t>
            </w:r>
          </w:p>
          <w:p>
            <w:pPr>
              <w:adjustRightInd w:val="0"/>
              <w:snapToGrid w:val="0"/>
              <w:spacing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采购代理服务费汇至: 中采联合招标有限公司</w:t>
            </w:r>
          </w:p>
          <w:p>
            <w:pPr>
              <w:adjustRightInd w:val="0"/>
              <w:snapToGrid w:val="0"/>
              <w:spacing w:line="360" w:lineRule="auto"/>
              <w:rPr>
                <w:rFonts w:hint="eastAsia" w:ascii="宋体" w:hAnsi="宋体" w:eastAsia="宋体"/>
                <w:color w:val="auto"/>
                <w:sz w:val="21"/>
                <w:szCs w:val="21"/>
                <w:highlight w:val="none"/>
              </w:rPr>
            </w:pPr>
            <w:r>
              <w:rPr>
                <w:rFonts w:hint="eastAsia" w:ascii="宋体" w:hAnsi="宋体" w:eastAsia="宋体"/>
                <w:color w:val="auto"/>
                <w:sz w:val="21"/>
                <w:szCs w:val="21"/>
                <w:highlight w:val="none"/>
              </w:rPr>
              <w:t xml:space="preserve">开 户 行：长沙银行浏阳河支行 </w:t>
            </w:r>
          </w:p>
          <w:p>
            <w:pPr>
              <w:adjustRightInd w:val="0"/>
              <w:snapToGrid w:val="0"/>
              <w:spacing w:line="360" w:lineRule="auto"/>
              <w:rPr>
                <w:rFonts w:hint="eastAsia"/>
                <w:color w:val="auto"/>
                <w:lang w:val="en-US" w:eastAsia="zh-CN"/>
              </w:rPr>
            </w:pPr>
            <w:r>
              <w:rPr>
                <w:rFonts w:hint="eastAsia" w:ascii="宋体" w:hAnsi="宋体" w:eastAsia="宋体"/>
                <w:color w:val="auto"/>
                <w:sz w:val="21"/>
                <w:szCs w:val="21"/>
                <w:highlight w:val="none"/>
              </w:rPr>
              <w:t>银行账号：800193308308012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658" w:type="dxa"/>
            <w:noWrap w:val="0"/>
            <w:vAlign w:val="center"/>
          </w:tcPr>
          <w:p>
            <w:pPr>
              <w:adjustRightInd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第二章第42.1款</w:t>
            </w:r>
          </w:p>
        </w:tc>
        <w:tc>
          <w:tcPr>
            <w:tcW w:w="1800" w:type="dxa"/>
            <w:gridSpan w:val="2"/>
            <w:noWrap w:val="0"/>
            <w:vAlign w:val="center"/>
          </w:tcPr>
          <w:p>
            <w:pPr>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其它规定</w:t>
            </w:r>
          </w:p>
        </w:tc>
        <w:tc>
          <w:tcPr>
            <w:tcW w:w="5665" w:type="dxa"/>
            <w:noWrap w:val="0"/>
            <w:vAlign w:val="center"/>
          </w:tcPr>
          <w:p>
            <w:pPr>
              <w:adjustRightInd w:val="0"/>
              <w:snapToGrid w:val="0"/>
              <w:spacing w:before="156" w:beforeLines="50" w:line="3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根据《关于修改招标采购文件范本及明确事项的通知（三）》长采管[2016]12号要求，对列入失信被执行人、重大税收违法案件当事人名单、政府采购严重违法失信行为记录名单及其他不符合《中华人民共和国政府采购法》第二十二条规定条件的供应商，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adjustRightInd w:val="0"/>
              <w:snapToGrid w:val="0"/>
              <w:spacing w:before="156" w:beforeLines="50" w:line="34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adjustRightInd w:val="0"/>
              <w:snapToGrid w:val="0"/>
              <w:spacing w:before="156" w:beforeLines="50" w:line="3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1、信用信息查询的查询渠道：“信用中国”网站（www.creditchina.gov.cn）、中国政府采购网（www.ccgp.gov.cn）。</w:t>
            </w:r>
          </w:p>
          <w:p>
            <w:pPr>
              <w:adjustRightInd w:val="0"/>
              <w:snapToGrid w:val="0"/>
              <w:spacing w:before="156" w:beforeLines="50" w:line="3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2、信用信息查询的截止时点：至本项目投标截止时间止。</w:t>
            </w:r>
          </w:p>
          <w:p>
            <w:pPr>
              <w:adjustRightInd w:val="0"/>
              <w:snapToGrid w:val="0"/>
              <w:spacing w:before="156" w:beforeLines="50" w:line="3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3、信用信息查询记录的具体方式：由采购人或采购代理机构在规定的查询渠道进行查询。</w:t>
            </w:r>
          </w:p>
          <w:p>
            <w:pPr>
              <w:adjustRightInd w:val="0"/>
              <w:snapToGrid w:val="0"/>
              <w:spacing w:before="156" w:beforeLines="50" w:line="340" w:lineRule="exac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4、信用信息查询记录证据留存的具体方式：查询记录的网上打印件。</w:t>
            </w:r>
          </w:p>
          <w:p>
            <w:pPr>
              <w:adjustRightInd w:val="0"/>
              <w:snapToGrid w:val="0"/>
              <w:spacing w:before="156" w:beforeLines="50" w:line="340" w:lineRule="exact"/>
              <w:rPr>
                <w:rFonts w:hint="eastAsia" w:ascii="宋体" w:hAnsi="宋体" w:eastAsia="宋体" w:cs="宋体"/>
                <w:color w:val="auto"/>
                <w:sz w:val="21"/>
                <w:szCs w:val="21"/>
                <w:highlight w:val="none"/>
              </w:rPr>
            </w:pPr>
            <w:r>
              <w:rPr>
                <w:rFonts w:hint="eastAsia" w:ascii="宋体" w:hAnsi="宋体" w:eastAsia="宋体" w:cs="宋体"/>
                <w:b w:val="0"/>
                <w:bCs/>
                <w:color w:val="auto"/>
                <w:sz w:val="21"/>
                <w:szCs w:val="21"/>
                <w:highlight w:val="none"/>
              </w:rPr>
              <w:t>5、信用信息的使用规则：信用信息查询后交由评标委员会评定。留存备查。</w:t>
            </w:r>
          </w:p>
        </w:tc>
      </w:tr>
    </w:tbl>
    <w:p>
      <w:pPr>
        <w:adjustRightInd w:val="0"/>
        <w:snapToGrid w:val="0"/>
        <w:spacing w:line="360" w:lineRule="auto"/>
        <w:rPr>
          <w:rFonts w:hint="eastAsia" w:ascii="宋体" w:hAnsi="宋体"/>
          <w:b/>
          <w:bCs/>
          <w:color w:val="auto"/>
          <w:sz w:val="21"/>
          <w:szCs w:val="21"/>
          <w:highlight w:val="none"/>
        </w:rPr>
      </w:pPr>
    </w:p>
    <w:p>
      <w:pPr>
        <w:rPr>
          <w:rFonts w:hint="eastAsia" w:ascii="宋体" w:hAnsi="宋体"/>
          <w:b/>
          <w:bCs/>
          <w:color w:val="auto"/>
          <w:sz w:val="21"/>
          <w:szCs w:val="21"/>
          <w:highlight w:val="none"/>
        </w:rPr>
      </w:pPr>
      <w:r>
        <w:rPr>
          <w:rFonts w:hint="eastAsia" w:ascii="宋体" w:hAnsi="宋体"/>
          <w:b/>
          <w:bCs/>
          <w:color w:val="auto"/>
          <w:sz w:val="21"/>
          <w:szCs w:val="21"/>
          <w:highlight w:val="none"/>
        </w:rPr>
        <w:br w:type="page"/>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附页1</w:t>
      </w:r>
    </w:p>
    <w:p>
      <w:pPr>
        <w:adjustRightInd w:val="0"/>
        <w:snapToGrid w:val="0"/>
        <w:spacing w:line="360" w:lineRule="auto"/>
        <w:jc w:val="center"/>
        <w:rPr>
          <w:rFonts w:hint="eastAsia" w:ascii="宋体" w:hAnsi="宋体" w:cs="宋体"/>
          <w:b/>
          <w:bCs/>
          <w:color w:val="auto"/>
          <w:sz w:val="21"/>
          <w:szCs w:val="21"/>
          <w:highlight w:val="none"/>
        </w:rPr>
      </w:pPr>
      <w:r>
        <w:rPr>
          <w:rFonts w:hint="eastAsia" w:ascii="宋体" w:hAnsi="宋体" w:cs="宋体"/>
          <w:b/>
          <w:bCs/>
          <w:color w:val="auto"/>
          <w:kern w:val="0"/>
          <w:sz w:val="21"/>
          <w:szCs w:val="21"/>
          <w:highlight w:val="none"/>
        </w:rPr>
        <w:t>湖南省政府采购支持中小企业融资合作银行及联系人名单</w:t>
      </w:r>
    </w:p>
    <w:tbl>
      <w:tblPr>
        <w:tblStyle w:val="44"/>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853"/>
        <w:gridCol w:w="1141"/>
        <w:gridCol w:w="3233"/>
        <w:gridCol w:w="247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2853" w:type="dxa"/>
            <w:noWrap w:val="0"/>
            <w:vAlign w:val="center"/>
          </w:tcPr>
          <w:p>
            <w:pPr>
              <w:adjustRightInd w:val="0"/>
              <w:snapToGrid w:val="0"/>
              <w:spacing w:before="156" w:beforeLines="50" w:line="360" w:lineRule="auto"/>
              <w:jc w:val="center"/>
              <w:rPr>
                <w:rFonts w:hint="eastAsia" w:ascii="宋体" w:hAnsi="宋体" w:eastAsia="宋体" w:cs="宋体"/>
                <w:b/>
                <w:color w:val="auto"/>
                <w:sz w:val="21"/>
                <w:szCs w:val="21"/>
                <w:highlight w:val="none"/>
              </w:rPr>
            </w:pPr>
            <w:r>
              <w:rPr>
                <w:rFonts w:hint="eastAsia" w:ascii="宋体" w:hAnsi="宋体" w:eastAsia="宋体" w:cs="宋体"/>
                <w:b/>
                <w:bCs/>
                <w:color w:val="auto"/>
                <w:kern w:val="0"/>
                <w:sz w:val="21"/>
                <w:szCs w:val="21"/>
                <w:highlight w:val="none"/>
              </w:rPr>
              <w:t>银行名称</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b/>
                <w:color w:val="auto"/>
                <w:sz w:val="21"/>
                <w:szCs w:val="21"/>
                <w:highlight w:val="none"/>
              </w:rPr>
            </w:pPr>
            <w:r>
              <w:rPr>
                <w:rFonts w:hint="eastAsia" w:ascii="宋体" w:hAnsi="宋体" w:eastAsia="宋体" w:cs="宋体"/>
                <w:b/>
                <w:bCs/>
                <w:color w:val="auto"/>
                <w:kern w:val="0"/>
                <w:sz w:val="21"/>
                <w:szCs w:val="21"/>
                <w:highlight w:val="none"/>
              </w:rPr>
              <w:t>联系人</w:t>
            </w:r>
          </w:p>
        </w:tc>
        <w:tc>
          <w:tcPr>
            <w:tcW w:w="3233" w:type="dxa"/>
            <w:noWrap w:val="0"/>
            <w:vAlign w:val="center"/>
          </w:tcPr>
          <w:p>
            <w:pPr>
              <w:adjustRightInd w:val="0"/>
              <w:snapToGrid w:val="0"/>
              <w:spacing w:before="156" w:beforeLines="50" w:line="360" w:lineRule="auto"/>
              <w:jc w:val="center"/>
              <w:rPr>
                <w:rFonts w:hint="eastAsia" w:ascii="宋体" w:hAnsi="宋体" w:eastAsia="宋体" w:cs="宋体"/>
                <w:b/>
                <w:color w:val="auto"/>
                <w:sz w:val="21"/>
                <w:szCs w:val="21"/>
                <w:highlight w:val="none"/>
              </w:rPr>
            </w:pPr>
            <w:r>
              <w:rPr>
                <w:rFonts w:hint="eastAsia" w:ascii="宋体" w:hAnsi="宋体" w:eastAsia="宋体" w:cs="宋体"/>
                <w:b/>
                <w:bCs/>
                <w:color w:val="auto"/>
                <w:kern w:val="0"/>
                <w:sz w:val="21"/>
                <w:szCs w:val="21"/>
                <w:highlight w:val="none"/>
              </w:rPr>
              <w:t>职 务</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b/>
                <w:color w:val="auto"/>
                <w:sz w:val="21"/>
                <w:szCs w:val="21"/>
                <w:highlight w:val="none"/>
              </w:rPr>
            </w:pPr>
            <w:r>
              <w:rPr>
                <w:rFonts w:hint="eastAsia" w:ascii="宋体" w:hAnsi="宋体" w:eastAsia="宋体" w:cs="宋体"/>
                <w:b/>
                <w:bCs/>
                <w:color w:val="auto"/>
                <w:kern w:val="0"/>
                <w:sz w:val="21"/>
                <w:szCs w:val="21"/>
                <w:highlight w:val="none"/>
              </w:rPr>
              <w:t>联系电话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交通银行湖南省分行</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刘  波</w:t>
            </w:r>
          </w:p>
        </w:tc>
        <w:tc>
          <w:tcPr>
            <w:tcW w:w="323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名城支行客户经理</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13874998873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交通银行湖南省分行</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肖勇光</w:t>
            </w:r>
          </w:p>
        </w:tc>
        <w:tc>
          <w:tcPr>
            <w:tcW w:w="323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分行高级经理</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13755192647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中国民生银行长沙分行</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黄飞燕</w:t>
            </w:r>
          </w:p>
        </w:tc>
        <w:tc>
          <w:tcPr>
            <w:tcW w:w="323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营业部总经理</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13308463468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中国民生银行长沙分行</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蒋寒奇</w:t>
            </w:r>
          </w:p>
        </w:tc>
        <w:tc>
          <w:tcPr>
            <w:tcW w:w="323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营业部中小企业客户经理</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13548982975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兴业银行长沙分行</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刘栅延</w:t>
            </w:r>
          </w:p>
        </w:tc>
        <w:tc>
          <w:tcPr>
            <w:tcW w:w="323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支行行长</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13337316405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兴业银行长沙分行</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蒋修远</w:t>
            </w:r>
          </w:p>
        </w:tc>
        <w:tc>
          <w:tcPr>
            <w:tcW w:w="323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支行客户经理</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18607310422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中国光大银行长沙分行</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邓永胜</w:t>
            </w:r>
          </w:p>
        </w:tc>
        <w:tc>
          <w:tcPr>
            <w:tcW w:w="323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岳麓支行副行长</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13617319650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8" w:hRule="atLeast"/>
          <w:jc w:val="center"/>
        </w:trPr>
        <w:tc>
          <w:tcPr>
            <w:tcW w:w="285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中信银行长沙分行</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蔡学军</w:t>
            </w:r>
          </w:p>
        </w:tc>
        <w:tc>
          <w:tcPr>
            <w:tcW w:w="323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公司银行部负责人</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13055167195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285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中信银行长沙分行</w:t>
            </w:r>
          </w:p>
        </w:tc>
        <w:tc>
          <w:tcPr>
            <w:tcW w:w="1141"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宋学农</w:t>
            </w:r>
          </w:p>
        </w:tc>
        <w:tc>
          <w:tcPr>
            <w:tcW w:w="3233" w:type="dxa"/>
            <w:noWrap w:val="0"/>
            <w:vAlign w:val="center"/>
          </w:tcPr>
          <w:p>
            <w:pPr>
              <w:adjustRightInd w:val="0"/>
              <w:snapToGrid w:val="0"/>
              <w:spacing w:before="156" w:beforeLines="50" w:line="360" w:lineRule="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银行部综合管理部副总经理</w:t>
            </w:r>
          </w:p>
        </w:tc>
        <w:tc>
          <w:tcPr>
            <w:tcW w:w="2473" w:type="dxa"/>
            <w:noWrap w:val="0"/>
            <w:vAlign w:val="center"/>
          </w:tcPr>
          <w:p>
            <w:pPr>
              <w:adjustRightInd w:val="0"/>
              <w:snapToGrid w:val="0"/>
              <w:spacing w:before="156" w:beforeLines="5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0731-845822141</w:t>
            </w:r>
          </w:p>
        </w:tc>
      </w:tr>
    </w:tbl>
    <w:p>
      <w:pPr>
        <w:adjustRightInd w:val="0"/>
        <w:snapToGrid w:val="0"/>
        <w:spacing w:line="360" w:lineRule="auto"/>
        <w:rPr>
          <w:rFonts w:hint="eastAsia" w:ascii="宋体" w:hAnsi="宋体"/>
          <w:b/>
          <w:bCs/>
          <w:color w:val="auto"/>
          <w:sz w:val="21"/>
          <w:szCs w:val="21"/>
          <w:highlight w:val="none"/>
        </w:rPr>
      </w:pP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附页2</w:t>
      </w:r>
    </w:p>
    <w:p>
      <w:pPr>
        <w:adjustRightInd w:val="0"/>
        <w:snapToGrid w:val="0"/>
        <w:spacing w:line="360" w:lineRule="auto"/>
        <w:jc w:val="center"/>
        <w:rPr>
          <w:rFonts w:hint="eastAsia" w:ascii="宋体" w:hAnsi="宋体"/>
          <w:b/>
          <w:bCs/>
          <w:color w:val="auto"/>
          <w:sz w:val="21"/>
          <w:szCs w:val="21"/>
          <w:highlight w:val="none"/>
        </w:rPr>
      </w:pPr>
      <w:r>
        <w:rPr>
          <w:rFonts w:hint="eastAsia" w:ascii="宋体" w:hAnsi="宋体" w:cs="宋体"/>
          <w:b/>
          <w:bCs/>
          <w:color w:val="auto"/>
          <w:kern w:val="0"/>
          <w:sz w:val="21"/>
          <w:szCs w:val="21"/>
          <w:highlight w:val="none"/>
        </w:rPr>
        <w:t>湖南省政府采购信用担保试点工作的</w:t>
      </w:r>
      <w:r>
        <w:rPr>
          <w:rFonts w:hint="eastAsia" w:ascii="宋体" w:hAnsi="宋体"/>
          <w:b/>
          <w:color w:val="auto"/>
          <w:sz w:val="21"/>
          <w:szCs w:val="21"/>
          <w:highlight w:val="none"/>
        </w:rPr>
        <w:t>信用担保机构名单</w:t>
      </w:r>
    </w:p>
    <w:tbl>
      <w:tblPr>
        <w:tblStyle w:val="44"/>
        <w:tblW w:w="0" w:type="auto"/>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320"/>
        <w:gridCol w:w="1080"/>
        <w:gridCol w:w="378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4320" w:type="dxa"/>
            <w:noWrap w:val="0"/>
            <w:vAlign w:val="center"/>
          </w:tcPr>
          <w:p>
            <w:pPr>
              <w:adjustRightInd w:val="0"/>
              <w:snapToGrid w:val="0"/>
              <w:spacing w:line="240" w:lineRule="exact"/>
              <w:jc w:val="center"/>
              <w:rPr>
                <w:rFonts w:hint="eastAsia" w:ascii="宋体" w:hAnsi="宋体" w:eastAsia="宋体" w:cs="宋体"/>
                <w:b/>
                <w:bCs/>
                <w:color w:val="auto"/>
                <w:kern w:val="0"/>
                <w:sz w:val="21"/>
                <w:szCs w:val="21"/>
                <w:highlight w:val="none"/>
              </w:rPr>
            </w:pPr>
            <w:r>
              <w:rPr>
                <w:rFonts w:hint="eastAsia" w:ascii="宋体" w:hAnsi="宋体" w:eastAsia="宋体" w:cs="Times New Roman"/>
                <w:b/>
                <w:color w:val="auto"/>
                <w:sz w:val="21"/>
                <w:szCs w:val="21"/>
                <w:highlight w:val="none"/>
              </w:rPr>
              <w:t>信用担保机构</w:t>
            </w:r>
          </w:p>
        </w:tc>
        <w:tc>
          <w:tcPr>
            <w:tcW w:w="1080" w:type="dxa"/>
            <w:noWrap w:val="0"/>
            <w:vAlign w:val="center"/>
          </w:tcPr>
          <w:p>
            <w:pPr>
              <w:adjustRightInd w:val="0"/>
              <w:snapToGrid w:val="0"/>
              <w:spacing w:line="240" w:lineRule="exact"/>
              <w:jc w:val="center"/>
              <w:rPr>
                <w:rFonts w:hint="eastAsia" w:ascii="宋体" w:hAnsi="宋体" w:eastAsia="宋体" w:cs="宋体"/>
                <w:b/>
                <w:bCs/>
                <w:color w:val="auto"/>
                <w:kern w:val="0"/>
                <w:sz w:val="21"/>
                <w:szCs w:val="21"/>
                <w:highlight w:val="none"/>
              </w:rPr>
            </w:pPr>
            <w:r>
              <w:rPr>
                <w:rFonts w:hint="eastAsia" w:ascii="宋体" w:hAnsi="宋体" w:eastAsia="宋体" w:cs="Times New Roman"/>
                <w:b/>
                <w:color w:val="auto"/>
                <w:sz w:val="21"/>
                <w:szCs w:val="21"/>
                <w:highlight w:val="none"/>
              </w:rPr>
              <w:t>联系人</w:t>
            </w:r>
          </w:p>
        </w:tc>
        <w:tc>
          <w:tcPr>
            <w:tcW w:w="3780" w:type="dxa"/>
            <w:noWrap w:val="0"/>
            <w:vAlign w:val="center"/>
          </w:tcPr>
          <w:p>
            <w:pPr>
              <w:adjustRightInd w:val="0"/>
              <w:snapToGrid w:val="0"/>
              <w:spacing w:line="240" w:lineRule="exact"/>
              <w:jc w:val="center"/>
              <w:rPr>
                <w:rFonts w:hint="eastAsia" w:ascii="宋体" w:hAnsi="宋体" w:eastAsia="宋体" w:cs="宋体"/>
                <w:b/>
                <w:bCs/>
                <w:color w:val="auto"/>
                <w:kern w:val="0"/>
                <w:sz w:val="21"/>
                <w:szCs w:val="21"/>
                <w:highlight w:val="none"/>
              </w:rPr>
            </w:pPr>
            <w:r>
              <w:rPr>
                <w:rFonts w:hint="eastAsia" w:ascii="宋体" w:hAnsi="宋体" w:eastAsia="宋体" w:cs="Times New Roman"/>
                <w:b/>
                <w:color w:val="auto"/>
                <w:sz w:val="21"/>
                <w:szCs w:val="21"/>
                <w:highlight w:val="none"/>
              </w:rPr>
              <w:t>联系电话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4320" w:type="dxa"/>
            <w:noWrap w:val="0"/>
            <w:vAlign w:val="center"/>
          </w:tcPr>
          <w:p>
            <w:pPr>
              <w:adjustRightInd w:val="0"/>
              <w:snapToGrid w:val="0"/>
              <w:spacing w:line="360" w:lineRule="auto"/>
              <w:jc w:val="left"/>
              <w:rPr>
                <w:rFonts w:hint="eastAsia" w:ascii="宋体" w:hAnsi="宋体" w:eastAsia="宋体" w:cs="宋体"/>
                <w:bCs/>
                <w:color w:val="auto"/>
                <w:kern w:val="0"/>
                <w:sz w:val="21"/>
                <w:szCs w:val="21"/>
                <w:highlight w:val="none"/>
              </w:rPr>
            </w:pPr>
            <w:r>
              <w:rPr>
                <w:rFonts w:hint="eastAsia" w:ascii="宋体" w:hAnsi="宋体" w:eastAsia="宋体" w:cs="Times New Roman"/>
                <w:color w:val="auto"/>
                <w:sz w:val="21"/>
                <w:szCs w:val="21"/>
                <w:highlight w:val="none"/>
              </w:rPr>
              <w:t>中国投资担保公司</w:t>
            </w:r>
          </w:p>
        </w:tc>
        <w:tc>
          <w:tcPr>
            <w:tcW w:w="1080" w:type="dxa"/>
            <w:noWrap w:val="0"/>
            <w:vAlign w:val="center"/>
          </w:tcPr>
          <w:p>
            <w:pPr>
              <w:adjustRightInd w:val="0"/>
              <w:snapToGrid w:val="0"/>
              <w:spacing w:line="360" w:lineRule="auto"/>
              <w:jc w:val="center"/>
              <w:rPr>
                <w:rFonts w:hint="eastAsia" w:ascii="宋体" w:hAnsi="宋体" w:eastAsia="宋体" w:cs="宋体"/>
                <w:bCs/>
                <w:color w:val="auto"/>
                <w:kern w:val="0"/>
                <w:sz w:val="21"/>
                <w:szCs w:val="21"/>
                <w:highlight w:val="none"/>
              </w:rPr>
            </w:pPr>
            <w:r>
              <w:rPr>
                <w:rFonts w:hint="eastAsia" w:ascii="宋体" w:hAnsi="宋体" w:eastAsia="宋体" w:cs="Times New Roman"/>
                <w:color w:val="auto"/>
                <w:sz w:val="21"/>
                <w:szCs w:val="21"/>
                <w:highlight w:val="none"/>
              </w:rPr>
              <w:t>何  嘉</w:t>
            </w:r>
          </w:p>
        </w:tc>
        <w:tc>
          <w:tcPr>
            <w:tcW w:w="3780" w:type="dxa"/>
            <w:noWrap w:val="0"/>
            <w:vAlign w:val="center"/>
          </w:tcPr>
          <w:p>
            <w:pPr>
              <w:adjustRightInd w:val="0"/>
              <w:snapToGrid w:val="0"/>
              <w:spacing w:line="360" w:lineRule="auto"/>
              <w:jc w:val="left"/>
              <w:rPr>
                <w:rFonts w:hint="eastAsia" w:ascii="宋体" w:hAnsi="宋体" w:eastAsia="宋体" w:cs="宋体"/>
                <w:bCs/>
                <w:color w:val="auto"/>
                <w:kern w:val="0"/>
                <w:sz w:val="21"/>
                <w:szCs w:val="21"/>
                <w:highlight w:val="none"/>
              </w:rPr>
            </w:pPr>
            <w:r>
              <w:rPr>
                <w:rFonts w:hint="eastAsia" w:ascii="宋体" w:hAnsi="宋体" w:eastAsia="宋体" w:cs="Times New Roman"/>
                <w:color w:val="auto"/>
                <w:sz w:val="21"/>
                <w:szCs w:val="21"/>
                <w:highlight w:val="none"/>
              </w:rPr>
              <w:t>010-88822659/13718642233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5" w:hRule="atLeast"/>
        </w:trPr>
        <w:tc>
          <w:tcPr>
            <w:tcW w:w="4320" w:type="dxa"/>
            <w:noWrap w:val="0"/>
            <w:vAlign w:val="center"/>
          </w:tcPr>
          <w:p>
            <w:pPr>
              <w:adjustRightInd w:val="0"/>
              <w:snapToGrid w:val="0"/>
              <w:spacing w:line="360" w:lineRule="auto"/>
              <w:jc w:val="left"/>
              <w:rPr>
                <w:rFonts w:hint="eastAsia" w:ascii="宋体" w:hAnsi="宋体" w:eastAsia="宋体" w:cs="宋体"/>
                <w:bCs/>
                <w:color w:val="auto"/>
                <w:kern w:val="0"/>
                <w:sz w:val="21"/>
                <w:szCs w:val="21"/>
                <w:highlight w:val="none"/>
              </w:rPr>
            </w:pPr>
            <w:r>
              <w:rPr>
                <w:rFonts w:hint="eastAsia" w:ascii="宋体" w:hAnsi="宋体" w:eastAsia="宋体" w:cs="Times New Roman"/>
                <w:color w:val="auto"/>
                <w:sz w:val="21"/>
                <w:szCs w:val="21"/>
                <w:highlight w:val="none"/>
              </w:rPr>
              <w:t>湖南省中小企业信用担保有限责任公司</w:t>
            </w:r>
          </w:p>
        </w:tc>
        <w:tc>
          <w:tcPr>
            <w:tcW w:w="1080" w:type="dxa"/>
            <w:noWrap w:val="0"/>
            <w:vAlign w:val="center"/>
          </w:tcPr>
          <w:p>
            <w:pPr>
              <w:adjustRightInd w:val="0"/>
              <w:snapToGrid w:val="0"/>
              <w:spacing w:line="360" w:lineRule="auto"/>
              <w:jc w:val="center"/>
              <w:rPr>
                <w:rFonts w:hint="eastAsia" w:ascii="宋体" w:hAnsi="宋体" w:eastAsia="宋体" w:cs="宋体"/>
                <w:bCs/>
                <w:color w:val="auto"/>
                <w:kern w:val="0"/>
                <w:sz w:val="21"/>
                <w:szCs w:val="21"/>
                <w:highlight w:val="none"/>
              </w:rPr>
            </w:pPr>
            <w:r>
              <w:rPr>
                <w:rFonts w:hint="eastAsia" w:ascii="宋体" w:hAnsi="宋体" w:eastAsia="宋体" w:cs="Times New Roman"/>
                <w:color w:val="auto"/>
                <w:sz w:val="21"/>
                <w:szCs w:val="21"/>
                <w:highlight w:val="none"/>
              </w:rPr>
              <w:t>蔡建雄</w:t>
            </w:r>
          </w:p>
        </w:tc>
        <w:tc>
          <w:tcPr>
            <w:tcW w:w="3780" w:type="dxa"/>
            <w:noWrap w:val="0"/>
            <w:vAlign w:val="center"/>
          </w:tcPr>
          <w:p>
            <w:pPr>
              <w:adjustRightInd w:val="0"/>
              <w:snapToGrid w:val="0"/>
              <w:spacing w:line="360" w:lineRule="auto"/>
              <w:jc w:val="left"/>
              <w:rPr>
                <w:rFonts w:hint="eastAsia" w:ascii="宋体" w:hAnsi="宋体" w:eastAsia="宋体" w:cs="宋体"/>
                <w:bCs/>
                <w:color w:val="auto"/>
                <w:kern w:val="0"/>
                <w:sz w:val="21"/>
                <w:szCs w:val="21"/>
                <w:highlight w:val="none"/>
              </w:rPr>
            </w:pPr>
            <w:r>
              <w:rPr>
                <w:rFonts w:hint="eastAsia" w:ascii="宋体" w:hAnsi="宋体" w:eastAsia="宋体" w:cs="Times New Roman"/>
                <w:color w:val="auto"/>
                <w:sz w:val="21"/>
                <w:szCs w:val="21"/>
                <w:highlight w:val="none"/>
              </w:rPr>
              <w:t>0731-84172390-201/15573193555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98" w:hRule="atLeast"/>
        </w:trPr>
        <w:tc>
          <w:tcPr>
            <w:tcW w:w="4320" w:type="dxa"/>
            <w:noWrap w:val="0"/>
            <w:vAlign w:val="center"/>
          </w:tcPr>
          <w:p>
            <w:pPr>
              <w:adjustRightInd w:val="0"/>
              <w:snapToGrid w:val="0"/>
              <w:spacing w:line="360" w:lineRule="auto"/>
              <w:rPr>
                <w:rFonts w:hint="eastAsia" w:ascii="宋体" w:hAnsi="宋体" w:eastAsia="宋体" w:cs="宋体"/>
                <w:color w:val="auto"/>
                <w:sz w:val="21"/>
                <w:szCs w:val="21"/>
                <w:highlight w:val="none"/>
              </w:rPr>
            </w:pPr>
            <w:r>
              <w:rPr>
                <w:rFonts w:hint="eastAsia" w:ascii="宋体" w:hAnsi="宋体" w:eastAsia="宋体" w:cs="Times New Roman"/>
                <w:color w:val="auto"/>
                <w:sz w:val="21"/>
                <w:szCs w:val="21"/>
                <w:highlight w:val="none"/>
              </w:rPr>
              <w:t>湖南农业信用担保有限公司</w:t>
            </w:r>
          </w:p>
        </w:tc>
        <w:tc>
          <w:tcPr>
            <w:tcW w:w="1080" w:type="dxa"/>
            <w:noWrap w:val="0"/>
            <w:vAlign w:val="center"/>
          </w:tcPr>
          <w:p>
            <w:pPr>
              <w:adjustRightInd w:val="0"/>
              <w:snapToGrid w:val="0"/>
              <w:spacing w:line="360" w:lineRule="auto"/>
              <w:jc w:val="center"/>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彭  球</w:t>
            </w:r>
          </w:p>
          <w:p>
            <w:pPr>
              <w:adjustRightInd w:val="0"/>
              <w:snapToGrid w:val="0"/>
              <w:spacing w:line="360" w:lineRule="auto"/>
              <w:jc w:val="center"/>
              <w:rPr>
                <w:rFonts w:hint="eastAsia" w:ascii="宋体" w:hAnsi="宋体" w:eastAsia="宋体" w:cs="宋体"/>
                <w:bCs/>
                <w:color w:val="auto"/>
                <w:kern w:val="0"/>
                <w:sz w:val="21"/>
                <w:szCs w:val="21"/>
                <w:highlight w:val="none"/>
              </w:rPr>
            </w:pPr>
            <w:r>
              <w:rPr>
                <w:rFonts w:hint="eastAsia" w:ascii="宋体" w:hAnsi="宋体" w:eastAsia="宋体" w:cs="Times New Roman"/>
                <w:color w:val="auto"/>
                <w:sz w:val="21"/>
                <w:szCs w:val="21"/>
                <w:highlight w:val="none"/>
              </w:rPr>
              <w:t>邓霞英</w:t>
            </w:r>
          </w:p>
        </w:tc>
        <w:tc>
          <w:tcPr>
            <w:tcW w:w="3780" w:type="dxa"/>
            <w:noWrap w:val="0"/>
            <w:vAlign w:val="center"/>
          </w:tcPr>
          <w:p>
            <w:pPr>
              <w:adjustRightInd w:val="0"/>
              <w:snapToGrid w:val="0"/>
              <w:spacing w:line="360" w:lineRule="auto"/>
              <w:jc w:val="left"/>
              <w:rPr>
                <w:rFonts w:hint="eastAsia" w:ascii="宋体" w:hAnsi="宋体" w:eastAsia="宋体" w:cs="宋体"/>
                <w:bCs/>
                <w:color w:val="auto"/>
                <w:kern w:val="0"/>
                <w:sz w:val="21"/>
                <w:szCs w:val="21"/>
                <w:highlight w:val="none"/>
              </w:rPr>
            </w:pPr>
            <w:r>
              <w:rPr>
                <w:rFonts w:hint="eastAsia" w:ascii="宋体" w:hAnsi="宋体" w:eastAsia="宋体" w:cs="Times New Roman"/>
                <w:color w:val="auto"/>
                <w:sz w:val="21"/>
                <w:szCs w:val="21"/>
                <w:highlight w:val="none"/>
              </w:rPr>
              <w:t>0731-89761702/13875980906 0731-89761706/13574125851</w:t>
            </w:r>
          </w:p>
        </w:tc>
      </w:tr>
    </w:tbl>
    <w:p>
      <w:pPr>
        <w:adjustRightInd w:val="0"/>
        <w:snapToGrid w:val="0"/>
        <w:spacing w:line="360" w:lineRule="auto"/>
        <w:rPr>
          <w:rFonts w:ascii="宋体" w:hAnsi="宋体"/>
          <w:b/>
          <w:color w:val="auto"/>
          <w:sz w:val="21"/>
          <w:szCs w:val="21"/>
          <w:highlight w:val="none"/>
        </w:rPr>
        <w:sectPr>
          <w:footerReference r:id="rId11" w:type="default"/>
          <w:pgSz w:w="11906" w:h="16838"/>
          <w:pgMar w:top="1474" w:right="1418" w:bottom="1418" w:left="1474" w:header="992" w:footer="992" w:gutter="0"/>
          <w:pgNumType w:fmt="decimal"/>
          <w:cols w:space="720" w:num="1"/>
          <w:docGrid w:type="lines" w:linePitch="312" w:charSpace="0"/>
        </w:sectPr>
      </w:pP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附页3</w:t>
      </w:r>
    </w:p>
    <w:p>
      <w:pPr>
        <w:adjustRightInd w:val="0"/>
        <w:snapToGrid w:val="0"/>
        <w:spacing w:line="360" w:lineRule="auto"/>
        <w:jc w:val="center"/>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履约担保函</w:t>
      </w:r>
    </w:p>
    <w:p>
      <w:pPr>
        <w:adjustRightInd w:val="0"/>
        <w:snapToGrid w:val="0"/>
        <w:spacing w:line="360" w:lineRule="auto"/>
        <w:rPr>
          <w:rFonts w:hint="eastAsia" w:ascii="宋体" w:hAnsi="宋体" w:cs="宋体"/>
          <w:color w:val="auto"/>
          <w:kern w:val="0"/>
          <w:sz w:val="21"/>
          <w:szCs w:val="21"/>
          <w:highlight w:val="none"/>
        </w:rPr>
      </w:pPr>
    </w:p>
    <w:p>
      <w:pPr>
        <w:adjustRightInd w:val="0"/>
        <w:snapToGrid w:val="0"/>
        <w:spacing w:line="360" w:lineRule="auto"/>
        <w:rPr>
          <w:rFonts w:hint="eastAsia" w:ascii="宋体" w:hAnsi="宋体" w:cs="宋体"/>
          <w:b/>
          <w:color w:val="auto"/>
          <w:kern w:val="0"/>
          <w:sz w:val="21"/>
          <w:szCs w:val="21"/>
          <w:highlight w:val="none"/>
        </w:rPr>
      </w:pPr>
      <w:r>
        <w:rPr>
          <w:rFonts w:hint="eastAsia" w:ascii="宋体" w:hAnsi="宋体" w:cs="宋体"/>
          <w:color w:val="auto"/>
          <w:kern w:val="0"/>
          <w:sz w:val="21"/>
          <w:szCs w:val="21"/>
          <w:highlight w:val="none"/>
        </w:rPr>
        <w:t>编号：</w:t>
      </w:r>
      <w:r>
        <w:rPr>
          <w:rFonts w:hint="eastAsia" w:ascii="宋体" w:hAnsi="宋体" w:cs="宋体"/>
          <w:color w:val="auto"/>
          <w:kern w:val="0"/>
          <w:sz w:val="21"/>
          <w:szCs w:val="21"/>
          <w:highlight w:val="none"/>
          <w:u w:val="single"/>
        </w:rPr>
        <w:t xml:space="preserve">              </w:t>
      </w:r>
    </w:p>
    <w:p>
      <w:pPr>
        <w:adjustRightInd w:val="0"/>
        <w:snapToGrid w:val="0"/>
        <w:spacing w:line="360" w:lineRule="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 </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（采购人）： </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鉴于你方与</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（以下简称供应商）于</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年</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月</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日签定编号为</w:t>
      </w:r>
      <w:r>
        <w:rPr>
          <w:rFonts w:hint="eastAsia" w:ascii="宋体" w:hAnsi="宋体" w:cs="宋体"/>
          <w:color w:val="auto"/>
          <w:kern w:val="0"/>
          <w:sz w:val="21"/>
          <w:szCs w:val="21"/>
          <w:highlight w:val="none"/>
          <w:u w:val="single"/>
        </w:rPr>
        <w:t xml:space="preserve">           2</w:t>
      </w:r>
      <w:r>
        <w:rPr>
          <w:rFonts w:hint="eastAsia" w:ascii="宋体" w:hAnsi="宋体" w:cs="宋体"/>
          <w:color w:val="auto"/>
          <w:kern w:val="0"/>
          <w:sz w:val="21"/>
          <w:szCs w:val="21"/>
          <w:highlight w:val="none"/>
        </w:rPr>
        <w:t>的《</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采购合同》（以下简称主合同），且依据该合同的约定，供应商应在</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年</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月</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日前向你方交纳履约保证金，且可以履约担保函的形式交纳履约保证金。应供应商的申请，我方以保证的方式向你方提供如下履约保证金担保：</w:t>
      </w:r>
    </w:p>
    <w:p>
      <w:pPr>
        <w:adjustRightInd w:val="0"/>
        <w:snapToGrid w:val="0"/>
        <w:spacing w:line="360" w:lineRule="auto"/>
        <w:ind w:firstLine="422" w:firstLineChars="200"/>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一、保证责任的情形及保证金额</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（一）在供应商出现下列情形之一时，我方承担保证责任：</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1．将中标项目转让给他人，或者在投标文件中未说明，且未经采购人同意，将中标项目分包给他人的；</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2．主合同约定的应当缴纳履约保证金的情形: </w:t>
      </w:r>
    </w:p>
    <w:p>
      <w:pPr>
        <w:adjustRightInd w:val="0"/>
        <w:snapToGrid w:val="0"/>
        <w:spacing w:line="360" w:lineRule="auto"/>
        <w:ind w:firstLine="420" w:firstLineChars="200"/>
        <w:rPr>
          <w:rFonts w:hint="eastAsia" w:ascii="宋体" w:hAnsi="宋体" w:cs="宋体"/>
          <w:b/>
          <w:color w:val="auto"/>
          <w:kern w:val="0"/>
          <w:sz w:val="21"/>
          <w:szCs w:val="21"/>
          <w:highlight w:val="none"/>
        </w:rPr>
      </w:pPr>
      <w:r>
        <w:rPr>
          <w:rFonts w:hint="eastAsia" w:ascii="宋体" w:hAnsi="宋体" w:cs="宋体"/>
          <w:color w:val="auto"/>
          <w:kern w:val="0"/>
          <w:sz w:val="21"/>
          <w:szCs w:val="21"/>
          <w:highlight w:val="none"/>
        </w:rPr>
        <w:t xml:space="preserve">（1）未按主合同约定的质量、数量和期限供应货物/提供服务/完成工程的； </w:t>
      </w:r>
    </w:p>
    <w:p>
      <w:pPr>
        <w:adjustRightInd w:val="0"/>
        <w:snapToGrid w:val="0"/>
        <w:spacing w:line="360" w:lineRule="auto"/>
        <w:ind w:firstLine="420" w:firstLineChars="200"/>
        <w:rPr>
          <w:rFonts w:hint="eastAsia" w:ascii="宋体" w:hAnsi="宋体" w:cs="宋体"/>
          <w:color w:val="auto"/>
          <w:kern w:val="0"/>
          <w:sz w:val="21"/>
          <w:szCs w:val="21"/>
          <w:highlight w:val="none"/>
          <w:u w:val="single"/>
        </w:rPr>
      </w:pPr>
      <w:r>
        <w:rPr>
          <w:rFonts w:hint="eastAsia" w:ascii="宋体" w:hAnsi="宋体" w:cs="宋体"/>
          <w:color w:val="auto"/>
          <w:kern w:val="0"/>
          <w:sz w:val="21"/>
          <w:szCs w:val="21"/>
          <w:highlight w:val="none"/>
        </w:rPr>
        <w:t>（2）</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（二）我方的保证范围是主合同约定的合同价款总额的</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%数额为</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元（大写</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），币种为</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。（即主合同履约保证金金额）</w:t>
      </w:r>
    </w:p>
    <w:p>
      <w:pPr>
        <w:adjustRightInd w:val="0"/>
        <w:snapToGrid w:val="0"/>
        <w:spacing w:line="360" w:lineRule="auto"/>
        <w:ind w:firstLine="422" w:firstLineChars="200"/>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 xml:space="preserve">二、保证的方式及保证期间 </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我方保证的方式为：连带责任保证。 </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我方保证的期间为：自本合同生效之日起至供应商按照主合同约定的供货/完工期限届满后</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日内。</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如果供应商未按主合同约定向贵方供应货物/提供服务/完成工程的，由我方在保证金额内向你方支付上述款项。 </w:t>
      </w:r>
    </w:p>
    <w:p>
      <w:pPr>
        <w:adjustRightInd w:val="0"/>
        <w:snapToGrid w:val="0"/>
        <w:spacing w:line="360" w:lineRule="auto"/>
        <w:ind w:firstLine="422" w:firstLineChars="200"/>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三、承担保证责任的程序</w:t>
      </w:r>
    </w:p>
    <w:p>
      <w:pPr>
        <w:adjustRightInd w:val="0"/>
        <w:snapToGrid w:val="0"/>
        <w:spacing w:line="360" w:lineRule="auto"/>
        <w:ind w:firstLine="420" w:firstLineChars="200"/>
        <w:rPr>
          <w:rFonts w:hint="eastAsia" w:ascii="宋体" w:hAnsi="宋体" w:cs="宋体"/>
          <w:b/>
          <w:color w:val="auto"/>
          <w:kern w:val="0"/>
          <w:sz w:val="21"/>
          <w:szCs w:val="21"/>
          <w:highlight w:val="none"/>
        </w:rPr>
      </w:pPr>
      <w:r>
        <w:rPr>
          <w:rFonts w:hint="eastAsia" w:ascii="宋体" w:hAnsi="宋体" w:cs="宋体"/>
          <w:color w:val="auto"/>
          <w:kern w:val="0"/>
          <w:sz w:val="21"/>
          <w:szCs w:val="21"/>
          <w:highlight w:val="none"/>
        </w:rPr>
        <w:t xml:space="preserve">1．你方要求我方承担保证责任的，应在本保函保证期间内向我方发出书面索赔通知。索赔通知应写明要求索赔的金额，支付款项应到达的帐号。并附有证明供应商违约事实的证明材料。 </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如果你方与供应商因货物质量问题产生争议，你方还需同时提供</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部门出具的质量检测报告，或经诉讼（仲裁）程序裁决后的裁决书、调解书，本保证人即按照检测结果或裁决书、调解书决定是否承担保证责任。</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2．我方收到你方的书面索赔通知及相应证明材料，在</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工作日内进行核定后按照本保函的承诺承担保证责任。</w:t>
      </w:r>
    </w:p>
    <w:p>
      <w:pPr>
        <w:adjustRightInd w:val="0"/>
        <w:snapToGrid w:val="0"/>
        <w:spacing w:line="360" w:lineRule="auto"/>
        <w:ind w:firstLine="422" w:firstLineChars="200"/>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四、保证责任的终止</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1．保证期间届满你方未向我方书面主张保证责任的，自保证期间届满次日起，我方保证责任自动终止。保证期间届满前，主合同约定的货物\工程\服务全部验收合格的，自验收合格日起，我方保证责任自动终止。</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2．我方按照本保函向你方履行了保证责任后，自我方向你方支付款项（支付款项从我方账户划出）之日起，保证责任即终止。</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3．按照法律法规的规定或出现应终止我方保证责任的其它情形的，我方在本保函项下的保证责任亦终止。</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adjustRightInd w:val="0"/>
        <w:snapToGrid w:val="0"/>
        <w:spacing w:line="360" w:lineRule="auto"/>
        <w:ind w:firstLine="422" w:firstLineChars="200"/>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五、免责条款</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1．因你方违反主合同约定致使供应商不能履行义务的，我方不承担保证责任。</w:t>
      </w:r>
    </w:p>
    <w:p>
      <w:pPr>
        <w:adjustRightInd w:val="0"/>
        <w:snapToGrid w:val="0"/>
        <w:spacing w:line="360" w:lineRule="auto"/>
        <w:ind w:firstLine="420" w:firstLineChars="200"/>
        <w:rPr>
          <w:rFonts w:hint="eastAsia" w:ascii="宋体" w:hAnsi="宋体" w:cs="宋体"/>
          <w:b/>
          <w:color w:val="auto"/>
          <w:kern w:val="0"/>
          <w:sz w:val="21"/>
          <w:szCs w:val="21"/>
          <w:highlight w:val="none"/>
        </w:rPr>
      </w:pPr>
      <w:r>
        <w:rPr>
          <w:rFonts w:hint="eastAsia" w:ascii="宋体" w:hAnsi="宋体" w:cs="宋体"/>
          <w:color w:val="auto"/>
          <w:kern w:val="0"/>
          <w:sz w:val="21"/>
          <w:szCs w:val="21"/>
          <w:highlight w:val="none"/>
        </w:rPr>
        <w:t>2．依照法律法规的规定或你方与供应商的另行约定，全部或者部分免除供应商应缴纳的保证金义务的，我方亦免除相应的保证责任。</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3．因不可抗力造成供应商不能履行供货义务的，我方不承担保证责任。</w:t>
      </w:r>
    </w:p>
    <w:p>
      <w:pPr>
        <w:adjustRightInd w:val="0"/>
        <w:snapToGrid w:val="0"/>
        <w:spacing w:line="360" w:lineRule="auto"/>
        <w:ind w:firstLine="422" w:firstLineChars="200"/>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六、争议的解决</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因本保函发生的纠纷，由你我双方协商解决，协商不成的，通过诉讼程序解决，诉讼管辖地法院为</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法院。</w:t>
      </w:r>
    </w:p>
    <w:p>
      <w:pPr>
        <w:adjustRightInd w:val="0"/>
        <w:snapToGrid w:val="0"/>
        <w:spacing w:line="360" w:lineRule="auto"/>
        <w:ind w:firstLine="422" w:firstLineChars="200"/>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 xml:space="preserve">七、保函的生效 </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本保函自我方加盖公章之日起生效。 </w:t>
      </w:r>
    </w:p>
    <w:p>
      <w:pPr>
        <w:tabs>
          <w:tab w:val="left" w:pos="2850"/>
        </w:tabs>
        <w:adjustRightInd w:val="0"/>
        <w:snapToGrid w:val="0"/>
        <w:spacing w:line="360" w:lineRule="auto"/>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 </w:t>
      </w:r>
      <w:r>
        <w:rPr>
          <w:rFonts w:ascii="宋体" w:hAnsi="宋体" w:cs="宋体"/>
          <w:color w:val="auto"/>
          <w:kern w:val="0"/>
          <w:sz w:val="21"/>
          <w:szCs w:val="21"/>
          <w:highlight w:val="none"/>
        </w:rPr>
        <w:tab/>
      </w:r>
      <w:r>
        <w:rPr>
          <w:rFonts w:hint="eastAsia" w:ascii="宋体" w:hAnsi="宋体" w:cs="宋体"/>
          <w:color w:val="auto"/>
          <w:kern w:val="0"/>
          <w:sz w:val="21"/>
          <w:szCs w:val="21"/>
          <w:highlight w:val="none"/>
        </w:rPr>
        <w:t xml:space="preserve">          保证人：（公章） </w:t>
      </w:r>
    </w:p>
    <w:p>
      <w:pPr>
        <w:adjustRightInd w:val="0"/>
        <w:snapToGrid w:val="0"/>
        <w:spacing w:line="360" w:lineRule="auto"/>
        <w:rPr>
          <w:rFonts w:ascii="宋体" w:hAnsi="宋体" w:cs="宋体"/>
          <w:color w:val="auto"/>
          <w:kern w:val="0"/>
          <w:sz w:val="21"/>
          <w:szCs w:val="21"/>
          <w:highlight w:val="none"/>
        </w:rPr>
        <w:sectPr>
          <w:pgSz w:w="11906" w:h="16838"/>
          <w:pgMar w:top="1440" w:right="1531" w:bottom="1440" w:left="1531" w:header="992" w:footer="992" w:gutter="0"/>
          <w:pgNumType w:fmt="decimal"/>
          <w:cols w:space="720" w:num="1"/>
          <w:docGrid w:type="lines" w:linePitch="312" w:charSpace="0"/>
        </w:sectPr>
      </w:pPr>
      <w:r>
        <w:rPr>
          <w:rFonts w:hint="eastAsia" w:ascii="宋体" w:hAnsi="宋体" w:cs="宋体"/>
          <w:color w:val="auto"/>
          <w:kern w:val="0"/>
          <w:sz w:val="21"/>
          <w:szCs w:val="21"/>
          <w:highlight w:val="none"/>
        </w:rPr>
        <w:t xml:space="preserve">                                         </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 年</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月</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 日</w:t>
      </w:r>
    </w:p>
    <w:p>
      <w:pPr>
        <w:pStyle w:val="6"/>
        <w:jc w:val="both"/>
        <w:rPr>
          <w:rFonts w:hint="eastAsia" w:ascii="宋体" w:hAnsi="宋体" w:cs="宋体"/>
          <w:b w:val="0"/>
          <w:bCs w:val="0"/>
          <w:color w:val="auto"/>
          <w:sz w:val="21"/>
          <w:szCs w:val="21"/>
          <w:highlight w:val="none"/>
        </w:rPr>
      </w:pPr>
      <w:r>
        <w:rPr>
          <w:rFonts w:hint="eastAsia" w:ascii="宋体" w:hAnsi="宋体" w:cs="宋体"/>
          <w:color w:val="auto"/>
          <w:sz w:val="21"/>
          <w:szCs w:val="21"/>
          <w:highlight w:val="none"/>
        </w:rPr>
        <w:t>附页4</w:t>
      </w:r>
      <w:r>
        <w:rPr>
          <w:rFonts w:hint="eastAsia" w:ascii="宋体" w:hAnsi="宋体" w:cs="宋体"/>
          <w:b w:val="0"/>
          <w:bCs w:val="0"/>
          <w:color w:val="auto"/>
          <w:sz w:val="21"/>
          <w:szCs w:val="21"/>
          <w:highlight w:val="none"/>
        </w:rPr>
        <w:t>：</w:t>
      </w:r>
      <w:r>
        <w:rPr>
          <w:rFonts w:hint="eastAsia" w:ascii="宋体" w:hAnsi="宋体" w:cs="宋体"/>
          <w:color w:val="auto"/>
          <w:kern w:val="0"/>
          <w:sz w:val="21"/>
          <w:szCs w:val="21"/>
          <w:highlight w:val="none"/>
        </w:rPr>
        <w:t>评审因素和标准</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本采购项目采用综合评分法，满分100分。</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一、评审计分权值：</w:t>
      </w:r>
    </w:p>
    <w:tbl>
      <w:tblPr>
        <w:tblStyle w:val="44"/>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707"/>
        <w:gridCol w:w="542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9" w:hRule="atLeast"/>
          <w:jc w:val="center"/>
        </w:trPr>
        <w:tc>
          <w:tcPr>
            <w:tcW w:w="3707" w:type="dxa"/>
            <w:tcBorders>
              <w:top w:val="double" w:color="auto" w:sz="4" w:space="0"/>
              <w:left w:val="double" w:color="auto" w:sz="4" w:space="0"/>
              <w:bottom w:val="single" w:color="auto" w:sz="6" w:space="0"/>
              <w:right w:val="single" w:color="auto" w:sz="6" w:space="0"/>
            </w:tcBorders>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具体项目</w:t>
            </w:r>
          </w:p>
        </w:tc>
        <w:tc>
          <w:tcPr>
            <w:tcW w:w="5428" w:type="dxa"/>
            <w:tcBorders>
              <w:top w:val="double" w:color="auto" w:sz="4" w:space="0"/>
              <w:left w:val="single" w:color="auto" w:sz="6" w:space="0"/>
              <w:bottom w:val="single" w:color="auto" w:sz="6" w:space="0"/>
              <w:right w:val="double" w:color="auto" w:sz="4" w:space="0"/>
            </w:tcBorders>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权值范围(评标因素权重)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3707"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报价部分</w:t>
            </w:r>
          </w:p>
        </w:tc>
        <w:tc>
          <w:tcPr>
            <w:tcW w:w="5428"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spacing w:line="360" w:lineRule="auto"/>
              <w:jc w:val="center"/>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F1=0.</w:t>
            </w:r>
            <w:r>
              <w:rPr>
                <w:rFonts w:hint="eastAsia" w:ascii="宋体" w:hAnsi="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0" w:hRule="atLeast"/>
          <w:jc w:val="center"/>
        </w:trPr>
        <w:tc>
          <w:tcPr>
            <w:tcW w:w="3707" w:type="dxa"/>
            <w:tcBorders>
              <w:top w:val="single" w:color="auto" w:sz="6" w:space="0"/>
              <w:left w:val="double" w:color="auto" w:sz="4" w:space="0"/>
              <w:bottom w:val="single" w:color="auto" w:sz="6" w:space="0"/>
              <w:right w:val="single" w:color="auto" w:sz="6" w:space="0"/>
            </w:tcBorders>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技术部分</w:t>
            </w:r>
          </w:p>
        </w:tc>
        <w:tc>
          <w:tcPr>
            <w:tcW w:w="5428" w:type="dxa"/>
            <w:tcBorders>
              <w:top w:val="single" w:color="auto" w:sz="6" w:space="0"/>
              <w:left w:val="single" w:color="auto" w:sz="6" w:space="0"/>
              <w:bottom w:val="single" w:color="auto" w:sz="6" w:space="0"/>
              <w:right w:val="double" w:color="auto" w:sz="4" w:space="0"/>
            </w:tcBorders>
            <w:noWrap w:val="0"/>
            <w:vAlign w:val="center"/>
          </w:tcPr>
          <w:p>
            <w:pPr>
              <w:adjustRightInd w:val="0"/>
              <w:snapToGrid w:val="0"/>
              <w:spacing w:line="360" w:lineRule="auto"/>
              <w:jc w:val="center"/>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rPr>
              <w:t>F2=0.</w:t>
            </w:r>
            <w:r>
              <w:rPr>
                <w:rFonts w:hint="eastAsia" w:ascii="宋体" w:hAnsi="宋体" w:cs="宋体"/>
                <w:color w:val="auto"/>
                <w:kern w:val="0"/>
                <w:sz w:val="21"/>
                <w:szCs w:val="21"/>
                <w:highlight w:val="none"/>
                <w:lang w:val="en-US" w:eastAsia="zh-CN"/>
              </w:rPr>
              <w:t>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3707" w:type="dxa"/>
            <w:tcBorders>
              <w:top w:val="single" w:color="auto" w:sz="6" w:space="0"/>
              <w:left w:val="double" w:color="auto" w:sz="4" w:space="0"/>
              <w:bottom w:val="double" w:color="auto" w:sz="4" w:space="0"/>
              <w:right w:val="single" w:color="auto" w:sz="6" w:space="0"/>
            </w:tcBorders>
            <w:noWrap w:val="0"/>
            <w:vAlign w:val="center"/>
          </w:tcPr>
          <w:p>
            <w:pPr>
              <w:adjustRightInd w:val="0"/>
              <w:snapToGrid w:val="0"/>
              <w:spacing w:line="360" w:lineRule="auto"/>
              <w:jc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商务部分</w:t>
            </w:r>
          </w:p>
        </w:tc>
        <w:tc>
          <w:tcPr>
            <w:tcW w:w="5428" w:type="dxa"/>
            <w:tcBorders>
              <w:top w:val="single" w:color="auto" w:sz="6" w:space="0"/>
              <w:left w:val="single" w:color="auto" w:sz="6" w:space="0"/>
              <w:bottom w:val="double" w:color="auto" w:sz="4" w:space="0"/>
              <w:right w:val="double" w:color="auto" w:sz="4" w:space="0"/>
            </w:tcBorders>
            <w:noWrap w:val="0"/>
            <w:vAlign w:val="center"/>
          </w:tcPr>
          <w:p>
            <w:pPr>
              <w:adjustRightInd w:val="0"/>
              <w:snapToGrid w:val="0"/>
              <w:spacing w:line="360" w:lineRule="auto"/>
              <w:jc w:val="center"/>
              <w:rPr>
                <w:rFonts w:hint="default" w:ascii="宋体" w:hAnsi="宋体" w:eastAsia="宋体" w:cs="宋体"/>
                <w:color w:val="auto"/>
                <w:kern w:val="0"/>
                <w:sz w:val="21"/>
                <w:szCs w:val="21"/>
                <w:highlight w:val="none"/>
                <w:lang w:val="en-US"/>
              </w:rPr>
            </w:pPr>
            <w:r>
              <w:rPr>
                <w:rFonts w:hint="eastAsia" w:ascii="宋体" w:hAnsi="宋体" w:eastAsia="宋体" w:cs="宋体"/>
                <w:color w:val="auto"/>
                <w:kern w:val="0"/>
                <w:sz w:val="21"/>
                <w:szCs w:val="21"/>
                <w:highlight w:val="none"/>
              </w:rPr>
              <w:t>F3=0.</w:t>
            </w:r>
            <w:r>
              <w:rPr>
                <w:rFonts w:hint="eastAsia" w:ascii="宋体" w:hAnsi="宋体" w:cs="宋体"/>
                <w:color w:val="auto"/>
                <w:kern w:val="0"/>
                <w:sz w:val="21"/>
                <w:szCs w:val="21"/>
                <w:highlight w:val="none"/>
                <w:lang w:val="en-US" w:eastAsia="zh-CN"/>
              </w:rPr>
              <w:t>25</w:t>
            </w:r>
          </w:p>
        </w:tc>
      </w:tr>
    </w:tbl>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二、评分细则：</w:t>
      </w:r>
    </w:p>
    <w:tbl>
      <w:tblPr>
        <w:tblStyle w:val="44"/>
        <w:tblW w:w="5635"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30"/>
        <w:gridCol w:w="1124"/>
        <w:gridCol w:w="1323"/>
        <w:gridCol w:w="70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11" w:type="pct"/>
            <w:noWrap w:val="0"/>
            <w:tcMar>
              <w:top w:w="15" w:type="dxa"/>
              <w:left w:w="15" w:type="dxa"/>
              <w:right w:w="15" w:type="dxa"/>
            </w:tcMar>
            <w:vAlign w:val="center"/>
          </w:tcPr>
          <w:p>
            <w:pPr>
              <w:widowControl/>
              <w:spacing w:line="360" w:lineRule="exact"/>
              <w:jc w:val="center"/>
              <w:textAlignment w:val="center"/>
              <w:rPr>
                <w:rFonts w:hint="eastAsia" w:ascii="宋体" w:hAnsi="宋体" w:cs="宋体"/>
                <w:b/>
                <w:bCs/>
                <w:color w:val="auto"/>
                <w:sz w:val="21"/>
                <w:szCs w:val="21"/>
                <w:highlight w:val="none"/>
              </w:rPr>
            </w:pPr>
            <w:r>
              <w:rPr>
                <w:rFonts w:hint="eastAsia" w:ascii="宋体" w:hAnsi="宋体" w:cs="宋体"/>
                <w:b/>
                <w:bCs/>
                <w:color w:val="auto"/>
                <w:kern w:val="0"/>
                <w:sz w:val="21"/>
                <w:szCs w:val="21"/>
                <w:highlight w:val="none"/>
                <w:lang w:bidi="ar"/>
              </w:rPr>
              <w:t>序号</w:t>
            </w:r>
          </w:p>
        </w:tc>
        <w:tc>
          <w:tcPr>
            <w:tcW w:w="555" w:type="pct"/>
            <w:noWrap w:val="0"/>
            <w:tcMar>
              <w:top w:w="15" w:type="dxa"/>
              <w:left w:w="15" w:type="dxa"/>
              <w:right w:w="15" w:type="dxa"/>
            </w:tcMar>
            <w:vAlign w:val="center"/>
          </w:tcPr>
          <w:p>
            <w:pPr>
              <w:widowControl/>
              <w:spacing w:line="360" w:lineRule="exact"/>
              <w:jc w:val="center"/>
              <w:textAlignment w:val="center"/>
              <w:rPr>
                <w:rFonts w:hint="eastAsia" w:ascii="宋体" w:hAnsi="宋体" w:cs="宋体"/>
                <w:b/>
                <w:bCs/>
                <w:color w:val="auto"/>
                <w:kern w:val="0"/>
                <w:sz w:val="21"/>
                <w:szCs w:val="21"/>
                <w:highlight w:val="none"/>
                <w:lang w:bidi="ar"/>
              </w:rPr>
            </w:pPr>
            <w:r>
              <w:rPr>
                <w:rFonts w:hint="eastAsia" w:ascii="宋体" w:hAnsi="宋体" w:cs="宋体"/>
                <w:b/>
                <w:bCs/>
                <w:color w:val="auto"/>
                <w:kern w:val="0"/>
                <w:sz w:val="21"/>
                <w:szCs w:val="21"/>
                <w:highlight w:val="none"/>
                <w:lang w:bidi="ar"/>
              </w:rPr>
              <w:t>评审</w:t>
            </w:r>
          </w:p>
          <w:p>
            <w:pPr>
              <w:widowControl/>
              <w:spacing w:line="360" w:lineRule="exact"/>
              <w:jc w:val="center"/>
              <w:textAlignment w:val="center"/>
              <w:rPr>
                <w:rFonts w:hint="eastAsia" w:ascii="宋体" w:hAnsi="宋体" w:cs="宋体"/>
                <w:b/>
                <w:bCs/>
                <w:color w:val="auto"/>
                <w:sz w:val="21"/>
                <w:szCs w:val="21"/>
                <w:highlight w:val="none"/>
              </w:rPr>
            </w:pPr>
            <w:r>
              <w:rPr>
                <w:rFonts w:hint="eastAsia" w:ascii="宋体" w:hAnsi="宋体" w:cs="宋体"/>
                <w:b/>
                <w:bCs/>
                <w:color w:val="auto"/>
                <w:kern w:val="0"/>
                <w:sz w:val="21"/>
                <w:szCs w:val="21"/>
                <w:highlight w:val="none"/>
                <w:lang w:bidi="ar"/>
              </w:rPr>
              <w:t>因素</w:t>
            </w:r>
          </w:p>
        </w:tc>
        <w:tc>
          <w:tcPr>
            <w:tcW w:w="4132" w:type="pct"/>
            <w:gridSpan w:val="2"/>
            <w:noWrap w:val="0"/>
            <w:tcMar>
              <w:top w:w="15" w:type="dxa"/>
              <w:left w:w="15" w:type="dxa"/>
              <w:right w:w="15" w:type="dxa"/>
            </w:tcMar>
            <w:vAlign w:val="center"/>
          </w:tcPr>
          <w:p>
            <w:pPr>
              <w:widowControl/>
              <w:spacing w:line="360" w:lineRule="exact"/>
              <w:jc w:val="center"/>
              <w:textAlignment w:val="center"/>
              <w:rPr>
                <w:rFonts w:hint="eastAsia" w:ascii="宋体" w:hAnsi="宋体" w:cs="宋体"/>
                <w:b/>
                <w:bCs/>
                <w:color w:val="auto"/>
                <w:sz w:val="21"/>
                <w:szCs w:val="21"/>
                <w:highlight w:val="none"/>
              </w:rPr>
            </w:pPr>
            <w:r>
              <w:rPr>
                <w:rFonts w:hint="eastAsia" w:ascii="宋体" w:hAnsi="宋体" w:cs="宋体"/>
                <w:b/>
                <w:bCs/>
                <w:color w:val="auto"/>
                <w:kern w:val="0"/>
                <w:sz w:val="21"/>
                <w:szCs w:val="21"/>
                <w:highlight w:val="none"/>
                <w:lang w:bidi="ar"/>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1" w:hRule="atLeast"/>
          <w:jc w:val="center"/>
        </w:trPr>
        <w:tc>
          <w:tcPr>
            <w:tcW w:w="311" w:type="pct"/>
            <w:noWrap w:val="0"/>
            <w:tcMar>
              <w:top w:w="15" w:type="dxa"/>
              <w:left w:w="15" w:type="dxa"/>
              <w:right w:w="15" w:type="dxa"/>
            </w:tcMar>
            <w:vAlign w:val="center"/>
          </w:tcPr>
          <w:p>
            <w:pPr>
              <w:widowControl/>
              <w:spacing w:line="360" w:lineRule="exact"/>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1</w:t>
            </w:r>
          </w:p>
        </w:tc>
        <w:tc>
          <w:tcPr>
            <w:tcW w:w="555" w:type="pct"/>
            <w:noWrap w:val="0"/>
            <w:tcMar>
              <w:top w:w="15" w:type="dxa"/>
              <w:left w:w="15" w:type="dxa"/>
              <w:right w:w="15" w:type="dxa"/>
            </w:tcMar>
            <w:vAlign w:val="center"/>
          </w:tcPr>
          <w:p>
            <w:pPr>
              <w:widowControl/>
              <w:spacing w:line="360" w:lineRule="exact"/>
              <w:jc w:val="center"/>
              <w:textAlignment w:val="center"/>
              <w:rPr>
                <w:rFonts w:hint="eastAsia" w:ascii="宋体" w:hAnsi="宋体" w:cs="宋体"/>
                <w:color w:val="auto"/>
                <w:sz w:val="21"/>
                <w:szCs w:val="21"/>
                <w:highlight w:val="none"/>
              </w:rPr>
            </w:pPr>
            <w:r>
              <w:rPr>
                <w:rFonts w:hint="eastAsia" w:ascii="宋体" w:hAnsi="宋体" w:cs="宋体"/>
                <w:color w:val="auto"/>
                <w:sz w:val="21"/>
                <w:szCs w:val="21"/>
                <w:highlight w:val="none"/>
              </w:rPr>
              <w:t>投标报价</w:t>
            </w:r>
          </w:p>
          <w:p>
            <w:pPr>
              <w:widowControl/>
              <w:spacing w:line="360" w:lineRule="exact"/>
              <w:jc w:val="center"/>
              <w:textAlignment w:val="center"/>
              <w:rPr>
                <w:rFonts w:hint="eastAsia" w:ascii="宋体" w:hAnsi="宋体" w:cs="宋体"/>
                <w:color w:val="auto"/>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0分）</w:t>
            </w:r>
          </w:p>
        </w:tc>
        <w:tc>
          <w:tcPr>
            <w:tcW w:w="4132" w:type="pct"/>
            <w:gridSpan w:val="2"/>
            <w:noWrap w:val="0"/>
            <w:tcMar>
              <w:top w:w="15" w:type="dxa"/>
              <w:left w:w="15" w:type="dxa"/>
              <w:right w:w="15" w:type="dxa"/>
            </w:tcMar>
            <w:vAlign w:val="center"/>
          </w:tcPr>
          <w:p>
            <w:pPr>
              <w:widowControl/>
              <w:spacing w:line="360" w:lineRule="exact"/>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1、满足磋商文件要求且最后报价最低的供应商的价格为磋商基准价，其价格分为满分</w:t>
            </w:r>
            <w:r>
              <w:rPr>
                <w:rStyle w:val="112"/>
                <w:rFonts w:hint="eastAsia" w:ascii="宋体" w:hAnsi="宋体" w:cs="宋体"/>
                <w:color w:val="auto"/>
                <w:sz w:val="21"/>
                <w:szCs w:val="21"/>
                <w:highlight w:val="none"/>
                <w:lang w:val="en-US" w:eastAsia="zh-CN" w:bidi="ar"/>
              </w:rPr>
              <w:t>3</w:t>
            </w:r>
            <w:r>
              <w:rPr>
                <w:rStyle w:val="112"/>
                <w:rFonts w:hint="default" w:ascii="宋体" w:hAnsi="宋体" w:eastAsia="宋体" w:cs="宋体"/>
                <w:color w:val="auto"/>
                <w:sz w:val="21"/>
                <w:szCs w:val="21"/>
                <w:highlight w:val="none"/>
                <w:lang w:bidi="ar"/>
              </w:rPr>
              <w:t>0分</w:t>
            </w:r>
            <w:r>
              <w:rPr>
                <w:rStyle w:val="143"/>
                <w:rFonts w:hint="default" w:ascii="宋体" w:hAnsi="宋体" w:eastAsia="宋体" w:cs="宋体"/>
                <w:color w:val="auto"/>
                <w:sz w:val="21"/>
                <w:szCs w:val="21"/>
                <w:highlight w:val="none"/>
                <w:lang w:bidi="ar"/>
              </w:rPr>
              <w:t>。其他供应商的价格分统一按照下列公式计算：</w:t>
            </w:r>
          </w:p>
          <w:p>
            <w:pPr>
              <w:widowControl/>
              <w:spacing w:line="360" w:lineRule="exact"/>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磋商报价得分=</w:t>
            </w:r>
            <w:r>
              <w:rPr>
                <w:rStyle w:val="143"/>
                <w:rFonts w:hint="default" w:ascii="宋体" w:hAnsi="宋体" w:eastAsia="宋体" w:cs="宋体"/>
                <w:color w:val="auto"/>
                <w:sz w:val="21"/>
                <w:szCs w:val="21"/>
                <w:highlight w:val="none"/>
                <w:lang w:bidi="ar"/>
              </w:rPr>
              <w:t>（磋商基准价</w:t>
            </w:r>
            <w:r>
              <w:rPr>
                <w:rFonts w:hint="eastAsia" w:ascii="宋体" w:hAnsi="宋体" w:cs="宋体"/>
                <w:color w:val="auto"/>
                <w:kern w:val="0"/>
                <w:sz w:val="21"/>
                <w:szCs w:val="21"/>
                <w:highlight w:val="none"/>
                <w:lang w:bidi="ar"/>
              </w:rPr>
              <w:t>/</w:t>
            </w:r>
            <w:r>
              <w:rPr>
                <w:rStyle w:val="143"/>
                <w:rFonts w:hint="default" w:ascii="宋体" w:hAnsi="宋体" w:eastAsia="宋体" w:cs="宋体"/>
                <w:color w:val="auto"/>
                <w:sz w:val="21"/>
                <w:szCs w:val="21"/>
                <w:highlight w:val="none"/>
                <w:lang w:bidi="ar"/>
              </w:rPr>
              <w:t>最后磋商报价）×价格权值×</w:t>
            </w:r>
            <w:r>
              <w:rPr>
                <w:rFonts w:hint="eastAsia" w:ascii="宋体" w:hAnsi="宋体" w:cs="宋体"/>
                <w:color w:val="auto"/>
                <w:kern w:val="0"/>
                <w:sz w:val="21"/>
                <w:szCs w:val="21"/>
                <w:highlight w:val="none"/>
                <w:lang w:bidi="ar"/>
              </w:rPr>
              <w:t>100</w:t>
            </w:r>
          </w:p>
          <w:p>
            <w:pPr>
              <w:widowControl/>
              <w:spacing w:line="360" w:lineRule="exact"/>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2、</w:t>
            </w:r>
            <w:r>
              <w:rPr>
                <w:rStyle w:val="143"/>
                <w:rFonts w:hint="default" w:ascii="宋体" w:hAnsi="宋体" w:eastAsia="宋体" w:cs="宋体"/>
                <w:color w:val="auto"/>
                <w:sz w:val="21"/>
                <w:szCs w:val="21"/>
                <w:highlight w:val="none"/>
                <w:lang w:bidi="ar"/>
              </w:rPr>
              <w:t>价格评审过程中，不得去掉最后报价中的最高报价和最低报价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9" w:hRule="atLeast"/>
          <w:jc w:val="center"/>
        </w:trPr>
        <w:tc>
          <w:tcPr>
            <w:tcW w:w="311" w:type="pct"/>
            <w:vMerge w:val="restart"/>
            <w:noWrap w:val="0"/>
            <w:tcMar>
              <w:top w:w="15" w:type="dxa"/>
              <w:left w:w="15" w:type="dxa"/>
              <w:right w:w="15" w:type="dxa"/>
            </w:tcMar>
            <w:vAlign w:val="center"/>
          </w:tcPr>
          <w:p>
            <w:pPr>
              <w:widowControl/>
              <w:spacing w:line="360" w:lineRule="exact"/>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2</w:t>
            </w:r>
          </w:p>
        </w:tc>
        <w:tc>
          <w:tcPr>
            <w:tcW w:w="555" w:type="pct"/>
            <w:vMerge w:val="restart"/>
            <w:noWrap w:val="0"/>
            <w:tcMar>
              <w:top w:w="15" w:type="dxa"/>
              <w:left w:w="15" w:type="dxa"/>
              <w:right w:w="15" w:type="dxa"/>
            </w:tcMar>
            <w:vAlign w:val="center"/>
          </w:tcPr>
          <w:p>
            <w:pPr>
              <w:widowControl/>
              <w:spacing w:line="360" w:lineRule="exact"/>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技术部分</w:t>
            </w:r>
          </w:p>
          <w:p>
            <w:pPr>
              <w:widowControl/>
              <w:spacing w:line="360" w:lineRule="exact"/>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w:t>
            </w:r>
            <w:r>
              <w:rPr>
                <w:rFonts w:hint="eastAsia" w:ascii="宋体" w:hAnsi="宋体" w:cs="宋体"/>
                <w:color w:val="auto"/>
                <w:kern w:val="0"/>
                <w:sz w:val="21"/>
                <w:szCs w:val="21"/>
                <w:highlight w:val="none"/>
                <w:lang w:val="en-US" w:eastAsia="zh-CN" w:bidi="ar"/>
              </w:rPr>
              <w:t>45</w:t>
            </w:r>
            <w:r>
              <w:rPr>
                <w:rFonts w:hint="eastAsia" w:ascii="宋体" w:hAnsi="宋体" w:cs="宋体"/>
                <w:color w:val="auto"/>
                <w:kern w:val="0"/>
                <w:sz w:val="21"/>
                <w:szCs w:val="21"/>
                <w:highlight w:val="none"/>
                <w:lang w:bidi="ar"/>
              </w:rPr>
              <w:t>分）</w:t>
            </w:r>
          </w:p>
        </w:tc>
        <w:tc>
          <w:tcPr>
            <w:tcW w:w="653" w:type="pct"/>
            <w:tcBorders>
              <w:bottom w:val="single" w:color="auto" w:sz="4" w:space="0"/>
            </w:tcBorders>
            <w:noWrap w:val="0"/>
            <w:tcMar>
              <w:top w:w="15" w:type="dxa"/>
              <w:left w:w="15" w:type="dxa"/>
              <w:right w:w="15" w:type="dxa"/>
            </w:tcMar>
            <w:vAlign w:val="center"/>
          </w:tcPr>
          <w:p>
            <w:pPr>
              <w:spacing w:line="360" w:lineRule="exact"/>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保洁整体服务</w:t>
            </w:r>
            <w:r>
              <w:rPr>
                <w:rFonts w:hint="eastAsia" w:ascii="宋体" w:hAnsi="宋体" w:cs="宋体"/>
                <w:color w:val="auto"/>
                <w:sz w:val="21"/>
                <w:szCs w:val="21"/>
                <w:highlight w:val="none"/>
                <w:lang w:val="en-US" w:eastAsia="zh-CN"/>
              </w:rPr>
              <w:t>方案</w:t>
            </w:r>
          </w:p>
          <w:p>
            <w:pPr>
              <w:pStyle w:val="20"/>
              <w:jc w:val="center"/>
              <w:rPr>
                <w:rFonts w:hint="eastAsia"/>
                <w:color w:val="auto"/>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15</w:t>
            </w:r>
            <w:r>
              <w:rPr>
                <w:rFonts w:hint="eastAsia" w:ascii="宋体" w:hAnsi="宋体" w:cs="宋体"/>
                <w:color w:val="auto"/>
                <w:sz w:val="21"/>
                <w:szCs w:val="21"/>
                <w:highlight w:val="none"/>
              </w:rPr>
              <w:t>分）</w:t>
            </w:r>
          </w:p>
        </w:tc>
        <w:tc>
          <w:tcPr>
            <w:tcW w:w="3478" w:type="pct"/>
            <w:tcBorders>
              <w:bottom w:val="single" w:color="auto" w:sz="4" w:space="0"/>
            </w:tcBorders>
            <w:noWrap w:val="0"/>
            <w:tcMar>
              <w:top w:w="15" w:type="dxa"/>
              <w:left w:w="15" w:type="dxa"/>
              <w:right w:w="15" w:type="dxa"/>
            </w:tcMar>
            <w:vAlign w:val="center"/>
          </w:tcPr>
          <w:p>
            <w:pPr>
              <w:spacing w:line="360" w:lineRule="exact"/>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根据</w:t>
            </w:r>
            <w:r>
              <w:rPr>
                <w:rFonts w:hint="eastAsia" w:ascii="宋体" w:hAnsi="宋体" w:cs="宋体"/>
                <w:color w:val="auto"/>
                <w:sz w:val="21"/>
                <w:szCs w:val="21"/>
                <w:highlight w:val="none"/>
                <w:lang w:val="en-US" w:eastAsia="zh-CN"/>
              </w:rPr>
              <w:t>投标人</w:t>
            </w:r>
            <w:r>
              <w:rPr>
                <w:rFonts w:hint="eastAsia" w:ascii="宋体" w:hAnsi="宋体" w:cs="宋体"/>
                <w:color w:val="auto"/>
                <w:sz w:val="21"/>
                <w:szCs w:val="21"/>
                <w:highlight w:val="none"/>
              </w:rPr>
              <w:t>响应文件中保洁服务整体设想</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管理方案及措施（包括内部管理架构、激励机制、监督机制、自我约束机制、信息反馈及处理机制等）</w:t>
            </w:r>
            <w:r>
              <w:rPr>
                <w:rFonts w:hint="eastAsia" w:ascii="宋体" w:hAnsi="宋体" w:cs="宋体"/>
                <w:color w:val="auto"/>
                <w:sz w:val="21"/>
                <w:szCs w:val="21"/>
                <w:highlight w:val="none"/>
                <w:lang w:val="en-US" w:eastAsia="zh-CN"/>
              </w:rPr>
              <w:t>方案完整详实</w:t>
            </w:r>
            <w:r>
              <w:rPr>
                <w:rFonts w:hint="eastAsia" w:ascii="宋体" w:hAnsi="宋体" w:cs="宋体"/>
                <w:color w:val="auto"/>
                <w:sz w:val="21"/>
                <w:szCs w:val="21"/>
                <w:highlight w:val="none"/>
              </w:rPr>
              <w:t>、科学合理的，计</w:t>
            </w:r>
            <w:r>
              <w:rPr>
                <w:rFonts w:hint="eastAsia" w:ascii="宋体" w:hAnsi="宋体" w:cs="宋体"/>
                <w:color w:val="auto"/>
                <w:sz w:val="21"/>
                <w:szCs w:val="21"/>
                <w:highlight w:val="none"/>
                <w:lang w:val="en-US" w:eastAsia="zh-CN"/>
              </w:rPr>
              <w:t>15</w:t>
            </w:r>
            <w:r>
              <w:rPr>
                <w:rFonts w:hint="eastAsia" w:ascii="宋体" w:hAnsi="宋体" w:cs="宋体"/>
                <w:color w:val="auto"/>
                <w:sz w:val="21"/>
                <w:szCs w:val="21"/>
                <w:highlight w:val="none"/>
              </w:rPr>
              <w:t>分；有缺漏项</w:t>
            </w:r>
            <w:r>
              <w:rPr>
                <w:rFonts w:hint="eastAsia" w:ascii="宋体" w:hAnsi="宋体" w:cs="宋体"/>
                <w:color w:val="auto"/>
                <w:sz w:val="21"/>
                <w:szCs w:val="21"/>
                <w:highlight w:val="none"/>
                <w:lang w:val="en-US" w:eastAsia="zh-CN"/>
              </w:rPr>
              <w:t>或欠合理</w:t>
            </w:r>
            <w:r>
              <w:rPr>
                <w:rFonts w:hint="eastAsia" w:ascii="宋体" w:hAnsi="宋体" w:cs="宋体"/>
                <w:color w:val="auto"/>
                <w:sz w:val="21"/>
                <w:szCs w:val="21"/>
                <w:highlight w:val="none"/>
              </w:rPr>
              <w:t>的，</w:t>
            </w:r>
            <w:r>
              <w:rPr>
                <w:rFonts w:hint="eastAsia" w:ascii="宋体" w:hAnsi="宋体" w:cs="宋体"/>
                <w:color w:val="auto"/>
                <w:sz w:val="21"/>
                <w:szCs w:val="21"/>
                <w:highlight w:val="none"/>
                <w:lang w:val="en-US" w:eastAsia="zh-CN"/>
              </w:rPr>
              <w:t>每处扣3</w:t>
            </w:r>
            <w:r>
              <w:rPr>
                <w:rFonts w:hint="eastAsia" w:ascii="宋体" w:hAnsi="宋体" w:cs="宋体"/>
                <w:color w:val="auto"/>
                <w:sz w:val="21"/>
                <w:szCs w:val="21"/>
                <w:highlight w:val="none"/>
              </w:rPr>
              <w:t>分</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扣完为止；</w:t>
            </w:r>
            <w:r>
              <w:rPr>
                <w:rFonts w:hint="eastAsia" w:ascii="宋体" w:hAnsi="宋体" w:cs="宋体"/>
                <w:color w:val="auto"/>
                <w:sz w:val="21"/>
                <w:szCs w:val="21"/>
                <w:highlight w:val="none"/>
              </w:rPr>
              <w:t>未提供的不计分</w:t>
            </w:r>
            <w:r>
              <w:rPr>
                <w:rFonts w:hint="eastAsia" w:ascii="宋体" w:hAnsi="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8" w:hRule="atLeast"/>
          <w:jc w:val="center"/>
        </w:trPr>
        <w:tc>
          <w:tcPr>
            <w:tcW w:w="311" w:type="pct"/>
            <w:vMerge w:val="continue"/>
            <w:noWrap w:val="0"/>
            <w:tcMar>
              <w:top w:w="15" w:type="dxa"/>
              <w:left w:w="15" w:type="dxa"/>
              <w:right w:w="15" w:type="dxa"/>
            </w:tcMar>
            <w:vAlign w:val="center"/>
          </w:tcPr>
          <w:p>
            <w:pPr>
              <w:widowControl/>
              <w:spacing w:line="360" w:lineRule="exact"/>
              <w:jc w:val="center"/>
              <w:textAlignment w:val="center"/>
              <w:rPr>
                <w:rFonts w:hint="eastAsia" w:ascii="宋体" w:hAnsi="宋体" w:cs="宋体"/>
                <w:color w:val="auto"/>
                <w:kern w:val="0"/>
                <w:sz w:val="21"/>
                <w:szCs w:val="21"/>
                <w:highlight w:val="none"/>
                <w:lang w:bidi="ar"/>
              </w:rPr>
            </w:pPr>
          </w:p>
        </w:tc>
        <w:tc>
          <w:tcPr>
            <w:tcW w:w="555" w:type="pct"/>
            <w:vMerge w:val="continue"/>
            <w:noWrap w:val="0"/>
            <w:tcMar>
              <w:top w:w="15" w:type="dxa"/>
              <w:left w:w="15" w:type="dxa"/>
              <w:right w:w="15" w:type="dxa"/>
            </w:tcMar>
            <w:vAlign w:val="center"/>
          </w:tcPr>
          <w:p>
            <w:pPr>
              <w:widowControl/>
              <w:spacing w:line="360" w:lineRule="exact"/>
              <w:jc w:val="center"/>
              <w:textAlignment w:val="center"/>
              <w:rPr>
                <w:rFonts w:hint="eastAsia" w:ascii="宋体" w:hAnsi="宋体" w:cs="宋体"/>
                <w:color w:val="auto"/>
                <w:kern w:val="0"/>
                <w:sz w:val="21"/>
                <w:szCs w:val="21"/>
                <w:highlight w:val="none"/>
                <w:lang w:bidi="ar"/>
              </w:rPr>
            </w:pPr>
          </w:p>
        </w:tc>
        <w:tc>
          <w:tcPr>
            <w:tcW w:w="653" w:type="pct"/>
            <w:tcBorders>
              <w:top w:val="single" w:color="auto" w:sz="4" w:space="0"/>
              <w:bottom w:val="single" w:color="auto" w:sz="4" w:space="0"/>
            </w:tcBorders>
            <w:noWrap w:val="0"/>
            <w:tcMar>
              <w:top w:w="15" w:type="dxa"/>
              <w:left w:w="15" w:type="dxa"/>
              <w:right w:w="15" w:type="dxa"/>
            </w:tcMar>
            <w:vAlign w:val="center"/>
          </w:tcPr>
          <w:p>
            <w:pPr>
              <w:spacing w:line="360" w:lineRule="exact"/>
              <w:jc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工作计划方案及措施</w:t>
            </w:r>
          </w:p>
          <w:p>
            <w:pPr>
              <w:spacing w:line="360" w:lineRule="exact"/>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10</w:t>
            </w:r>
            <w:r>
              <w:rPr>
                <w:rFonts w:hint="eastAsia" w:ascii="宋体" w:hAnsi="宋体" w:cs="宋体"/>
                <w:color w:val="auto"/>
                <w:sz w:val="21"/>
                <w:szCs w:val="21"/>
                <w:highlight w:val="none"/>
              </w:rPr>
              <w:t>分）</w:t>
            </w:r>
          </w:p>
        </w:tc>
        <w:tc>
          <w:tcPr>
            <w:tcW w:w="3478" w:type="pct"/>
            <w:tcBorders>
              <w:top w:val="single" w:color="auto" w:sz="4" w:space="0"/>
              <w:bottom w:val="single" w:color="auto" w:sz="4" w:space="0"/>
            </w:tcBorders>
            <w:noWrap w:val="0"/>
            <w:tcMar>
              <w:top w:w="15" w:type="dxa"/>
              <w:left w:w="15" w:type="dxa"/>
              <w:right w:w="15" w:type="dxa"/>
            </w:tcMar>
            <w:vAlign w:val="center"/>
          </w:tcPr>
          <w:p>
            <w:pPr>
              <w:spacing w:line="360" w:lineRule="exact"/>
              <w:jc w:val="left"/>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根据</w:t>
            </w:r>
            <w:r>
              <w:rPr>
                <w:rFonts w:hint="eastAsia" w:ascii="宋体" w:hAnsi="宋体" w:cs="宋体"/>
                <w:color w:val="auto"/>
                <w:sz w:val="21"/>
                <w:szCs w:val="21"/>
                <w:highlight w:val="none"/>
                <w:lang w:val="en-US" w:eastAsia="zh-CN"/>
              </w:rPr>
              <w:t>投标人</w:t>
            </w:r>
            <w:r>
              <w:rPr>
                <w:rFonts w:hint="eastAsia" w:ascii="宋体" w:hAnsi="宋体" w:cs="宋体"/>
                <w:color w:val="auto"/>
                <w:sz w:val="21"/>
                <w:szCs w:val="21"/>
                <w:highlight w:val="none"/>
              </w:rPr>
              <w:t>响应文件</w:t>
            </w:r>
            <w:r>
              <w:rPr>
                <w:rFonts w:hint="eastAsia" w:ascii="宋体" w:hAnsi="宋体" w:cs="宋体"/>
                <w:color w:val="auto"/>
                <w:sz w:val="21"/>
                <w:szCs w:val="21"/>
                <w:highlight w:val="none"/>
                <w:lang w:val="en-US" w:eastAsia="zh-CN"/>
              </w:rPr>
              <w:t>提供的工作计划方案及措施（包括工作流程、保洁管理、各环节所需的保洁计划等）方案完整详实</w:t>
            </w:r>
            <w:r>
              <w:rPr>
                <w:rFonts w:hint="eastAsia" w:ascii="宋体" w:hAnsi="宋体" w:cs="宋体"/>
                <w:color w:val="auto"/>
                <w:sz w:val="21"/>
                <w:szCs w:val="21"/>
                <w:highlight w:val="none"/>
              </w:rPr>
              <w:t>、科学合理的，计</w:t>
            </w:r>
            <w:r>
              <w:rPr>
                <w:rFonts w:hint="eastAsia" w:ascii="宋体" w:hAnsi="宋体" w:cs="宋体"/>
                <w:color w:val="auto"/>
                <w:sz w:val="21"/>
                <w:szCs w:val="21"/>
                <w:highlight w:val="none"/>
                <w:lang w:val="en-US" w:eastAsia="zh-CN"/>
              </w:rPr>
              <w:t>10</w:t>
            </w:r>
            <w:r>
              <w:rPr>
                <w:rFonts w:hint="eastAsia" w:ascii="宋体" w:hAnsi="宋体" w:cs="宋体"/>
                <w:color w:val="auto"/>
                <w:sz w:val="21"/>
                <w:szCs w:val="21"/>
                <w:highlight w:val="none"/>
              </w:rPr>
              <w:t>分；有缺漏项</w:t>
            </w:r>
            <w:r>
              <w:rPr>
                <w:rFonts w:hint="eastAsia" w:ascii="宋体" w:hAnsi="宋体" w:cs="宋体"/>
                <w:color w:val="auto"/>
                <w:sz w:val="21"/>
                <w:szCs w:val="21"/>
                <w:highlight w:val="none"/>
                <w:lang w:val="en-US" w:eastAsia="zh-CN"/>
              </w:rPr>
              <w:t>或欠合理</w:t>
            </w:r>
            <w:r>
              <w:rPr>
                <w:rFonts w:hint="eastAsia" w:ascii="宋体" w:hAnsi="宋体" w:cs="宋体"/>
                <w:color w:val="auto"/>
                <w:sz w:val="21"/>
                <w:szCs w:val="21"/>
                <w:highlight w:val="none"/>
              </w:rPr>
              <w:t>的，</w:t>
            </w:r>
            <w:r>
              <w:rPr>
                <w:rFonts w:hint="eastAsia" w:ascii="宋体" w:hAnsi="宋体" w:cs="宋体"/>
                <w:color w:val="auto"/>
                <w:sz w:val="21"/>
                <w:szCs w:val="21"/>
                <w:highlight w:val="none"/>
                <w:lang w:val="en-US" w:eastAsia="zh-CN"/>
              </w:rPr>
              <w:t>每处扣2</w:t>
            </w:r>
            <w:r>
              <w:rPr>
                <w:rFonts w:hint="eastAsia" w:ascii="宋体" w:hAnsi="宋体" w:cs="宋体"/>
                <w:color w:val="auto"/>
                <w:sz w:val="21"/>
                <w:szCs w:val="21"/>
                <w:highlight w:val="none"/>
              </w:rPr>
              <w:t>分</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扣完为止；</w:t>
            </w:r>
            <w:r>
              <w:rPr>
                <w:rFonts w:hint="eastAsia" w:ascii="宋体" w:hAnsi="宋体" w:cs="宋体"/>
                <w:color w:val="auto"/>
                <w:sz w:val="21"/>
                <w:szCs w:val="21"/>
                <w:highlight w:val="none"/>
              </w:rPr>
              <w:t>未提供的不计分</w:t>
            </w:r>
            <w:r>
              <w:rPr>
                <w:rFonts w:hint="eastAsia" w:ascii="宋体" w:hAnsi="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311" w:type="pct"/>
            <w:vMerge w:val="continue"/>
            <w:noWrap w:val="0"/>
            <w:tcMar>
              <w:top w:w="15" w:type="dxa"/>
              <w:left w:w="15" w:type="dxa"/>
              <w:right w:w="15" w:type="dxa"/>
            </w:tcMar>
            <w:vAlign w:val="center"/>
          </w:tcPr>
          <w:p>
            <w:pPr>
              <w:widowControl/>
              <w:spacing w:line="360" w:lineRule="exact"/>
              <w:jc w:val="center"/>
              <w:textAlignment w:val="center"/>
              <w:rPr>
                <w:rFonts w:hint="eastAsia" w:ascii="宋体" w:hAnsi="宋体" w:cs="宋体"/>
                <w:color w:val="auto"/>
                <w:kern w:val="0"/>
                <w:sz w:val="21"/>
                <w:szCs w:val="21"/>
                <w:highlight w:val="none"/>
                <w:lang w:bidi="ar"/>
              </w:rPr>
            </w:pPr>
          </w:p>
        </w:tc>
        <w:tc>
          <w:tcPr>
            <w:tcW w:w="555" w:type="pct"/>
            <w:vMerge w:val="continue"/>
            <w:noWrap w:val="0"/>
            <w:tcMar>
              <w:top w:w="15" w:type="dxa"/>
              <w:left w:w="15" w:type="dxa"/>
              <w:right w:w="15" w:type="dxa"/>
            </w:tcMar>
            <w:vAlign w:val="center"/>
          </w:tcPr>
          <w:p>
            <w:pPr>
              <w:widowControl/>
              <w:spacing w:line="360" w:lineRule="exact"/>
              <w:jc w:val="center"/>
              <w:textAlignment w:val="center"/>
              <w:rPr>
                <w:rFonts w:hint="eastAsia" w:ascii="宋体" w:hAnsi="宋体" w:cs="宋体"/>
                <w:color w:val="auto"/>
                <w:kern w:val="0"/>
                <w:sz w:val="21"/>
                <w:szCs w:val="21"/>
                <w:highlight w:val="none"/>
                <w:lang w:bidi="ar"/>
              </w:rPr>
            </w:pPr>
          </w:p>
        </w:tc>
        <w:tc>
          <w:tcPr>
            <w:tcW w:w="653" w:type="pct"/>
            <w:tcBorders>
              <w:top w:val="single" w:color="auto" w:sz="4" w:space="0"/>
              <w:bottom w:val="single" w:color="auto" w:sz="4" w:space="0"/>
            </w:tcBorders>
            <w:noWrap w:val="0"/>
            <w:tcMar>
              <w:top w:w="15" w:type="dxa"/>
              <w:left w:w="15" w:type="dxa"/>
              <w:right w:w="15" w:type="dxa"/>
            </w:tcMar>
            <w:vAlign w:val="center"/>
          </w:tcPr>
          <w:p>
            <w:pPr>
              <w:spacing w:line="360" w:lineRule="exact"/>
              <w:jc w:val="center"/>
              <w:rPr>
                <w:rFonts w:hint="eastAsia" w:ascii="宋体" w:hAnsi="宋体" w:eastAsia="宋体" w:cs="宋体"/>
                <w:color w:val="auto"/>
                <w:sz w:val="21"/>
                <w:szCs w:val="24"/>
                <w:highlight w:val="none"/>
                <w:lang w:eastAsia="zh-CN"/>
              </w:rPr>
            </w:pPr>
            <w:r>
              <w:rPr>
                <w:rFonts w:hint="eastAsia" w:ascii="宋体" w:hAnsi="宋体" w:eastAsia="宋体" w:cs="宋体"/>
                <w:color w:val="auto"/>
                <w:sz w:val="21"/>
                <w:szCs w:val="24"/>
                <w:highlight w:val="none"/>
                <w:lang w:eastAsia="zh-CN"/>
              </w:rPr>
              <w:t>安全管理方案</w:t>
            </w:r>
          </w:p>
          <w:p>
            <w:pPr>
              <w:pStyle w:val="20"/>
              <w:jc w:val="center"/>
              <w:rPr>
                <w:rFonts w:hint="eastAsia"/>
                <w:color w:val="auto"/>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10</w:t>
            </w:r>
            <w:r>
              <w:rPr>
                <w:rFonts w:hint="eastAsia" w:ascii="宋体" w:hAnsi="宋体" w:cs="宋体"/>
                <w:color w:val="auto"/>
                <w:sz w:val="21"/>
                <w:szCs w:val="21"/>
                <w:highlight w:val="none"/>
              </w:rPr>
              <w:t>分）</w:t>
            </w:r>
          </w:p>
        </w:tc>
        <w:tc>
          <w:tcPr>
            <w:tcW w:w="3478" w:type="pct"/>
            <w:tcBorders>
              <w:top w:val="single" w:color="auto" w:sz="4" w:space="0"/>
              <w:bottom w:val="single" w:color="auto" w:sz="4" w:space="0"/>
            </w:tcBorders>
            <w:noWrap w:val="0"/>
            <w:tcMar>
              <w:top w:w="15" w:type="dxa"/>
              <w:left w:w="15" w:type="dxa"/>
              <w:right w:w="15" w:type="dxa"/>
            </w:tcMar>
            <w:vAlign w:val="center"/>
          </w:tcPr>
          <w:p>
            <w:pPr>
              <w:spacing w:line="360" w:lineRule="exact"/>
              <w:jc w:val="left"/>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根据</w:t>
            </w:r>
            <w:r>
              <w:rPr>
                <w:rFonts w:hint="eastAsia" w:ascii="宋体" w:hAnsi="宋体" w:cs="宋体"/>
                <w:color w:val="auto"/>
                <w:sz w:val="21"/>
                <w:szCs w:val="21"/>
                <w:highlight w:val="none"/>
                <w:lang w:val="en-US" w:eastAsia="zh-CN"/>
              </w:rPr>
              <w:t>投标人</w:t>
            </w:r>
            <w:r>
              <w:rPr>
                <w:rFonts w:hint="eastAsia" w:ascii="宋体" w:hAnsi="宋体" w:cs="宋体"/>
                <w:color w:val="auto"/>
                <w:sz w:val="21"/>
                <w:szCs w:val="21"/>
                <w:highlight w:val="none"/>
              </w:rPr>
              <w:t>响应文件中</w:t>
            </w:r>
            <w:r>
              <w:rPr>
                <w:rFonts w:hint="eastAsia" w:ascii="宋体" w:hAnsi="宋体" w:cs="宋体"/>
                <w:color w:val="auto"/>
                <w:sz w:val="21"/>
                <w:szCs w:val="21"/>
                <w:highlight w:val="none"/>
                <w:lang w:val="en-US" w:eastAsia="zh-CN"/>
              </w:rPr>
              <w:t>保洁</w:t>
            </w:r>
            <w:r>
              <w:rPr>
                <w:rFonts w:hint="eastAsia" w:ascii="宋体" w:hAnsi="宋体" w:eastAsia="宋体" w:cs="宋体"/>
                <w:color w:val="auto"/>
                <w:sz w:val="21"/>
                <w:szCs w:val="24"/>
                <w:highlight w:val="none"/>
                <w:lang w:eastAsia="zh-CN"/>
              </w:rPr>
              <w:t>安全管理方案（包括安全制度、安全预案（急救措施）、安全管理人员、安全检查及记录等）</w:t>
            </w:r>
            <w:r>
              <w:rPr>
                <w:rFonts w:hint="eastAsia" w:ascii="宋体" w:hAnsi="宋体" w:cs="宋体"/>
                <w:color w:val="auto"/>
                <w:sz w:val="21"/>
                <w:szCs w:val="21"/>
                <w:highlight w:val="none"/>
                <w:lang w:val="en-US" w:eastAsia="zh-CN"/>
              </w:rPr>
              <w:t>方案完整详实</w:t>
            </w:r>
            <w:r>
              <w:rPr>
                <w:rFonts w:hint="eastAsia" w:ascii="宋体" w:hAnsi="宋体" w:cs="宋体"/>
                <w:color w:val="auto"/>
                <w:sz w:val="21"/>
                <w:szCs w:val="21"/>
                <w:highlight w:val="none"/>
              </w:rPr>
              <w:t>、科学合理的，计</w:t>
            </w:r>
            <w:r>
              <w:rPr>
                <w:rFonts w:hint="eastAsia" w:ascii="宋体" w:hAnsi="宋体" w:cs="宋体"/>
                <w:color w:val="auto"/>
                <w:sz w:val="21"/>
                <w:szCs w:val="21"/>
                <w:highlight w:val="none"/>
                <w:lang w:val="en-US" w:eastAsia="zh-CN"/>
              </w:rPr>
              <w:t>10</w:t>
            </w:r>
            <w:r>
              <w:rPr>
                <w:rFonts w:hint="eastAsia" w:ascii="宋体" w:hAnsi="宋体" w:cs="宋体"/>
                <w:color w:val="auto"/>
                <w:sz w:val="21"/>
                <w:szCs w:val="21"/>
                <w:highlight w:val="none"/>
              </w:rPr>
              <w:t>分；有缺漏项</w:t>
            </w:r>
            <w:r>
              <w:rPr>
                <w:rFonts w:hint="eastAsia" w:ascii="宋体" w:hAnsi="宋体" w:cs="宋体"/>
                <w:color w:val="auto"/>
                <w:sz w:val="21"/>
                <w:szCs w:val="21"/>
                <w:highlight w:val="none"/>
                <w:lang w:val="en-US" w:eastAsia="zh-CN"/>
              </w:rPr>
              <w:t>或欠合理</w:t>
            </w:r>
            <w:r>
              <w:rPr>
                <w:rFonts w:hint="eastAsia" w:ascii="宋体" w:hAnsi="宋体" w:cs="宋体"/>
                <w:color w:val="auto"/>
                <w:sz w:val="21"/>
                <w:szCs w:val="21"/>
                <w:highlight w:val="none"/>
              </w:rPr>
              <w:t>的，</w:t>
            </w:r>
            <w:r>
              <w:rPr>
                <w:rFonts w:hint="eastAsia" w:ascii="宋体" w:hAnsi="宋体" w:cs="宋体"/>
                <w:color w:val="auto"/>
                <w:sz w:val="21"/>
                <w:szCs w:val="21"/>
                <w:highlight w:val="none"/>
                <w:lang w:val="en-US" w:eastAsia="zh-CN"/>
              </w:rPr>
              <w:t>每处扣2</w:t>
            </w:r>
            <w:r>
              <w:rPr>
                <w:rFonts w:hint="eastAsia" w:ascii="宋体" w:hAnsi="宋体" w:cs="宋体"/>
                <w:color w:val="auto"/>
                <w:sz w:val="21"/>
                <w:szCs w:val="21"/>
                <w:highlight w:val="none"/>
              </w:rPr>
              <w:t>分</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扣完为止；</w:t>
            </w:r>
            <w:r>
              <w:rPr>
                <w:rFonts w:hint="eastAsia" w:ascii="宋体" w:hAnsi="宋体" w:cs="宋体"/>
                <w:color w:val="auto"/>
                <w:sz w:val="21"/>
                <w:szCs w:val="21"/>
                <w:highlight w:val="none"/>
              </w:rPr>
              <w:t>未提供的不计分</w:t>
            </w:r>
            <w:r>
              <w:rPr>
                <w:rFonts w:hint="eastAsia" w:ascii="宋体" w:hAnsi="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8" w:hRule="atLeast"/>
          <w:jc w:val="center"/>
        </w:trPr>
        <w:tc>
          <w:tcPr>
            <w:tcW w:w="311" w:type="pct"/>
            <w:vMerge w:val="continue"/>
            <w:noWrap w:val="0"/>
            <w:tcMar>
              <w:top w:w="15" w:type="dxa"/>
              <w:left w:w="15" w:type="dxa"/>
              <w:right w:w="15" w:type="dxa"/>
            </w:tcMar>
            <w:vAlign w:val="center"/>
          </w:tcPr>
          <w:p>
            <w:pPr>
              <w:widowControl/>
              <w:spacing w:line="360" w:lineRule="exact"/>
              <w:jc w:val="center"/>
              <w:textAlignment w:val="center"/>
              <w:rPr>
                <w:rFonts w:hint="eastAsia" w:ascii="宋体" w:hAnsi="宋体" w:cs="宋体"/>
                <w:color w:val="auto"/>
                <w:kern w:val="0"/>
                <w:sz w:val="21"/>
                <w:szCs w:val="21"/>
                <w:highlight w:val="none"/>
                <w:lang w:bidi="ar"/>
              </w:rPr>
            </w:pPr>
          </w:p>
        </w:tc>
        <w:tc>
          <w:tcPr>
            <w:tcW w:w="555" w:type="pct"/>
            <w:vMerge w:val="continue"/>
            <w:noWrap w:val="0"/>
            <w:tcMar>
              <w:top w:w="15" w:type="dxa"/>
              <w:left w:w="15" w:type="dxa"/>
              <w:right w:w="15" w:type="dxa"/>
            </w:tcMar>
            <w:vAlign w:val="center"/>
          </w:tcPr>
          <w:p>
            <w:pPr>
              <w:widowControl/>
              <w:spacing w:line="360" w:lineRule="exact"/>
              <w:jc w:val="center"/>
              <w:textAlignment w:val="center"/>
              <w:rPr>
                <w:rFonts w:hint="eastAsia" w:ascii="宋体" w:hAnsi="宋体" w:cs="宋体"/>
                <w:color w:val="auto"/>
                <w:kern w:val="0"/>
                <w:sz w:val="21"/>
                <w:szCs w:val="21"/>
                <w:highlight w:val="none"/>
                <w:lang w:bidi="ar"/>
              </w:rPr>
            </w:pPr>
          </w:p>
        </w:tc>
        <w:tc>
          <w:tcPr>
            <w:tcW w:w="653" w:type="pct"/>
            <w:tcBorders>
              <w:top w:val="single" w:color="auto" w:sz="4" w:space="0"/>
            </w:tcBorders>
            <w:noWrap w:val="0"/>
            <w:tcMar>
              <w:top w:w="15" w:type="dxa"/>
              <w:left w:w="15" w:type="dxa"/>
              <w:right w:w="15" w:type="dxa"/>
            </w:tcMar>
            <w:vAlign w:val="center"/>
          </w:tcPr>
          <w:p>
            <w:pPr>
              <w:spacing w:line="360" w:lineRule="exact"/>
              <w:jc w:val="center"/>
              <w:rPr>
                <w:rStyle w:val="46"/>
                <w:rFonts w:ascii="宋体" w:hAnsi="宋体" w:eastAsia="宋体" w:cs="宋体"/>
                <w:b w:val="0"/>
                <w:color w:val="auto"/>
                <w:sz w:val="21"/>
                <w:szCs w:val="24"/>
                <w:highlight w:val="none"/>
              </w:rPr>
            </w:pPr>
            <w:r>
              <w:rPr>
                <w:rStyle w:val="46"/>
                <w:rFonts w:ascii="宋体" w:hAnsi="宋体" w:eastAsia="宋体" w:cs="宋体"/>
                <w:b w:val="0"/>
                <w:color w:val="auto"/>
                <w:sz w:val="21"/>
                <w:szCs w:val="24"/>
                <w:highlight w:val="none"/>
              </w:rPr>
              <w:t>应急预案及演练方案</w:t>
            </w:r>
          </w:p>
          <w:p>
            <w:pPr>
              <w:pStyle w:val="20"/>
              <w:jc w:val="center"/>
              <w:rPr>
                <w:rFonts w:hint="eastAsia"/>
                <w:color w:val="auto"/>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10</w:t>
            </w:r>
            <w:r>
              <w:rPr>
                <w:rFonts w:hint="eastAsia" w:ascii="宋体" w:hAnsi="宋体" w:cs="宋体"/>
                <w:color w:val="auto"/>
                <w:sz w:val="21"/>
                <w:szCs w:val="21"/>
                <w:highlight w:val="none"/>
              </w:rPr>
              <w:t>分）</w:t>
            </w:r>
          </w:p>
        </w:tc>
        <w:tc>
          <w:tcPr>
            <w:tcW w:w="3478" w:type="pct"/>
            <w:tcBorders>
              <w:top w:val="single" w:color="auto" w:sz="4" w:space="0"/>
            </w:tcBorders>
            <w:noWrap w:val="0"/>
            <w:tcMar>
              <w:top w:w="15" w:type="dxa"/>
              <w:left w:w="15" w:type="dxa"/>
              <w:right w:w="15" w:type="dxa"/>
            </w:tcMar>
            <w:vAlign w:val="center"/>
          </w:tcPr>
          <w:p>
            <w:pPr>
              <w:spacing w:line="360" w:lineRule="exact"/>
              <w:jc w:val="left"/>
              <w:rPr>
                <w:rFonts w:hint="eastAsia" w:ascii="宋体" w:hAnsi="宋体" w:cs="宋体"/>
                <w:color w:val="auto"/>
                <w:sz w:val="21"/>
                <w:szCs w:val="21"/>
                <w:highlight w:val="none"/>
                <w:lang w:val="en-US" w:eastAsia="zh-CN"/>
              </w:rPr>
            </w:pPr>
            <w:r>
              <w:rPr>
                <w:rStyle w:val="46"/>
                <w:rFonts w:ascii="宋体" w:hAnsi="宋体" w:eastAsia="宋体" w:cs="宋体"/>
                <w:b w:val="0"/>
                <w:color w:val="auto"/>
                <w:sz w:val="21"/>
                <w:szCs w:val="24"/>
                <w:highlight w:val="none"/>
              </w:rPr>
              <w:t>投标人应充分考虑采购人的实际情况制定应急预案及演练方案，</w:t>
            </w:r>
            <w:r>
              <w:rPr>
                <w:rFonts w:hint="eastAsia" w:ascii="宋体" w:hAnsi="宋体" w:cs="宋体"/>
                <w:color w:val="auto"/>
                <w:sz w:val="21"/>
                <w:szCs w:val="21"/>
                <w:highlight w:val="none"/>
                <w:lang w:val="en-US" w:eastAsia="zh-CN"/>
              </w:rPr>
              <w:t>方案完整详实</w:t>
            </w:r>
            <w:r>
              <w:rPr>
                <w:rFonts w:hint="eastAsia" w:ascii="宋体" w:hAnsi="宋体" w:cs="宋体"/>
                <w:color w:val="auto"/>
                <w:sz w:val="21"/>
                <w:szCs w:val="21"/>
                <w:highlight w:val="none"/>
              </w:rPr>
              <w:t>、科学合理的，计</w:t>
            </w:r>
            <w:r>
              <w:rPr>
                <w:rFonts w:hint="eastAsia" w:ascii="宋体" w:hAnsi="宋体" w:cs="宋体"/>
                <w:color w:val="auto"/>
                <w:sz w:val="21"/>
                <w:szCs w:val="21"/>
                <w:highlight w:val="none"/>
                <w:lang w:val="en-US" w:eastAsia="zh-CN"/>
              </w:rPr>
              <w:t>10</w:t>
            </w:r>
            <w:r>
              <w:rPr>
                <w:rFonts w:hint="eastAsia" w:ascii="宋体" w:hAnsi="宋体" w:cs="宋体"/>
                <w:color w:val="auto"/>
                <w:sz w:val="21"/>
                <w:szCs w:val="21"/>
                <w:highlight w:val="none"/>
              </w:rPr>
              <w:t>分；有缺漏项</w:t>
            </w:r>
            <w:r>
              <w:rPr>
                <w:rFonts w:hint="eastAsia" w:ascii="宋体" w:hAnsi="宋体" w:cs="宋体"/>
                <w:color w:val="auto"/>
                <w:sz w:val="21"/>
                <w:szCs w:val="21"/>
                <w:highlight w:val="none"/>
                <w:lang w:val="en-US" w:eastAsia="zh-CN"/>
              </w:rPr>
              <w:t>或欠合理</w:t>
            </w:r>
            <w:r>
              <w:rPr>
                <w:rFonts w:hint="eastAsia" w:ascii="宋体" w:hAnsi="宋体" w:cs="宋体"/>
                <w:color w:val="auto"/>
                <w:sz w:val="21"/>
                <w:szCs w:val="21"/>
                <w:highlight w:val="none"/>
              </w:rPr>
              <w:t>的，</w:t>
            </w:r>
            <w:r>
              <w:rPr>
                <w:rFonts w:hint="eastAsia" w:ascii="宋体" w:hAnsi="宋体" w:cs="宋体"/>
                <w:color w:val="auto"/>
                <w:sz w:val="21"/>
                <w:szCs w:val="21"/>
                <w:highlight w:val="none"/>
                <w:lang w:val="en-US" w:eastAsia="zh-CN"/>
              </w:rPr>
              <w:t>每处扣2</w:t>
            </w:r>
            <w:r>
              <w:rPr>
                <w:rFonts w:hint="eastAsia" w:ascii="宋体" w:hAnsi="宋体" w:cs="宋体"/>
                <w:color w:val="auto"/>
                <w:sz w:val="21"/>
                <w:szCs w:val="21"/>
                <w:highlight w:val="none"/>
              </w:rPr>
              <w:t>分</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扣完为止；</w:t>
            </w:r>
            <w:r>
              <w:rPr>
                <w:rFonts w:hint="eastAsia" w:ascii="宋体" w:hAnsi="宋体" w:cs="宋体"/>
                <w:color w:val="auto"/>
                <w:sz w:val="21"/>
                <w:szCs w:val="21"/>
                <w:highlight w:val="none"/>
              </w:rPr>
              <w:t>未提供的不计分</w:t>
            </w:r>
            <w:r>
              <w:rPr>
                <w:rFonts w:hint="eastAsia" w:ascii="宋体" w:hAnsi="宋体" w:cs="宋体"/>
                <w:color w:val="auto"/>
                <w:sz w:val="21"/>
                <w:szCs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jc w:val="center"/>
        </w:trPr>
        <w:tc>
          <w:tcPr>
            <w:tcW w:w="311" w:type="pct"/>
            <w:vMerge w:val="restart"/>
            <w:noWrap w:val="0"/>
            <w:tcMar>
              <w:top w:w="15" w:type="dxa"/>
              <w:left w:w="15" w:type="dxa"/>
              <w:right w:w="15" w:type="dxa"/>
            </w:tcMar>
            <w:vAlign w:val="center"/>
          </w:tcPr>
          <w:p>
            <w:pPr>
              <w:widowControl/>
              <w:spacing w:line="360" w:lineRule="exact"/>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3</w:t>
            </w:r>
          </w:p>
        </w:tc>
        <w:tc>
          <w:tcPr>
            <w:tcW w:w="555" w:type="pct"/>
            <w:vMerge w:val="restart"/>
            <w:noWrap w:val="0"/>
            <w:tcMar>
              <w:top w:w="15" w:type="dxa"/>
              <w:left w:w="15" w:type="dxa"/>
              <w:right w:w="15" w:type="dxa"/>
            </w:tcMar>
            <w:vAlign w:val="center"/>
          </w:tcPr>
          <w:p>
            <w:pPr>
              <w:widowControl/>
              <w:spacing w:line="360" w:lineRule="exact"/>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商务部分</w:t>
            </w:r>
          </w:p>
          <w:p>
            <w:pPr>
              <w:widowControl/>
              <w:spacing w:line="360" w:lineRule="exact"/>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w:t>
            </w:r>
            <w:r>
              <w:rPr>
                <w:rFonts w:hint="eastAsia" w:ascii="宋体" w:hAnsi="宋体" w:cs="宋体"/>
                <w:color w:val="auto"/>
                <w:kern w:val="0"/>
                <w:sz w:val="21"/>
                <w:szCs w:val="21"/>
                <w:highlight w:val="none"/>
                <w:lang w:val="en-US" w:eastAsia="zh-CN" w:bidi="ar"/>
              </w:rPr>
              <w:t>25</w:t>
            </w:r>
            <w:r>
              <w:rPr>
                <w:rFonts w:hint="eastAsia" w:ascii="宋体" w:hAnsi="宋体" w:cs="宋体"/>
                <w:color w:val="auto"/>
                <w:kern w:val="0"/>
                <w:sz w:val="21"/>
                <w:szCs w:val="21"/>
                <w:highlight w:val="none"/>
                <w:lang w:bidi="ar"/>
              </w:rPr>
              <w:t>分）</w:t>
            </w:r>
          </w:p>
        </w:tc>
        <w:tc>
          <w:tcPr>
            <w:tcW w:w="653" w:type="pct"/>
            <w:noWrap w:val="0"/>
            <w:tcMar>
              <w:top w:w="15" w:type="dxa"/>
              <w:left w:w="15" w:type="dxa"/>
              <w:right w:w="15" w:type="dxa"/>
            </w:tcMar>
            <w:vAlign w:val="center"/>
          </w:tcPr>
          <w:p>
            <w:pPr>
              <w:widowControl/>
              <w:spacing w:line="360" w:lineRule="exact"/>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经营业绩</w:t>
            </w:r>
          </w:p>
          <w:p>
            <w:pPr>
              <w:widowControl/>
              <w:spacing w:line="360" w:lineRule="exact"/>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w:t>
            </w:r>
            <w:r>
              <w:rPr>
                <w:rFonts w:hint="eastAsia" w:ascii="宋体" w:hAnsi="宋体" w:cs="宋体"/>
                <w:color w:val="auto"/>
                <w:kern w:val="0"/>
                <w:sz w:val="21"/>
                <w:szCs w:val="21"/>
                <w:highlight w:val="none"/>
                <w:lang w:val="en-US" w:eastAsia="zh-CN" w:bidi="ar"/>
              </w:rPr>
              <w:t>8</w:t>
            </w:r>
            <w:r>
              <w:rPr>
                <w:rFonts w:hint="eastAsia" w:ascii="宋体" w:hAnsi="宋体" w:cs="宋体"/>
                <w:color w:val="auto"/>
                <w:kern w:val="0"/>
                <w:sz w:val="21"/>
                <w:szCs w:val="21"/>
                <w:highlight w:val="none"/>
                <w:lang w:bidi="ar"/>
              </w:rPr>
              <w:t>分）</w:t>
            </w:r>
          </w:p>
        </w:tc>
        <w:tc>
          <w:tcPr>
            <w:tcW w:w="3478" w:type="pct"/>
            <w:noWrap w:val="0"/>
            <w:tcMar>
              <w:top w:w="15" w:type="dxa"/>
              <w:left w:w="15" w:type="dxa"/>
              <w:right w:w="15" w:type="dxa"/>
            </w:tcMar>
            <w:vAlign w:val="center"/>
          </w:tcPr>
          <w:p>
            <w:pPr>
              <w:widowControl/>
              <w:spacing w:line="360" w:lineRule="exact"/>
              <w:jc w:val="left"/>
              <w:textAlignment w:val="center"/>
              <w:rPr>
                <w:rStyle w:val="112"/>
                <w:rFonts w:hint="default" w:ascii="宋体" w:hAnsi="宋体" w:eastAsia="宋体" w:cs="宋体"/>
                <w:color w:val="auto"/>
                <w:sz w:val="21"/>
                <w:szCs w:val="21"/>
                <w:highlight w:val="none"/>
                <w:lang w:bidi="ar"/>
              </w:rPr>
            </w:pPr>
            <w:r>
              <w:rPr>
                <w:rFonts w:hint="eastAsia" w:ascii="宋体" w:hAnsi="宋体" w:eastAsia="宋体" w:cs="宋体"/>
                <w:color w:val="auto"/>
                <w:sz w:val="21"/>
                <w:szCs w:val="21"/>
                <w:highlight w:val="none"/>
              </w:rPr>
              <w:t>投标人具有201</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rPr>
              <w:t>年1月1日以来（以合同签订时间为准）</w:t>
            </w:r>
            <w:r>
              <w:rPr>
                <w:rFonts w:hint="eastAsia" w:ascii="宋体" w:hAnsi="宋体" w:cs="宋体"/>
                <w:color w:val="auto"/>
                <w:kern w:val="0"/>
                <w:sz w:val="21"/>
                <w:szCs w:val="21"/>
                <w:highlight w:val="none"/>
                <w:lang w:val="en-US" w:eastAsia="zh-CN" w:bidi="ar"/>
              </w:rPr>
              <w:t>保洁服务</w:t>
            </w:r>
            <w:r>
              <w:rPr>
                <w:rFonts w:hint="eastAsia" w:ascii="宋体" w:hAnsi="宋体" w:cs="宋体"/>
                <w:color w:val="auto"/>
                <w:kern w:val="0"/>
                <w:sz w:val="21"/>
                <w:szCs w:val="21"/>
                <w:highlight w:val="none"/>
                <w:lang w:bidi="ar"/>
              </w:rPr>
              <w:t>项目经营业绩的</w:t>
            </w:r>
            <w:r>
              <w:rPr>
                <w:rStyle w:val="112"/>
                <w:rFonts w:hint="default" w:ascii="宋体" w:hAnsi="宋体" w:eastAsia="宋体" w:cs="宋体"/>
                <w:color w:val="auto"/>
                <w:sz w:val="21"/>
                <w:szCs w:val="21"/>
                <w:highlight w:val="none"/>
                <w:lang w:bidi="ar"/>
              </w:rPr>
              <w:t>，每提供一个计</w:t>
            </w:r>
            <w:r>
              <w:rPr>
                <w:rStyle w:val="112"/>
                <w:rFonts w:hint="eastAsia" w:ascii="宋体" w:hAnsi="宋体" w:cs="宋体"/>
                <w:color w:val="auto"/>
                <w:sz w:val="21"/>
                <w:szCs w:val="21"/>
                <w:highlight w:val="none"/>
                <w:lang w:val="en-US" w:eastAsia="zh-CN" w:bidi="ar"/>
              </w:rPr>
              <w:t>4</w:t>
            </w:r>
            <w:r>
              <w:rPr>
                <w:rStyle w:val="112"/>
                <w:rFonts w:hint="default" w:ascii="宋体" w:hAnsi="宋体" w:eastAsia="宋体" w:cs="宋体"/>
                <w:color w:val="auto"/>
                <w:sz w:val="21"/>
                <w:szCs w:val="21"/>
                <w:highlight w:val="none"/>
                <w:lang w:bidi="ar"/>
              </w:rPr>
              <w:t>分，计满</w:t>
            </w:r>
            <w:r>
              <w:rPr>
                <w:rFonts w:hint="eastAsia" w:ascii="宋体" w:hAnsi="宋体" w:cs="宋体"/>
                <w:color w:val="auto"/>
                <w:kern w:val="0"/>
                <w:sz w:val="21"/>
                <w:szCs w:val="21"/>
                <w:highlight w:val="none"/>
                <w:lang w:val="en-US" w:eastAsia="zh-CN" w:bidi="ar"/>
              </w:rPr>
              <w:t>8</w:t>
            </w:r>
            <w:r>
              <w:rPr>
                <w:rStyle w:val="112"/>
                <w:rFonts w:hint="default" w:ascii="宋体" w:hAnsi="宋体" w:eastAsia="宋体" w:cs="宋体"/>
                <w:color w:val="auto"/>
                <w:sz w:val="21"/>
                <w:szCs w:val="21"/>
                <w:highlight w:val="none"/>
                <w:lang w:bidi="ar"/>
              </w:rPr>
              <w:t>分为止</w:t>
            </w:r>
            <w:r>
              <w:rPr>
                <w:rFonts w:hint="eastAsia" w:ascii="宋体" w:hAnsi="宋体" w:cs="宋体"/>
                <w:color w:val="auto"/>
                <w:kern w:val="0"/>
                <w:sz w:val="21"/>
                <w:szCs w:val="21"/>
                <w:highlight w:val="none"/>
                <w:lang w:bidi="ar"/>
              </w:rPr>
              <w:t>，未提供的不计分</w:t>
            </w:r>
            <w:r>
              <w:rPr>
                <w:rStyle w:val="112"/>
                <w:rFonts w:hint="default" w:ascii="宋体" w:hAnsi="宋体" w:eastAsia="宋体" w:cs="宋体"/>
                <w:color w:val="auto"/>
                <w:sz w:val="21"/>
                <w:szCs w:val="21"/>
                <w:highlight w:val="none"/>
                <w:lang w:bidi="ar"/>
              </w:rPr>
              <w:t>。</w:t>
            </w:r>
          </w:p>
          <w:p>
            <w:pPr>
              <w:widowControl/>
              <w:spacing w:line="360" w:lineRule="exact"/>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注：提供中标通知书或合同复印件并加盖投标人公章，否则不计分。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2" w:hRule="atLeast"/>
          <w:jc w:val="center"/>
        </w:trPr>
        <w:tc>
          <w:tcPr>
            <w:tcW w:w="311" w:type="pct"/>
            <w:vMerge w:val="continue"/>
            <w:noWrap w:val="0"/>
            <w:tcMar>
              <w:top w:w="15" w:type="dxa"/>
              <w:left w:w="15" w:type="dxa"/>
              <w:right w:w="15" w:type="dxa"/>
            </w:tcMar>
            <w:vAlign w:val="center"/>
          </w:tcPr>
          <w:p>
            <w:pPr>
              <w:widowControl/>
              <w:spacing w:line="360" w:lineRule="exact"/>
              <w:jc w:val="center"/>
              <w:rPr>
                <w:rFonts w:hint="eastAsia" w:ascii="宋体" w:hAnsi="宋体" w:cs="宋体"/>
                <w:color w:val="auto"/>
                <w:sz w:val="21"/>
                <w:szCs w:val="21"/>
                <w:highlight w:val="none"/>
              </w:rPr>
            </w:pPr>
          </w:p>
        </w:tc>
        <w:tc>
          <w:tcPr>
            <w:tcW w:w="555" w:type="pct"/>
            <w:vMerge w:val="continue"/>
            <w:noWrap w:val="0"/>
            <w:tcMar>
              <w:top w:w="15" w:type="dxa"/>
              <w:left w:w="15" w:type="dxa"/>
              <w:right w:w="15" w:type="dxa"/>
            </w:tcMar>
            <w:vAlign w:val="center"/>
          </w:tcPr>
          <w:p>
            <w:pPr>
              <w:widowControl/>
              <w:spacing w:line="360" w:lineRule="exact"/>
              <w:jc w:val="center"/>
              <w:rPr>
                <w:rFonts w:hint="eastAsia" w:ascii="宋体" w:hAnsi="宋体" w:cs="宋体"/>
                <w:color w:val="auto"/>
                <w:sz w:val="21"/>
                <w:szCs w:val="21"/>
                <w:highlight w:val="none"/>
              </w:rPr>
            </w:pPr>
          </w:p>
        </w:tc>
        <w:tc>
          <w:tcPr>
            <w:tcW w:w="653" w:type="pct"/>
            <w:noWrap w:val="0"/>
            <w:tcMar>
              <w:top w:w="15" w:type="dxa"/>
              <w:left w:w="15" w:type="dxa"/>
              <w:right w:w="15" w:type="dxa"/>
            </w:tcMar>
            <w:vAlign w:val="center"/>
          </w:tcPr>
          <w:p>
            <w:pPr>
              <w:widowControl/>
              <w:spacing w:line="360" w:lineRule="exact"/>
              <w:jc w:val="center"/>
              <w:textAlignment w:val="center"/>
              <w:rPr>
                <w:rFonts w:hint="eastAsia" w:ascii="宋体" w:hAnsi="宋体" w:cs="宋体"/>
                <w:color w:val="auto"/>
                <w:sz w:val="21"/>
                <w:szCs w:val="21"/>
                <w:highlight w:val="none"/>
              </w:rPr>
            </w:pPr>
            <w:r>
              <w:rPr>
                <w:rFonts w:hint="eastAsia" w:ascii="宋体" w:hAnsi="宋体" w:cs="宋体"/>
                <w:color w:val="auto"/>
                <w:sz w:val="21"/>
                <w:szCs w:val="21"/>
                <w:highlight w:val="none"/>
              </w:rPr>
              <w:t>综合实力</w:t>
            </w:r>
          </w:p>
          <w:p>
            <w:pPr>
              <w:widowControl/>
              <w:spacing w:line="360" w:lineRule="exact"/>
              <w:jc w:val="center"/>
              <w:textAlignment w:val="center"/>
              <w:rPr>
                <w:rFonts w:hint="eastAsia" w:ascii="宋体" w:hAnsi="宋体" w:cs="宋体"/>
                <w:color w:val="auto"/>
                <w:sz w:val="21"/>
                <w:szCs w:val="21"/>
                <w:highlight w:val="none"/>
              </w:rPr>
            </w:pP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12</w:t>
            </w:r>
            <w:r>
              <w:rPr>
                <w:rFonts w:hint="eastAsia" w:ascii="宋体" w:hAnsi="宋体" w:cs="宋体"/>
                <w:color w:val="auto"/>
                <w:sz w:val="21"/>
                <w:szCs w:val="21"/>
                <w:highlight w:val="none"/>
              </w:rPr>
              <w:t>分)</w:t>
            </w:r>
          </w:p>
        </w:tc>
        <w:tc>
          <w:tcPr>
            <w:tcW w:w="3478" w:type="pct"/>
            <w:noWrap w:val="0"/>
            <w:tcMar>
              <w:top w:w="15" w:type="dxa"/>
              <w:left w:w="15" w:type="dxa"/>
              <w:right w:w="15" w:type="dxa"/>
            </w:tcMar>
            <w:vAlign w:val="center"/>
          </w:tcPr>
          <w:p>
            <w:pPr>
              <w:spacing w:line="360" w:lineRule="exact"/>
              <w:jc w:val="left"/>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、投标人具有清洁类资质等级证书</w:t>
            </w:r>
            <w:r>
              <w:rPr>
                <w:rFonts w:hint="eastAsia" w:ascii="宋体" w:hAnsi="宋体" w:cs="宋体"/>
                <w:color w:val="auto"/>
                <w:sz w:val="21"/>
                <w:szCs w:val="21"/>
                <w:highlight w:val="none"/>
                <w:lang w:eastAsia="zh-CN"/>
              </w:rPr>
              <w:t>的，计</w:t>
            </w:r>
            <w:r>
              <w:rPr>
                <w:rFonts w:hint="eastAsia" w:ascii="宋体" w:hAnsi="宋体" w:cs="宋体"/>
                <w:color w:val="auto"/>
                <w:sz w:val="21"/>
                <w:szCs w:val="21"/>
                <w:highlight w:val="none"/>
                <w:lang w:val="en-US" w:eastAsia="zh-CN"/>
              </w:rPr>
              <w:t>3分；</w:t>
            </w:r>
          </w:p>
          <w:p>
            <w:pPr>
              <w:spacing w:line="360" w:lineRule="exact"/>
              <w:jc w:val="left"/>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投标人具有有效期内的质量管理体系认证证书、环境认证管理体系认证证书、职业健康安全管理体系认证证书的，每提供1个计</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分，计满</w:t>
            </w:r>
            <w:r>
              <w:rPr>
                <w:rFonts w:hint="eastAsia" w:ascii="宋体" w:hAnsi="宋体" w:cs="宋体"/>
                <w:color w:val="auto"/>
                <w:sz w:val="21"/>
                <w:szCs w:val="21"/>
                <w:highlight w:val="none"/>
                <w:lang w:val="en-US" w:eastAsia="zh-CN"/>
              </w:rPr>
              <w:t>9</w:t>
            </w:r>
            <w:r>
              <w:rPr>
                <w:rFonts w:hint="eastAsia" w:ascii="宋体" w:hAnsi="宋体" w:cs="宋体"/>
                <w:color w:val="auto"/>
                <w:sz w:val="21"/>
                <w:szCs w:val="21"/>
                <w:highlight w:val="none"/>
              </w:rPr>
              <w:t>分为止。</w:t>
            </w:r>
          </w:p>
          <w:p>
            <w:pPr>
              <w:spacing w:line="36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注：提供以上相关证明文件复印件并加盖投标人公章，否则不计分。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2" w:hRule="atLeast"/>
          <w:jc w:val="center"/>
        </w:trPr>
        <w:tc>
          <w:tcPr>
            <w:tcW w:w="311" w:type="pct"/>
            <w:vMerge w:val="continue"/>
            <w:noWrap w:val="0"/>
            <w:tcMar>
              <w:top w:w="15" w:type="dxa"/>
              <w:left w:w="15" w:type="dxa"/>
              <w:right w:w="15" w:type="dxa"/>
            </w:tcMar>
            <w:vAlign w:val="center"/>
          </w:tcPr>
          <w:p>
            <w:pPr>
              <w:widowControl/>
              <w:spacing w:line="360" w:lineRule="exact"/>
              <w:jc w:val="center"/>
              <w:rPr>
                <w:rFonts w:hint="eastAsia" w:ascii="宋体" w:hAnsi="宋体" w:cs="宋体"/>
                <w:color w:val="auto"/>
                <w:sz w:val="21"/>
                <w:szCs w:val="21"/>
                <w:highlight w:val="none"/>
              </w:rPr>
            </w:pPr>
          </w:p>
        </w:tc>
        <w:tc>
          <w:tcPr>
            <w:tcW w:w="555" w:type="pct"/>
            <w:vMerge w:val="continue"/>
            <w:noWrap w:val="0"/>
            <w:tcMar>
              <w:top w:w="15" w:type="dxa"/>
              <w:left w:w="15" w:type="dxa"/>
              <w:right w:w="15" w:type="dxa"/>
            </w:tcMar>
            <w:vAlign w:val="center"/>
          </w:tcPr>
          <w:p>
            <w:pPr>
              <w:widowControl/>
              <w:spacing w:line="360" w:lineRule="exact"/>
              <w:jc w:val="center"/>
              <w:rPr>
                <w:rFonts w:hint="eastAsia" w:ascii="宋体" w:hAnsi="宋体" w:cs="宋体"/>
                <w:color w:val="auto"/>
                <w:sz w:val="21"/>
                <w:szCs w:val="21"/>
                <w:highlight w:val="none"/>
              </w:rPr>
            </w:pPr>
          </w:p>
        </w:tc>
        <w:tc>
          <w:tcPr>
            <w:tcW w:w="653" w:type="pct"/>
            <w:noWrap w:val="0"/>
            <w:tcMar>
              <w:top w:w="15" w:type="dxa"/>
              <w:left w:w="15" w:type="dxa"/>
              <w:right w:w="15" w:type="dxa"/>
            </w:tcMar>
            <w:vAlign w:val="center"/>
          </w:tcPr>
          <w:p>
            <w:pPr>
              <w:widowControl/>
              <w:spacing w:line="360" w:lineRule="exact"/>
              <w:jc w:val="center"/>
              <w:textAlignment w:val="center"/>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服务承诺</w:t>
            </w:r>
          </w:p>
          <w:p>
            <w:pPr>
              <w:widowControl/>
              <w:spacing w:line="360" w:lineRule="exact"/>
              <w:jc w:val="center"/>
              <w:textAlignment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（5分）</w:t>
            </w:r>
          </w:p>
        </w:tc>
        <w:tc>
          <w:tcPr>
            <w:tcW w:w="3478" w:type="pct"/>
            <w:noWrap w:val="0"/>
            <w:tcMar>
              <w:top w:w="15" w:type="dxa"/>
              <w:left w:w="15" w:type="dxa"/>
              <w:right w:w="15" w:type="dxa"/>
            </w:tcMar>
            <w:vAlign w:val="center"/>
          </w:tcPr>
          <w:p>
            <w:pPr>
              <w:spacing w:line="360" w:lineRule="exact"/>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若遇突发应急事件，投标单位承诺调配公司其他项目员工增援响应时间在30分钟之内能够到达现场的，计</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分；若遇突发应急事件，投标单位承诺调配公司其他项目员工增援响应时间在60分钟之内能够到达现场的，计</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rPr>
              <w:t>分；若遇突发应急事件，投标单位承诺调配公司其他项目员工增援响应时间在90分钟之内能够到达现场的，计</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rPr>
              <w:t>分；其余不计分。（提供承诺函，承诺函格式自拟）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2" w:hRule="atLeast"/>
          <w:jc w:val="center"/>
        </w:trPr>
        <w:tc>
          <w:tcPr>
            <w:tcW w:w="5000" w:type="pct"/>
            <w:gridSpan w:val="4"/>
            <w:noWrap w:val="0"/>
            <w:tcMar>
              <w:top w:w="15" w:type="dxa"/>
              <w:left w:w="15" w:type="dxa"/>
              <w:right w:w="15" w:type="dxa"/>
            </w:tcMar>
            <w:vAlign w:val="center"/>
          </w:tcPr>
          <w:p>
            <w:pPr>
              <w:widowControl/>
              <w:spacing w:line="360" w:lineRule="exact"/>
              <w:jc w:val="center"/>
              <w:textAlignment w:val="center"/>
              <w:rPr>
                <w:rFonts w:hint="eastAsia" w:ascii="宋体" w:hAnsi="宋体" w:cs="宋体"/>
                <w:color w:val="auto"/>
                <w:sz w:val="21"/>
                <w:szCs w:val="21"/>
                <w:highlight w:val="none"/>
              </w:rPr>
            </w:pPr>
          </w:p>
        </w:tc>
      </w:tr>
    </w:tbl>
    <w:p>
      <w:pPr>
        <w:adjustRightInd w:val="0"/>
        <w:snapToGrid w:val="0"/>
        <w:spacing w:line="360" w:lineRule="auto"/>
        <w:rPr>
          <w:rFonts w:hint="eastAsia" w:ascii="宋体" w:hAnsi="宋体" w:cs="宋体"/>
          <w:color w:val="auto"/>
          <w:kern w:val="0"/>
          <w:sz w:val="21"/>
          <w:szCs w:val="21"/>
          <w:highlight w:val="none"/>
        </w:rPr>
      </w:pPr>
    </w:p>
    <w:p>
      <w:pPr>
        <w:adjustRightInd w:val="0"/>
        <w:snapToGrid w:val="0"/>
        <w:spacing w:line="360" w:lineRule="auto"/>
        <w:ind w:firstLine="422" w:firstLineChars="200"/>
        <w:jc w:val="center"/>
        <w:rPr>
          <w:rStyle w:val="61"/>
          <w:rFonts w:hint="eastAsia"/>
          <w:color w:val="auto"/>
          <w:sz w:val="21"/>
          <w:szCs w:val="21"/>
          <w:highlight w:val="none"/>
        </w:rPr>
      </w:pPr>
      <w:r>
        <w:rPr>
          <w:rStyle w:val="61"/>
          <w:color w:val="auto"/>
          <w:sz w:val="21"/>
          <w:szCs w:val="21"/>
          <w:highlight w:val="none"/>
        </w:rPr>
        <w:br w:type="page"/>
      </w:r>
      <w:r>
        <w:rPr>
          <w:rStyle w:val="61"/>
          <w:rFonts w:hint="eastAsia"/>
          <w:color w:val="auto"/>
          <w:sz w:val="21"/>
          <w:szCs w:val="21"/>
          <w:highlight w:val="none"/>
        </w:rPr>
        <w:t>磋商须知正文</w:t>
      </w:r>
    </w:p>
    <w:p>
      <w:pPr>
        <w:pStyle w:val="6"/>
        <w:jc w:val="left"/>
        <w:rPr>
          <w:rFonts w:hint="eastAsia"/>
          <w:color w:val="auto"/>
          <w:sz w:val="21"/>
          <w:szCs w:val="21"/>
          <w:highlight w:val="none"/>
        </w:rPr>
      </w:pPr>
      <w:r>
        <w:rPr>
          <w:rFonts w:hint="eastAsia"/>
          <w:color w:val="auto"/>
          <w:sz w:val="21"/>
          <w:szCs w:val="21"/>
          <w:highlight w:val="none"/>
        </w:rPr>
        <w:t>一、说明</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1.适用范围</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1.1 本磋商文件仅适用于磋商须知前附表(以下简称</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中所叙述的采购项目。</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2.定义</w:t>
      </w:r>
    </w:p>
    <w:p>
      <w:pPr>
        <w:adjustRightInd w:val="0"/>
        <w:snapToGrid w:val="0"/>
        <w:spacing w:line="360" w:lineRule="auto"/>
        <w:ind w:firstLine="420" w:firstLineChars="200"/>
        <w:rPr>
          <w:rFonts w:hint="eastAsia" w:ascii="宋体" w:hAnsi="宋体"/>
          <w:b/>
          <w:color w:val="auto"/>
          <w:sz w:val="21"/>
          <w:szCs w:val="21"/>
          <w:highlight w:val="none"/>
        </w:rPr>
      </w:pPr>
      <w:r>
        <w:rPr>
          <w:rFonts w:hint="eastAsia" w:ascii="宋体" w:hAnsi="宋体"/>
          <w:color w:val="auto"/>
          <w:sz w:val="21"/>
          <w:szCs w:val="21"/>
          <w:highlight w:val="none"/>
        </w:rPr>
        <w:t>2.1 “采购人”是指依法进行政府采购的国家机关、事业单位、团体组织。本次政府采购的采购人名称、地址、电话、联系人见</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w:t>
      </w:r>
    </w:p>
    <w:p>
      <w:pPr>
        <w:adjustRightInd w:val="0"/>
        <w:snapToGrid w:val="0"/>
        <w:spacing w:line="360" w:lineRule="auto"/>
        <w:ind w:firstLine="420" w:firstLineChars="200"/>
        <w:rPr>
          <w:rFonts w:hint="eastAsia" w:ascii="宋体" w:hAnsi="宋体"/>
          <w:b/>
          <w:color w:val="auto"/>
          <w:sz w:val="21"/>
          <w:szCs w:val="21"/>
          <w:highlight w:val="none"/>
        </w:rPr>
      </w:pPr>
      <w:r>
        <w:rPr>
          <w:rFonts w:hint="eastAsia" w:ascii="宋体" w:hAnsi="宋体"/>
          <w:color w:val="auto"/>
          <w:sz w:val="21"/>
          <w:szCs w:val="21"/>
          <w:highlight w:val="none"/>
        </w:rPr>
        <w:t>2.2 “采购代理机构”是指接受采购人委托，代理采购项目的集中采购机构和其他采购代理机构。本次政府采购的采购代理机构名称、地址、电话、联系人见</w:t>
      </w:r>
      <w:r>
        <w:rPr>
          <w:rFonts w:hint="eastAsia" w:ascii="宋体" w:hAnsi="宋体"/>
          <w:b/>
          <w:color w:val="auto"/>
          <w:sz w:val="21"/>
          <w:szCs w:val="21"/>
          <w:highlight w:val="none"/>
        </w:rPr>
        <w:t>磋商须知前附表。</w:t>
      </w:r>
    </w:p>
    <w:p>
      <w:pPr>
        <w:adjustRightInd w:val="0"/>
        <w:snapToGrid w:val="0"/>
        <w:spacing w:line="360" w:lineRule="auto"/>
        <w:ind w:firstLine="420" w:firstLineChars="200"/>
        <w:rPr>
          <w:rFonts w:hint="eastAsia" w:ascii="宋体" w:hAnsi="宋体" w:cs="宋体"/>
          <w:bCs/>
          <w:color w:val="auto"/>
          <w:kern w:val="36"/>
          <w:sz w:val="21"/>
          <w:szCs w:val="21"/>
          <w:highlight w:val="none"/>
        </w:rPr>
      </w:pPr>
      <w:r>
        <w:rPr>
          <w:rFonts w:hint="eastAsia" w:ascii="宋体" w:hAnsi="宋体"/>
          <w:color w:val="auto"/>
          <w:sz w:val="21"/>
          <w:szCs w:val="21"/>
          <w:highlight w:val="none"/>
        </w:rPr>
        <w:t>2.3 “供应商”是指响应磋商文件要求、参加竞争性磋商采购的法人、其他组织或者自然人。本次政府采购项目</w:t>
      </w:r>
      <w:r>
        <w:rPr>
          <w:rFonts w:hint="eastAsia" w:ascii="宋体" w:hAnsi="宋体" w:cs="宋体"/>
          <w:color w:val="auto"/>
          <w:kern w:val="0"/>
          <w:sz w:val="21"/>
          <w:szCs w:val="21"/>
          <w:highlight w:val="none"/>
        </w:rPr>
        <w:t>邀请</w:t>
      </w:r>
      <w:r>
        <w:rPr>
          <w:rFonts w:hint="eastAsia" w:ascii="宋体" w:hAnsi="宋体"/>
          <w:color w:val="auto"/>
          <w:sz w:val="21"/>
          <w:szCs w:val="21"/>
          <w:highlight w:val="none"/>
        </w:rPr>
        <w:t>的</w:t>
      </w:r>
      <w:r>
        <w:rPr>
          <w:rFonts w:hint="eastAsia" w:ascii="宋体" w:hAnsi="宋体" w:cs="宋体"/>
          <w:color w:val="auto"/>
          <w:kern w:val="0"/>
          <w:sz w:val="21"/>
          <w:szCs w:val="21"/>
          <w:highlight w:val="none"/>
        </w:rPr>
        <w:t>供应商通过</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所述方式</w:t>
      </w:r>
      <w:r>
        <w:rPr>
          <w:rFonts w:hint="eastAsia" w:ascii="宋体" w:hAnsi="宋体" w:cs="宋体"/>
          <w:color w:val="auto"/>
          <w:kern w:val="0"/>
          <w:sz w:val="21"/>
          <w:szCs w:val="21"/>
          <w:highlight w:val="none"/>
        </w:rPr>
        <w:t>，邀请符合资格条件的供应商提交响应文件（含资格证明资料），参与竞争性磋商采购活动。</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olor w:val="auto"/>
          <w:sz w:val="21"/>
          <w:szCs w:val="21"/>
          <w:highlight w:val="none"/>
        </w:rPr>
        <w:t>2.4 “磋商小组”是指</w:t>
      </w:r>
      <w:r>
        <w:rPr>
          <w:rFonts w:hint="eastAsia" w:ascii="宋体" w:hAnsi="宋体" w:cs="宋体"/>
          <w:color w:val="auto"/>
          <w:kern w:val="0"/>
          <w:sz w:val="21"/>
          <w:szCs w:val="21"/>
          <w:highlight w:val="none"/>
        </w:rPr>
        <w:t>依据财政部</w:t>
      </w:r>
      <w:r>
        <w:rPr>
          <w:rFonts w:ascii="宋体" w:hAnsi="宋体" w:cs="宋体"/>
          <w:bCs/>
          <w:color w:val="auto"/>
          <w:kern w:val="36"/>
          <w:sz w:val="21"/>
          <w:szCs w:val="21"/>
          <w:highlight w:val="none"/>
        </w:rPr>
        <w:t>《</w:t>
      </w:r>
      <w:r>
        <w:rPr>
          <w:rFonts w:hint="eastAsia" w:ascii="宋体" w:hAnsi="宋体" w:cs="宋体"/>
          <w:bCs/>
          <w:color w:val="auto"/>
          <w:kern w:val="36"/>
          <w:sz w:val="21"/>
          <w:szCs w:val="21"/>
          <w:highlight w:val="none"/>
        </w:rPr>
        <w:t>政府采购竞争性磋商采购方式管理暂行办法</w:t>
      </w:r>
      <w:r>
        <w:rPr>
          <w:rFonts w:ascii="宋体" w:hAnsi="宋体" w:cs="宋体"/>
          <w:bCs/>
          <w:color w:val="auto"/>
          <w:kern w:val="36"/>
          <w:sz w:val="21"/>
          <w:szCs w:val="21"/>
          <w:highlight w:val="none"/>
        </w:rPr>
        <w:t>》</w:t>
      </w:r>
      <w:r>
        <w:rPr>
          <w:rFonts w:hint="eastAsia" w:ascii="宋体" w:hAnsi="宋体" w:cs="宋体"/>
          <w:bCs/>
          <w:color w:val="auto"/>
          <w:kern w:val="36"/>
          <w:sz w:val="21"/>
          <w:szCs w:val="21"/>
          <w:highlight w:val="none"/>
        </w:rPr>
        <w:t>有关规定组建，依法依规</w:t>
      </w:r>
      <w:r>
        <w:rPr>
          <w:rFonts w:hint="eastAsia" w:ascii="宋体" w:hAnsi="宋体" w:cs="宋体"/>
          <w:color w:val="auto"/>
          <w:kern w:val="0"/>
          <w:sz w:val="21"/>
          <w:szCs w:val="21"/>
          <w:highlight w:val="none"/>
        </w:rPr>
        <w:t>履行其职责和义务的机构。</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2.5 “货物”是指各种形态和种类的物品，包括原资料、燃料、设备、产品等，详见《政府采购品目分类目录》(</w:t>
      </w:r>
      <w:r>
        <w:rPr>
          <w:rStyle w:val="47"/>
          <w:rFonts w:ascii="宋体" w:hAnsi="宋体"/>
          <w:b w:val="0"/>
          <w:color w:val="auto"/>
          <w:sz w:val="21"/>
          <w:szCs w:val="21"/>
          <w:highlight w:val="none"/>
        </w:rPr>
        <w:t>财库</w:t>
      </w:r>
      <w:r>
        <w:rPr>
          <w:rStyle w:val="47"/>
          <w:rFonts w:hint="eastAsia" w:ascii="宋体" w:hAnsi="宋体"/>
          <w:b w:val="0"/>
          <w:color w:val="auto"/>
          <w:sz w:val="21"/>
          <w:szCs w:val="21"/>
          <w:highlight w:val="none"/>
        </w:rPr>
        <w:t>[</w:t>
      </w:r>
      <w:r>
        <w:rPr>
          <w:rStyle w:val="47"/>
          <w:rFonts w:ascii="宋体" w:hAnsi="宋体"/>
          <w:b w:val="0"/>
          <w:color w:val="auto"/>
          <w:sz w:val="21"/>
          <w:szCs w:val="21"/>
          <w:highlight w:val="none"/>
        </w:rPr>
        <w:t>2013</w:t>
      </w:r>
      <w:r>
        <w:rPr>
          <w:rStyle w:val="47"/>
          <w:rFonts w:hint="eastAsia" w:ascii="宋体" w:hAnsi="宋体"/>
          <w:b w:val="0"/>
          <w:color w:val="auto"/>
          <w:sz w:val="21"/>
          <w:szCs w:val="21"/>
          <w:highlight w:val="none"/>
        </w:rPr>
        <w:t>]</w:t>
      </w:r>
      <w:r>
        <w:rPr>
          <w:rStyle w:val="47"/>
          <w:rFonts w:ascii="宋体" w:hAnsi="宋体"/>
          <w:b w:val="0"/>
          <w:color w:val="auto"/>
          <w:sz w:val="21"/>
          <w:szCs w:val="21"/>
          <w:highlight w:val="none"/>
        </w:rPr>
        <w:t>189号</w:t>
      </w:r>
      <w:r>
        <w:rPr>
          <w:rFonts w:hint="eastAsia" w:ascii="宋体" w:hAnsi="宋体"/>
          <w:color w:val="auto"/>
          <w:sz w:val="21"/>
          <w:szCs w:val="21"/>
          <w:highlight w:val="none"/>
        </w:rPr>
        <w:t>)。</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2.6 “工程”是指建设工程，包括建筑物和构筑物的新建、改建、扩建、装修、拆除、修缮等，详见《政府采购品目分类目录》(</w:t>
      </w:r>
      <w:r>
        <w:rPr>
          <w:rStyle w:val="47"/>
          <w:rFonts w:ascii="宋体" w:hAnsi="宋体"/>
          <w:b w:val="0"/>
          <w:color w:val="auto"/>
          <w:sz w:val="21"/>
          <w:szCs w:val="21"/>
          <w:highlight w:val="none"/>
        </w:rPr>
        <w:t>财库</w:t>
      </w:r>
      <w:r>
        <w:rPr>
          <w:rStyle w:val="47"/>
          <w:rFonts w:hint="eastAsia" w:ascii="宋体" w:hAnsi="宋体"/>
          <w:b w:val="0"/>
          <w:color w:val="auto"/>
          <w:sz w:val="21"/>
          <w:szCs w:val="21"/>
          <w:highlight w:val="none"/>
        </w:rPr>
        <w:t>[</w:t>
      </w:r>
      <w:r>
        <w:rPr>
          <w:rStyle w:val="47"/>
          <w:rFonts w:ascii="宋体" w:hAnsi="宋体"/>
          <w:b w:val="0"/>
          <w:color w:val="auto"/>
          <w:sz w:val="21"/>
          <w:szCs w:val="21"/>
          <w:highlight w:val="none"/>
        </w:rPr>
        <w:t>2013</w:t>
      </w:r>
      <w:r>
        <w:rPr>
          <w:rStyle w:val="47"/>
          <w:rFonts w:hint="eastAsia" w:ascii="宋体" w:hAnsi="宋体"/>
          <w:b w:val="0"/>
          <w:color w:val="auto"/>
          <w:sz w:val="21"/>
          <w:szCs w:val="21"/>
          <w:highlight w:val="none"/>
        </w:rPr>
        <w:t>]</w:t>
      </w:r>
      <w:r>
        <w:rPr>
          <w:rStyle w:val="47"/>
          <w:rFonts w:ascii="宋体" w:hAnsi="宋体"/>
          <w:b w:val="0"/>
          <w:color w:val="auto"/>
          <w:sz w:val="21"/>
          <w:szCs w:val="21"/>
          <w:highlight w:val="none"/>
        </w:rPr>
        <w:t>189号</w:t>
      </w:r>
      <w:r>
        <w:rPr>
          <w:rFonts w:hint="eastAsia" w:ascii="宋体" w:hAnsi="宋体"/>
          <w:color w:val="auto"/>
          <w:sz w:val="21"/>
          <w:szCs w:val="21"/>
          <w:highlight w:val="none"/>
        </w:rPr>
        <w:t>)。</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2.7 “服务”是指除货物和工程以外的其他政府采购对象，详见《政府采购品目分类目录》(</w:t>
      </w:r>
      <w:r>
        <w:rPr>
          <w:rStyle w:val="47"/>
          <w:rFonts w:ascii="宋体" w:hAnsi="宋体"/>
          <w:b w:val="0"/>
          <w:color w:val="auto"/>
          <w:sz w:val="21"/>
          <w:szCs w:val="21"/>
          <w:highlight w:val="none"/>
        </w:rPr>
        <w:t>财库</w:t>
      </w:r>
      <w:r>
        <w:rPr>
          <w:rStyle w:val="47"/>
          <w:rFonts w:hint="eastAsia" w:ascii="宋体" w:hAnsi="宋体"/>
          <w:b w:val="0"/>
          <w:color w:val="auto"/>
          <w:sz w:val="21"/>
          <w:szCs w:val="21"/>
          <w:highlight w:val="none"/>
        </w:rPr>
        <w:t>[</w:t>
      </w:r>
      <w:r>
        <w:rPr>
          <w:rStyle w:val="47"/>
          <w:rFonts w:ascii="宋体" w:hAnsi="宋体"/>
          <w:b w:val="0"/>
          <w:color w:val="auto"/>
          <w:sz w:val="21"/>
          <w:szCs w:val="21"/>
          <w:highlight w:val="none"/>
        </w:rPr>
        <w:t>2013</w:t>
      </w:r>
      <w:r>
        <w:rPr>
          <w:rStyle w:val="47"/>
          <w:rFonts w:hint="eastAsia" w:ascii="宋体" w:hAnsi="宋体"/>
          <w:b w:val="0"/>
          <w:color w:val="auto"/>
          <w:sz w:val="21"/>
          <w:szCs w:val="21"/>
          <w:highlight w:val="none"/>
        </w:rPr>
        <w:t>]</w:t>
      </w:r>
      <w:r>
        <w:rPr>
          <w:rStyle w:val="47"/>
          <w:rFonts w:ascii="宋体" w:hAnsi="宋体"/>
          <w:b w:val="0"/>
          <w:color w:val="auto"/>
          <w:sz w:val="21"/>
          <w:szCs w:val="21"/>
          <w:highlight w:val="none"/>
        </w:rPr>
        <w:t>189号</w:t>
      </w:r>
      <w:r>
        <w:rPr>
          <w:rFonts w:hint="eastAsia" w:ascii="宋体" w:hAnsi="宋体"/>
          <w:color w:val="auto"/>
          <w:sz w:val="21"/>
          <w:szCs w:val="21"/>
          <w:highlight w:val="none"/>
        </w:rPr>
        <w:t>)。</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s="宋体"/>
          <w:color w:val="auto"/>
          <w:kern w:val="0"/>
          <w:sz w:val="21"/>
          <w:szCs w:val="21"/>
          <w:highlight w:val="none"/>
        </w:rPr>
        <w:t>2.8</w:t>
      </w:r>
      <w:r>
        <w:rPr>
          <w:rFonts w:hint="eastAsia" w:ascii="宋体" w:hAnsi="宋体"/>
          <w:color w:val="auto"/>
          <w:sz w:val="21"/>
          <w:szCs w:val="21"/>
          <w:highlight w:val="none"/>
        </w:rPr>
        <w:t xml:space="preserve"> “节能产品”或者“环保产品”是指财政部发布的《节能产品政府采购清单》或者《环境标志产品政府采购清单》的产品，“两型产品”是指湖南省财政厅发布的</w:t>
      </w:r>
      <w:r>
        <w:rPr>
          <w:rFonts w:ascii="宋体" w:hAnsi="宋体"/>
          <w:color w:val="auto"/>
          <w:sz w:val="21"/>
          <w:szCs w:val="21"/>
          <w:highlight w:val="none"/>
        </w:rPr>
        <w:t>《湖南省两型产品政府采购目录》</w:t>
      </w:r>
      <w:r>
        <w:rPr>
          <w:rFonts w:hint="eastAsia" w:ascii="宋体" w:hAnsi="宋体"/>
          <w:color w:val="auto"/>
          <w:sz w:val="21"/>
          <w:szCs w:val="21"/>
          <w:highlight w:val="none"/>
        </w:rPr>
        <w:t>或《长沙市两型产品目录》的产品。</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olor w:val="auto"/>
          <w:sz w:val="21"/>
          <w:szCs w:val="21"/>
          <w:highlight w:val="none"/>
        </w:rPr>
        <w:t>2.9</w:t>
      </w:r>
      <w:r>
        <w:rPr>
          <w:rFonts w:hint="eastAsia" w:ascii="宋体" w:hAnsi="宋体" w:cs="宋体"/>
          <w:color w:val="auto"/>
          <w:kern w:val="0"/>
          <w:sz w:val="21"/>
          <w:szCs w:val="21"/>
          <w:highlight w:val="none"/>
        </w:rPr>
        <w:t xml:space="preserve"> “进口产品”是指通过中国海关报关验放进入中国境内且产自关境外的产品，详见《</w:t>
      </w:r>
      <w:r>
        <w:rPr>
          <w:rFonts w:ascii="宋体" w:hAnsi="宋体" w:cs="宋体"/>
          <w:color w:val="auto"/>
          <w:kern w:val="0"/>
          <w:sz w:val="21"/>
          <w:szCs w:val="21"/>
          <w:highlight w:val="none"/>
        </w:rPr>
        <w:t>关于政府采购进口产品管理有关问题的通知</w:t>
      </w:r>
      <w:r>
        <w:rPr>
          <w:rFonts w:hint="eastAsia" w:ascii="宋体" w:hAnsi="宋体" w:cs="宋体"/>
          <w:color w:val="auto"/>
          <w:kern w:val="0"/>
          <w:sz w:val="21"/>
          <w:szCs w:val="21"/>
          <w:highlight w:val="none"/>
        </w:rPr>
        <w:t>》(财库[2007]119号)。</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3.供应商的资格要求</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3.1 供应商应当符合</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中规定的资格条件要求。</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3.2供应商</w:t>
      </w:r>
      <w:r>
        <w:rPr>
          <w:rFonts w:hint="eastAsia" w:hAnsi="宋体"/>
          <w:color w:val="auto"/>
          <w:sz w:val="21"/>
          <w:szCs w:val="21"/>
          <w:highlight w:val="none"/>
        </w:rPr>
        <w:t>为联合体形式的</w:t>
      </w:r>
      <w:r>
        <w:rPr>
          <w:rFonts w:hint="eastAsia" w:ascii="宋体" w:hAnsi="宋体"/>
          <w:color w:val="auto"/>
          <w:sz w:val="21"/>
          <w:szCs w:val="21"/>
          <w:highlight w:val="none"/>
        </w:rPr>
        <w:t xml:space="preserve">，除应满足本章第3.1款资格条件要求及第3.3款规定外，还应遵守以下规定： </w:t>
      </w:r>
    </w:p>
    <w:p>
      <w:pPr>
        <w:adjustRightInd w:val="0"/>
        <w:snapToGrid w:val="0"/>
        <w:spacing w:line="360" w:lineRule="auto"/>
        <w:ind w:firstLine="420" w:firstLineChars="200"/>
        <w:jc w:val="left"/>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（1）联合体各方应按磋商文件提供的格式签订联合体协议书，明确联合体牵头人和各方权利义务(含承担工作及工作量比例)；</w:t>
      </w:r>
    </w:p>
    <w:p>
      <w:pPr>
        <w:adjustRightInd w:val="0"/>
        <w:snapToGrid w:val="0"/>
        <w:spacing w:line="360" w:lineRule="auto"/>
        <w:ind w:firstLine="420" w:firstLineChars="200"/>
        <w:jc w:val="left"/>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（2）联合体中有同类资质的供应商按照联合体分工承担相同工作的，应当按照资质等级较低的供应商确定资质等级；</w:t>
      </w:r>
    </w:p>
    <w:p>
      <w:pPr>
        <w:adjustRightInd w:val="0"/>
        <w:snapToGrid w:val="0"/>
        <w:spacing w:line="360" w:lineRule="auto"/>
        <w:ind w:firstLine="420" w:firstLineChars="200"/>
        <w:jc w:val="left"/>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lang w:val="zh-CN"/>
        </w:rPr>
        <w:t>（3）以联合体形式参加政府采购活动的，联合体各方不得再单独参加或者与其他供应商另外组成联合体参加同一合同项下的政府采购活动。</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3.3 供应商不得存在下列情形之一：</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（l）与采购人、采购代理机构存在</w:t>
      </w:r>
      <w:r>
        <w:rPr>
          <w:rFonts w:hint="eastAsia" w:ascii="宋体" w:hAnsi="宋体"/>
          <w:bCs/>
          <w:color w:val="auto"/>
          <w:sz w:val="21"/>
          <w:szCs w:val="21"/>
          <w:highlight w:val="none"/>
        </w:rPr>
        <w:t>隶属关系或者其他利害关系</w:t>
      </w:r>
      <w:r>
        <w:rPr>
          <w:rFonts w:hint="eastAsia" w:ascii="宋体" w:hAnsi="宋体"/>
          <w:color w:val="auto"/>
          <w:sz w:val="21"/>
          <w:szCs w:val="21"/>
          <w:highlight w:val="none"/>
        </w:rPr>
        <w:t>。</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（2）与其他供应商的法定代表人（或者负责人）为同一人，或者与其他供应商存在直接控股、管理关系。</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w:t>
      </w:r>
      <w:r>
        <w:rPr>
          <w:rFonts w:hint="eastAsia" w:ascii="宋体" w:hAnsi="宋体"/>
          <w:bCs/>
          <w:color w:val="auto"/>
          <w:sz w:val="21"/>
          <w:szCs w:val="21"/>
          <w:highlight w:val="none"/>
        </w:rPr>
        <w:t>受到刑事处罚，或者受到三万元以上的罚款、责令停产停业、在一至三年内禁止参加政府采购活动、暂扣或者吊销许可证、暂扣或者吊销执照等情形之一的行政处罚，或者存在</w:t>
      </w:r>
      <w:r>
        <w:rPr>
          <w:rFonts w:hint="eastAsia" w:ascii="宋体" w:hAnsi="宋体"/>
          <w:color w:val="auto"/>
          <w:sz w:val="21"/>
          <w:szCs w:val="21"/>
          <w:highlight w:val="none"/>
        </w:rPr>
        <w:t>财政部门认定的其他重大违法记录。</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 xml:space="preserve">4.参与磋商的费用 </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4.1 无论磋商的结果如何，供应商应自行承担所有与竞争性磋商采购活动有关的全部费用。</w:t>
      </w:r>
    </w:p>
    <w:p>
      <w:pPr>
        <w:pStyle w:val="25"/>
        <w:adjustRightInd w:val="0"/>
        <w:snapToGrid w:val="0"/>
        <w:spacing w:line="360" w:lineRule="auto"/>
        <w:rPr>
          <w:rFonts w:hint="eastAsia" w:hAnsi="宋体"/>
          <w:b/>
          <w:bCs/>
          <w:color w:val="auto"/>
          <w:highlight w:val="none"/>
        </w:rPr>
      </w:pPr>
      <w:r>
        <w:rPr>
          <w:rFonts w:hint="eastAsia" w:hAnsi="宋体"/>
          <w:b/>
          <w:color w:val="auto"/>
          <w:highlight w:val="none"/>
        </w:rPr>
        <w:t>5．</w:t>
      </w:r>
      <w:r>
        <w:rPr>
          <w:rFonts w:hint="eastAsia" w:hAnsi="宋体"/>
          <w:b/>
          <w:bCs/>
          <w:color w:val="auto"/>
          <w:highlight w:val="none"/>
        </w:rPr>
        <w:t>授权委托</w:t>
      </w:r>
    </w:p>
    <w:p>
      <w:pPr>
        <w:pStyle w:val="25"/>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5.1供应商代表为供应商法定代表人的，应持有法定代表人身份证明。供应商代表不是供应商法定代表人的，应持有法定代表人授权书，并附法定代表人身份证明。</w:t>
      </w:r>
    </w:p>
    <w:p>
      <w:pPr>
        <w:pStyle w:val="25"/>
        <w:adjustRightInd w:val="0"/>
        <w:snapToGrid w:val="0"/>
        <w:spacing w:line="360" w:lineRule="auto"/>
        <w:rPr>
          <w:rFonts w:hint="eastAsia" w:hAnsi="宋体"/>
          <w:b/>
          <w:color w:val="auto"/>
          <w:highlight w:val="none"/>
        </w:rPr>
      </w:pPr>
      <w:r>
        <w:rPr>
          <w:rFonts w:hint="eastAsia" w:hAnsi="宋体"/>
          <w:b/>
          <w:color w:val="auto"/>
          <w:highlight w:val="none"/>
        </w:rPr>
        <w:t>6．联合体形式</w:t>
      </w:r>
    </w:p>
    <w:p>
      <w:pPr>
        <w:pStyle w:val="25"/>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6.1除</w:t>
      </w:r>
      <w:r>
        <w:rPr>
          <w:rFonts w:hint="eastAsia" w:hAnsi="宋体"/>
          <w:b/>
          <w:color w:val="auto"/>
          <w:highlight w:val="none"/>
        </w:rPr>
        <w:t>磋商须知前附表</w:t>
      </w:r>
      <w:r>
        <w:rPr>
          <w:rFonts w:hint="eastAsia" w:hAnsi="宋体"/>
          <w:color w:val="auto"/>
          <w:highlight w:val="none"/>
        </w:rPr>
        <w:t>中另有规定，本次磋商采购不接受为联合体形式的供应商。</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6.2供应商</w:t>
      </w:r>
      <w:r>
        <w:rPr>
          <w:rFonts w:hint="eastAsia" w:hAnsi="宋体"/>
          <w:color w:val="auto"/>
          <w:sz w:val="21"/>
          <w:szCs w:val="21"/>
          <w:highlight w:val="none"/>
        </w:rPr>
        <w:t>为联合体形式的</w:t>
      </w:r>
      <w:r>
        <w:rPr>
          <w:rFonts w:hint="eastAsia" w:ascii="宋体" w:hAnsi="宋体"/>
          <w:color w:val="auto"/>
          <w:sz w:val="21"/>
          <w:szCs w:val="21"/>
          <w:highlight w:val="none"/>
        </w:rPr>
        <w:t>，除应符合本章第3条规定外，还应遵守以下规定：</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（l）联合体各方必须签订联合体协议书，明确联合体牵头人和各方的义务、工作、合同工作量比例；</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（2）联合体各方均应当符合本章第3.1</w:t>
      </w:r>
      <w:r>
        <w:rPr>
          <w:rFonts w:hint="eastAsia" w:ascii="宋体" w:hAnsi="宋体" w:cs="宋体"/>
          <w:color w:val="auto"/>
          <w:kern w:val="0"/>
          <w:sz w:val="21"/>
          <w:szCs w:val="21"/>
          <w:highlight w:val="none"/>
          <w:lang w:val="zh-CN"/>
        </w:rPr>
        <w:t>款</w:t>
      </w:r>
      <w:r>
        <w:rPr>
          <w:rFonts w:hint="eastAsia" w:ascii="宋体" w:hAnsi="宋体"/>
          <w:color w:val="auto"/>
          <w:sz w:val="21"/>
          <w:szCs w:val="21"/>
          <w:highlight w:val="none"/>
        </w:rPr>
        <w:t>规定的供应商基本资格条件；</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（3）除</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中另有规定，联合体各方中至少有一方应当符合本章第3.1</w:t>
      </w:r>
      <w:r>
        <w:rPr>
          <w:rFonts w:hint="eastAsia" w:ascii="宋体" w:hAnsi="宋体" w:cs="宋体"/>
          <w:color w:val="auto"/>
          <w:kern w:val="0"/>
          <w:sz w:val="21"/>
          <w:szCs w:val="21"/>
          <w:highlight w:val="none"/>
          <w:lang w:val="zh-CN"/>
        </w:rPr>
        <w:t>款</w:t>
      </w:r>
      <w:r>
        <w:rPr>
          <w:rFonts w:hint="eastAsia" w:ascii="宋体" w:hAnsi="宋体"/>
          <w:color w:val="auto"/>
          <w:sz w:val="21"/>
          <w:szCs w:val="21"/>
          <w:highlight w:val="none"/>
        </w:rPr>
        <w:t>规定的供应商特定资格条件；</w:t>
      </w:r>
    </w:p>
    <w:p>
      <w:pPr>
        <w:adjustRightInd w:val="0"/>
        <w:snapToGrid w:val="0"/>
        <w:spacing w:line="360" w:lineRule="auto"/>
        <w:ind w:firstLine="420" w:firstLineChars="200"/>
        <w:jc w:val="left"/>
        <w:rPr>
          <w:rFonts w:hint="eastAsia" w:ascii="宋体" w:hAnsi="宋体" w:cs="宋体"/>
          <w:color w:val="auto"/>
          <w:kern w:val="0"/>
          <w:sz w:val="21"/>
          <w:szCs w:val="21"/>
          <w:highlight w:val="none"/>
          <w:lang w:val="zh-CN"/>
        </w:rPr>
      </w:pPr>
      <w:r>
        <w:rPr>
          <w:rFonts w:hint="eastAsia" w:ascii="宋体" w:hAnsi="宋体"/>
          <w:color w:val="auto"/>
          <w:sz w:val="21"/>
          <w:szCs w:val="21"/>
          <w:highlight w:val="none"/>
        </w:rPr>
        <w:t>（4）</w:t>
      </w:r>
      <w:r>
        <w:rPr>
          <w:rFonts w:hint="eastAsia" w:ascii="宋体" w:hAnsi="宋体" w:cs="宋体"/>
          <w:color w:val="auto"/>
          <w:kern w:val="0"/>
          <w:sz w:val="21"/>
          <w:szCs w:val="21"/>
          <w:highlight w:val="none"/>
          <w:lang w:val="zh-CN"/>
        </w:rPr>
        <w:t>联合体各方不得再单独或与其他供应商组成新的联合体参加同一项目的采购活动。</w:t>
      </w:r>
    </w:p>
    <w:p>
      <w:pPr>
        <w:adjustRightInd w:val="0"/>
        <w:snapToGrid w:val="0"/>
        <w:spacing w:line="360" w:lineRule="auto"/>
        <w:rPr>
          <w:rFonts w:hint="eastAsia" w:ascii="宋体" w:hAnsi="宋体"/>
          <w:b/>
          <w:color w:val="auto"/>
          <w:sz w:val="21"/>
          <w:szCs w:val="21"/>
          <w:highlight w:val="none"/>
        </w:rPr>
      </w:pPr>
      <w:r>
        <w:rPr>
          <w:rFonts w:hint="eastAsia" w:ascii="宋体" w:hAnsi="宋体"/>
          <w:b/>
          <w:color w:val="auto"/>
          <w:sz w:val="21"/>
          <w:szCs w:val="21"/>
          <w:highlight w:val="none"/>
        </w:rPr>
        <w:t>7.现场勘察</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7.1供应商应按</w:t>
      </w:r>
      <w:r>
        <w:rPr>
          <w:rFonts w:hint="eastAsia" w:hAnsi="宋体"/>
          <w:b/>
          <w:color w:val="auto"/>
          <w:sz w:val="21"/>
          <w:szCs w:val="21"/>
          <w:highlight w:val="none"/>
        </w:rPr>
        <w:t>磋商须知前附表</w:t>
      </w:r>
      <w:r>
        <w:rPr>
          <w:rFonts w:hint="eastAsia" w:hAnsi="宋体"/>
          <w:color w:val="auto"/>
          <w:sz w:val="21"/>
          <w:szCs w:val="21"/>
          <w:highlight w:val="none"/>
        </w:rPr>
        <w:t>中规定</w:t>
      </w:r>
      <w:r>
        <w:rPr>
          <w:rFonts w:hint="eastAsia" w:ascii="宋体" w:hAnsi="宋体"/>
          <w:color w:val="auto"/>
          <w:sz w:val="21"/>
          <w:szCs w:val="21"/>
          <w:highlight w:val="none"/>
        </w:rPr>
        <w:t>对采购项目现场和周围环境的现场考察。</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7.2勘察现场的费用由供应商自己承担，勘察期间所发生的人身伤害及财产损失由供应商自己负责。</w:t>
      </w:r>
    </w:p>
    <w:p>
      <w:pPr>
        <w:adjustRightInd w:val="0"/>
        <w:snapToGrid w:val="0"/>
        <w:spacing w:line="360" w:lineRule="auto"/>
        <w:ind w:firstLine="420" w:firstLineChars="200"/>
        <w:jc w:val="left"/>
        <w:rPr>
          <w:rFonts w:hint="eastAsia" w:ascii="宋体" w:hAnsi="宋体"/>
          <w:b/>
          <w:color w:val="auto"/>
          <w:sz w:val="21"/>
          <w:szCs w:val="21"/>
          <w:highlight w:val="none"/>
        </w:rPr>
      </w:pPr>
      <w:r>
        <w:rPr>
          <w:rFonts w:hint="eastAsia" w:ascii="宋体" w:hAnsi="宋体"/>
          <w:color w:val="auto"/>
          <w:sz w:val="21"/>
          <w:szCs w:val="21"/>
          <w:highlight w:val="none"/>
        </w:rPr>
        <w:t>7.3采购人不对供应商据此而做出的推论、理解和结论负责。一旦成交，供应商不得以任何借口，提出额外补偿，或延长合同期限的要求。</w:t>
      </w:r>
    </w:p>
    <w:p>
      <w:pPr>
        <w:adjustRightInd w:val="0"/>
        <w:snapToGrid w:val="0"/>
        <w:spacing w:line="360" w:lineRule="auto"/>
        <w:jc w:val="left"/>
        <w:rPr>
          <w:rFonts w:hint="eastAsia" w:ascii="宋体" w:hAnsi="宋体"/>
          <w:b/>
          <w:color w:val="auto"/>
          <w:sz w:val="21"/>
          <w:szCs w:val="21"/>
          <w:highlight w:val="none"/>
        </w:rPr>
      </w:pPr>
      <w:r>
        <w:rPr>
          <w:rFonts w:hint="eastAsia" w:ascii="宋体" w:hAnsi="宋体"/>
          <w:b/>
          <w:color w:val="auto"/>
          <w:sz w:val="21"/>
          <w:szCs w:val="21"/>
          <w:highlight w:val="none"/>
        </w:rPr>
        <w:t>8.采购进口产品</w:t>
      </w:r>
    </w:p>
    <w:p>
      <w:pPr>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olor w:val="auto"/>
          <w:sz w:val="21"/>
          <w:szCs w:val="21"/>
          <w:highlight w:val="none"/>
        </w:rPr>
        <w:t>8.1除</w:t>
      </w:r>
      <w:r>
        <w:rPr>
          <w:rFonts w:hint="eastAsia" w:ascii="宋体" w:hAnsi="宋体"/>
          <w:b/>
          <w:color w:val="auto"/>
          <w:sz w:val="21"/>
          <w:szCs w:val="21"/>
          <w:highlight w:val="none"/>
        </w:rPr>
        <w:t>磋商文件前附表</w:t>
      </w:r>
      <w:r>
        <w:rPr>
          <w:rFonts w:hint="eastAsia" w:ascii="宋体" w:hAnsi="宋体"/>
          <w:color w:val="auto"/>
          <w:sz w:val="21"/>
          <w:szCs w:val="21"/>
          <w:highlight w:val="none"/>
        </w:rPr>
        <w:t>另有规定外，本项目</w:t>
      </w:r>
      <w:r>
        <w:rPr>
          <w:rFonts w:hint="eastAsia" w:ascii="宋体" w:hAnsi="宋体" w:cs="宋体"/>
          <w:color w:val="auto"/>
          <w:kern w:val="0"/>
          <w:sz w:val="21"/>
          <w:szCs w:val="21"/>
          <w:highlight w:val="none"/>
        </w:rPr>
        <w:t>拒绝进口产品参加</w:t>
      </w:r>
      <w:r>
        <w:rPr>
          <w:rFonts w:hint="eastAsia" w:ascii="宋体" w:hAnsi="宋体"/>
          <w:color w:val="auto"/>
          <w:sz w:val="21"/>
          <w:szCs w:val="21"/>
          <w:highlight w:val="none"/>
        </w:rPr>
        <w:t>竞争性磋商采购活动</w:t>
      </w:r>
      <w:r>
        <w:rPr>
          <w:rFonts w:hint="eastAsia" w:ascii="宋体" w:hAnsi="宋体" w:cs="宋体"/>
          <w:color w:val="auto"/>
          <w:kern w:val="0"/>
          <w:sz w:val="21"/>
          <w:szCs w:val="21"/>
          <w:highlight w:val="none"/>
        </w:rPr>
        <w:t>。</w:t>
      </w:r>
    </w:p>
    <w:p>
      <w:pPr>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8.2</w:t>
      </w:r>
      <w:r>
        <w:rPr>
          <w:rFonts w:hint="eastAsia" w:ascii="宋体" w:hAnsi="宋体"/>
          <w:color w:val="auto"/>
          <w:sz w:val="21"/>
          <w:szCs w:val="21"/>
          <w:highlight w:val="none"/>
        </w:rPr>
        <w:t>本章第7.1</w:t>
      </w:r>
      <w:r>
        <w:rPr>
          <w:rFonts w:hint="eastAsia" w:ascii="宋体" w:hAnsi="宋体" w:cs="宋体"/>
          <w:color w:val="auto"/>
          <w:kern w:val="0"/>
          <w:sz w:val="21"/>
          <w:szCs w:val="21"/>
          <w:highlight w:val="none"/>
          <w:lang w:val="zh-CN"/>
        </w:rPr>
        <w:t>款</w:t>
      </w:r>
      <w:r>
        <w:rPr>
          <w:rFonts w:hint="eastAsia" w:ascii="宋体" w:hAnsi="宋体"/>
          <w:color w:val="auto"/>
          <w:sz w:val="21"/>
          <w:szCs w:val="21"/>
          <w:highlight w:val="none"/>
        </w:rPr>
        <w:t>规定</w:t>
      </w:r>
      <w:r>
        <w:rPr>
          <w:rFonts w:ascii="宋体" w:hAnsi="宋体" w:cs="宋体"/>
          <w:color w:val="auto"/>
          <w:kern w:val="0"/>
          <w:sz w:val="21"/>
          <w:szCs w:val="21"/>
          <w:highlight w:val="none"/>
        </w:rPr>
        <w:t>同意购买进口产品的</w:t>
      </w:r>
      <w:r>
        <w:rPr>
          <w:rFonts w:hint="eastAsia" w:ascii="宋体" w:hAnsi="宋体" w:cs="宋体"/>
          <w:color w:val="auto"/>
          <w:kern w:val="0"/>
          <w:sz w:val="21"/>
          <w:szCs w:val="21"/>
          <w:highlight w:val="none"/>
        </w:rPr>
        <w:t>，</w:t>
      </w:r>
      <w:r>
        <w:rPr>
          <w:rFonts w:hint="eastAsia" w:ascii="宋体" w:hAnsi="宋体"/>
          <w:color w:val="auto"/>
          <w:sz w:val="21"/>
          <w:szCs w:val="21"/>
          <w:highlight w:val="none"/>
        </w:rPr>
        <w:t>本项目</w:t>
      </w:r>
      <w:r>
        <w:rPr>
          <w:rFonts w:hint="eastAsia" w:ascii="宋体" w:hAnsi="宋体" w:cs="宋体"/>
          <w:color w:val="auto"/>
          <w:kern w:val="0"/>
          <w:sz w:val="21"/>
          <w:szCs w:val="21"/>
          <w:highlight w:val="none"/>
          <w:lang w:val="zh-CN"/>
        </w:rPr>
        <w:t>采购活动</w:t>
      </w:r>
      <w:r>
        <w:rPr>
          <w:rFonts w:hint="eastAsia" w:ascii="宋体" w:hAnsi="宋体" w:cs="宋体"/>
          <w:color w:val="auto"/>
          <w:kern w:val="0"/>
          <w:sz w:val="21"/>
          <w:szCs w:val="21"/>
          <w:highlight w:val="none"/>
        </w:rPr>
        <w:t>不</w:t>
      </w:r>
      <w:r>
        <w:rPr>
          <w:rFonts w:ascii="宋体" w:hAnsi="宋体" w:cs="宋体"/>
          <w:color w:val="auto"/>
          <w:kern w:val="0"/>
          <w:sz w:val="21"/>
          <w:szCs w:val="21"/>
          <w:highlight w:val="none"/>
        </w:rPr>
        <w:t>限制满足</w:t>
      </w:r>
      <w:r>
        <w:rPr>
          <w:rFonts w:hint="eastAsia" w:ascii="宋体" w:hAnsi="宋体"/>
          <w:color w:val="auto"/>
          <w:sz w:val="21"/>
          <w:szCs w:val="21"/>
          <w:highlight w:val="none"/>
        </w:rPr>
        <w:t>磋商文件要求</w:t>
      </w:r>
      <w:r>
        <w:rPr>
          <w:rFonts w:ascii="宋体" w:hAnsi="宋体" w:cs="宋体"/>
          <w:color w:val="auto"/>
          <w:kern w:val="0"/>
          <w:sz w:val="21"/>
          <w:szCs w:val="21"/>
          <w:highlight w:val="none"/>
        </w:rPr>
        <w:t>的国内产品参与</w:t>
      </w:r>
      <w:r>
        <w:rPr>
          <w:rFonts w:hint="eastAsia" w:ascii="宋体" w:hAnsi="宋体"/>
          <w:color w:val="auto"/>
          <w:sz w:val="21"/>
          <w:szCs w:val="21"/>
          <w:highlight w:val="none"/>
        </w:rPr>
        <w:t>竞争性磋商</w:t>
      </w:r>
      <w:r>
        <w:rPr>
          <w:rFonts w:ascii="宋体" w:hAnsi="宋体" w:cs="宋体"/>
          <w:color w:val="auto"/>
          <w:kern w:val="0"/>
          <w:sz w:val="21"/>
          <w:szCs w:val="21"/>
          <w:highlight w:val="none"/>
        </w:rPr>
        <w:t>。</w:t>
      </w:r>
    </w:p>
    <w:p>
      <w:pPr>
        <w:adjustRightInd w:val="0"/>
        <w:snapToGrid w:val="0"/>
        <w:spacing w:line="360" w:lineRule="auto"/>
        <w:jc w:val="left"/>
        <w:rPr>
          <w:rFonts w:hint="eastAsia" w:ascii="宋体" w:hAnsi="宋体"/>
          <w:b/>
          <w:color w:val="auto"/>
          <w:sz w:val="21"/>
          <w:szCs w:val="21"/>
          <w:highlight w:val="none"/>
        </w:rPr>
      </w:pPr>
      <w:r>
        <w:rPr>
          <w:rFonts w:hint="eastAsia" w:ascii="宋体" w:hAnsi="宋体"/>
          <w:b/>
          <w:bCs/>
          <w:color w:val="auto"/>
          <w:sz w:val="21"/>
          <w:szCs w:val="21"/>
          <w:highlight w:val="none"/>
        </w:rPr>
        <w:t>9.</w:t>
      </w:r>
      <w:r>
        <w:rPr>
          <w:rFonts w:hint="eastAsia" w:ascii="宋体" w:hAnsi="宋体"/>
          <w:b/>
          <w:color w:val="auto"/>
          <w:sz w:val="21"/>
          <w:szCs w:val="21"/>
          <w:highlight w:val="none"/>
        </w:rPr>
        <w:t xml:space="preserve"> 政府采购政策支持</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9.1对列入财政部、国家发展改革委发布的《节能产品政府采购清单》且属于应当“强制采购的节能产品”，按照规定实行强制采购。实行政府采购强制采购的节能产品见</w:t>
      </w:r>
      <w:r>
        <w:rPr>
          <w:rFonts w:hint="eastAsia" w:ascii="宋体" w:hAnsi="宋体" w:cs="宋体"/>
          <w:b/>
          <w:color w:val="auto"/>
          <w:kern w:val="0"/>
          <w:sz w:val="21"/>
          <w:szCs w:val="21"/>
          <w:highlight w:val="none"/>
        </w:rPr>
        <w:t>磋商文件前附表。</w:t>
      </w:r>
    </w:p>
    <w:p>
      <w:pPr>
        <w:pStyle w:val="25"/>
        <w:adjustRightInd w:val="0"/>
        <w:snapToGrid w:val="0"/>
        <w:spacing w:line="360" w:lineRule="auto"/>
        <w:ind w:firstLine="420" w:firstLineChars="200"/>
        <w:rPr>
          <w:rFonts w:hint="eastAsia"/>
          <w:color w:val="auto"/>
          <w:highlight w:val="none"/>
        </w:rPr>
      </w:pPr>
      <w:r>
        <w:rPr>
          <w:rFonts w:hint="eastAsia" w:hAnsi="宋体" w:cs="宋体"/>
          <w:color w:val="auto"/>
          <w:kern w:val="0"/>
          <w:highlight w:val="none"/>
        </w:rPr>
        <w:t>9.2对列入财政部、国家发展改革委发布的《节能产品政府采购清单》的“非强制采购节能产品”，财政部、环境保护部发布的《环境标志产品政府采购清单》的“环境标志产品”，湖南省财政2厅、湖南省科学技术厅、湖南省长株潭“两型社会”试验区建设管理委员会发布的《湖南省两型产品政府采购目录》</w:t>
      </w:r>
      <w:r>
        <w:rPr>
          <w:rFonts w:hint="eastAsia" w:hAnsi="宋体"/>
          <w:color w:val="auto"/>
          <w:highlight w:val="none"/>
        </w:rPr>
        <w:t>或《长沙市两型产品目录》</w:t>
      </w:r>
      <w:r>
        <w:rPr>
          <w:rFonts w:hint="eastAsia" w:hAnsi="宋体" w:cs="宋体"/>
          <w:color w:val="auto"/>
          <w:kern w:val="0"/>
          <w:highlight w:val="none"/>
        </w:rPr>
        <w:t>的“两型产品”以及中小企业，实行优先采购，按照省级以上财政部门有关政策规定，评审时进行价格扣除或加分。实行政府采购优先采购的优惠率见</w:t>
      </w:r>
      <w:r>
        <w:rPr>
          <w:rFonts w:hint="eastAsia" w:hAnsi="宋体" w:cs="宋体"/>
          <w:b/>
          <w:color w:val="auto"/>
          <w:kern w:val="0"/>
          <w:highlight w:val="none"/>
        </w:rPr>
        <w:t>磋商文件前附表。</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9.3产品同时属于“非强制采购节能产品”、“环境标志产品”及“两型产品”的，评审时只有其中一项能享受优先待遇(供应商自行选择，并在报价文件中并填报相关信息及数据)；中小企业可以与同时属于“非强制采购节能产品”、“环境标志产品”及“两型产品”中的一项重复计算。</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9.4同一项目中部分产品属于优先采购政策的，评审时只对该部分产品的报价实行价格扣除及加分。</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9.5符合本章第9.1</w:t>
      </w:r>
      <w:r>
        <w:rPr>
          <w:rFonts w:hint="eastAsia" w:ascii="宋体" w:hAnsi="宋体" w:cs="宋体"/>
          <w:color w:val="auto"/>
          <w:kern w:val="0"/>
          <w:sz w:val="21"/>
          <w:szCs w:val="21"/>
          <w:highlight w:val="none"/>
          <w:lang w:val="zh-CN"/>
        </w:rPr>
        <w:t>款、</w:t>
      </w:r>
      <w:r>
        <w:rPr>
          <w:rFonts w:hint="eastAsia" w:ascii="宋体" w:hAnsi="宋体"/>
          <w:color w:val="auto"/>
          <w:sz w:val="21"/>
          <w:szCs w:val="21"/>
          <w:highlight w:val="none"/>
        </w:rPr>
        <w:t>第9.2</w:t>
      </w:r>
      <w:r>
        <w:rPr>
          <w:rFonts w:hint="eastAsia" w:ascii="宋体" w:hAnsi="宋体" w:cs="宋体"/>
          <w:color w:val="auto"/>
          <w:kern w:val="0"/>
          <w:sz w:val="21"/>
          <w:szCs w:val="21"/>
          <w:highlight w:val="none"/>
          <w:lang w:val="zh-CN"/>
        </w:rPr>
        <w:t>款</w:t>
      </w:r>
      <w:r>
        <w:rPr>
          <w:rFonts w:hint="eastAsia" w:ascii="宋体" w:hAnsi="宋体"/>
          <w:color w:val="auto"/>
          <w:sz w:val="21"/>
          <w:szCs w:val="21"/>
          <w:highlight w:val="none"/>
        </w:rPr>
        <w:t>规定的，应提供相关证明资料。</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9.6供应商有融资、担保需求的，具体办理流程可向</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所列金融机构和担保机构询问。</w:t>
      </w:r>
    </w:p>
    <w:p>
      <w:pPr>
        <w:pStyle w:val="6"/>
        <w:jc w:val="left"/>
        <w:rPr>
          <w:rFonts w:hint="eastAsia"/>
          <w:color w:val="auto"/>
          <w:sz w:val="21"/>
          <w:szCs w:val="21"/>
          <w:highlight w:val="none"/>
        </w:rPr>
      </w:pPr>
      <w:r>
        <w:rPr>
          <w:rFonts w:hint="eastAsia"/>
          <w:color w:val="auto"/>
          <w:sz w:val="21"/>
          <w:szCs w:val="21"/>
          <w:highlight w:val="none"/>
        </w:rPr>
        <w:t>二、磋商文件</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10．磋商文件的组成</w:t>
      </w:r>
    </w:p>
    <w:p>
      <w:pPr>
        <w:pStyle w:val="25"/>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10.1 磋商文件由下列文件组成：</w:t>
      </w:r>
    </w:p>
    <w:p>
      <w:pPr>
        <w:pStyle w:val="25"/>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第一章 磋商邀请</w:t>
      </w:r>
    </w:p>
    <w:p>
      <w:pPr>
        <w:pStyle w:val="25"/>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第二章 磋商须知</w:t>
      </w:r>
    </w:p>
    <w:p>
      <w:pPr>
        <w:pStyle w:val="25"/>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第三章 采购合同格式条款</w:t>
      </w:r>
    </w:p>
    <w:p>
      <w:pPr>
        <w:pStyle w:val="25"/>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第四章 采购需求</w:t>
      </w:r>
    </w:p>
    <w:p>
      <w:pPr>
        <w:pStyle w:val="25"/>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第五章 响应文件组成</w:t>
      </w:r>
    </w:p>
    <w:p>
      <w:pPr>
        <w:pStyle w:val="25"/>
        <w:adjustRightInd w:val="0"/>
        <w:snapToGrid w:val="0"/>
        <w:spacing w:line="360" w:lineRule="auto"/>
        <w:ind w:firstLine="420" w:firstLineChars="200"/>
        <w:rPr>
          <w:rFonts w:hint="eastAsia" w:hAnsi="宋体" w:cs="宋体"/>
          <w:color w:val="auto"/>
          <w:kern w:val="0"/>
          <w:highlight w:val="none"/>
        </w:rPr>
      </w:pPr>
      <w:r>
        <w:rPr>
          <w:rFonts w:hint="eastAsia"/>
          <w:color w:val="auto"/>
          <w:highlight w:val="none"/>
        </w:rPr>
        <w:t>10.2</w:t>
      </w:r>
      <w:r>
        <w:rPr>
          <w:rFonts w:hint="eastAsia" w:hAnsi="宋体" w:cs="宋体"/>
          <w:color w:val="auto"/>
          <w:kern w:val="0"/>
          <w:highlight w:val="none"/>
        </w:rPr>
        <w:t>磋商小组根据与供应商磋商情况可能实质性变动的内容，包括采购需求中的技术、服务要求以及合同条款，</w:t>
      </w:r>
      <w:r>
        <w:rPr>
          <w:rFonts w:hint="eastAsia"/>
          <w:color w:val="auto"/>
          <w:highlight w:val="none"/>
        </w:rPr>
        <w:t>在</w:t>
      </w:r>
      <w:r>
        <w:rPr>
          <w:rFonts w:hint="eastAsia"/>
          <w:b/>
          <w:color w:val="auto"/>
          <w:highlight w:val="none"/>
        </w:rPr>
        <w:t>磋商须知前附表</w:t>
      </w:r>
      <w:r>
        <w:rPr>
          <w:rFonts w:hint="eastAsia"/>
          <w:color w:val="auto"/>
          <w:highlight w:val="none"/>
        </w:rPr>
        <w:t>中明确。</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10.3供应商应仔细阅读</w:t>
      </w:r>
      <w:r>
        <w:rPr>
          <w:rFonts w:hint="eastAsia" w:ascii="宋体" w:hAnsi="宋体"/>
          <w:bCs/>
          <w:color w:val="auto"/>
          <w:sz w:val="21"/>
          <w:szCs w:val="21"/>
          <w:highlight w:val="none"/>
        </w:rPr>
        <w:t>磋商</w:t>
      </w:r>
      <w:r>
        <w:rPr>
          <w:rFonts w:hint="eastAsia" w:ascii="宋体" w:hAnsi="宋体"/>
          <w:color w:val="auto"/>
          <w:sz w:val="21"/>
          <w:szCs w:val="21"/>
          <w:highlight w:val="none"/>
        </w:rPr>
        <w:t>文件的全部内容，按照</w:t>
      </w:r>
      <w:r>
        <w:rPr>
          <w:rFonts w:hint="eastAsia" w:ascii="宋体" w:hAnsi="宋体"/>
          <w:bCs/>
          <w:color w:val="auto"/>
          <w:sz w:val="21"/>
          <w:szCs w:val="21"/>
          <w:highlight w:val="none"/>
        </w:rPr>
        <w:t>磋商</w:t>
      </w:r>
      <w:r>
        <w:rPr>
          <w:rFonts w:hint="eastAsia" w:ascii="宋体" w:hAnsi="宋体"/>
          <w:color w:val="auto"/>
          <w:sz w:val="21"/>
          <w:szCs w:val="21"/>
          <w:highlight w:val="none"/>
        </w:rPr>
        <w:t>文件要求编制</w:t>
      </w:r>
      <w:r>
        <w:rPr>
          <w:rFonts w:hint="eastAsia"/>
          <w:color w:val="auto"/>
          <w:sz w:val="21"/>
          <w:szCs w:val="21"/>
          <w:highlight w:val="none"/>
        </w:rPr>
        <w:t>响应</w:t>
      </w:r>
      <w:r>
        <w:rPr>
          <w:rFonts w:hint="eastAsia" w:ascii="宋体" w:hAnsi="宋体"/>
          <w:color w:val="auto"/>
          <w:sz w:val="21"/>
          <w:szCs w:val="21"/>
          <w:highlight w:val="none"/>
        </w:rPr>
        <w:t>文件。任何对</w:t>
      </w:r>
      <w:r>
        <w:rPr>
          <w:rFonts w:hint="eastAsia" w:ascii="宋体" w:hAnsi="宋体"/>
          <w:bCs/>
          <w:color w:val="auto"/>
          <w:sz w:val="21"/>
          <w:szCs w:val="21"/>
          <w:highlight w:val="none"/>
        </w:rPr>
        <w:t>磋商</w:t>
      </w:r>
      <w:r>
        <w:rPr>
          <w:rFonts w:hint="eastAsia" w:ascii="宋体" w:hAnsi="宋体"/>
          <w:color w:val="auto"/>
          <w:sz w:val="21"/>
          <w:szCs w:val="21"/>
          <w:highlight w:val="none"/>
        </w:rPr>
        <w:t>文件的忽略或误解不能作为</w:t>
      </w:r>
      <w:r>
        <w:rPr>
          <w:rFonts w:hint="eastAsia"/>
          <w:color w:val="auto"/>
          <w:sz w:val="21"/>
          <w:szCs w:val="21"/>
          <w:highlight w:val="none"/>
        </w:rPr>
        <w:t>响应</w:t>
      </w:r>
      <w:r>
        <w:rPr>
          <w:rFonts w:hint="eastAsia" w:ascii="宋体" w:hAnsi="宋体"/>
          <w:color w:val="auto"/>
          <w:sz w:val="21"/>
          <w:szCs w:val="21"/>
          <w:highlight w:val="none"/>
        </w:rPr>
        <w:t>文件存在缺陷或瑕疵的理由，其风险由供应商承担。</w:t>
      </w:r>
    </w:p>
    <w:p>
      <w:pPr>
        <w:adjustRightInd w:val="0"/>
        <w:snapToGrid w:val="0"/>
        <w:spacing w:line="360" w:lineRule="auto"/>
        <w:rPr>
          <w:rFonts w:hint="eastAsia" w:ascii="宋体" w:hAnsi="宋体"/>
          <w:b/>
          <w:color w:val="auto"/>
          <w:sz w:val="21"/>
          <w:szCs w:val="21"/>
          <w:highlight w:val="none"/>
        </w:rPr>
      </w:pPr>
      <w:r>
        <w:rPr>
          <w:rFonts w:hint="eastAsia" w:ascii="宋体" w:hAnsi="宋体"/>
          <w:b/>
          <w:color w:val="auto"/>
          <w:sz w:val="21"/>
          <w:szCs w:val="21"/>
          <w:highlight w:val="none"/>
        </w:rPr>
        <w:t>11.</w:t>
      </w:r>
      <w:r>
        <w:rPr>
          <w:rFonts w:hint="eastAsia"/>
          <w:b/>
          <w:color w:val="auto"/>
          <w:sz w:val="21"/>
          <w:szCs w:val="21"/>
          <w:highlight w:val="none"/>
        </w:rPr>
        <w:t xml:space="preserve"> </w:t>
      </w:r>
      <w:r>
        <w:rPr>
          <w:rFonts w:hint="eastAsia" w:ascii="宋体" w:hAnsi="宋体"/>
          <w:b/>
          <w:color w:val="auto"/>
          <w:sz w:val="21"/>
          <w:szCs w:val="21"/>
          <w:highlight w:val="none"/>
        </w:rPr>
        <w:t>磋商文件的提供期限</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11.1磋商文件的提供期限自开始发出之日起不得少于五个工作日。具体提供期限见</w:t>
      </w:r>
      <w:r>
        <w:rPr>
          <w:rFonts w:hint="eastAsia" w:ascii="宋体" w:hAnsi="宋体"/>
          <w:b/>
          <w:color w:val="auto"/>
          <w:sz w:val="21"/>
          <w:szCs w:val="21"/>
          <w:highlight w:val="none"/>
        </w:rPr>
        <w:t>磋商文件前附表</w:t>
      </w:r>
      <w:r>
        <w:rPr>
          <w:rFonts w:hint="eastAsia" w:ascii="宋体" w:hAnsi="宋体"/>
          <w:color w:val="auto"/>
          <w:sz w:val="21"/>
          <w:szCs w:val="21"/>
          <w:highlight w:val="none"/>
        </w:rPr>
        <w:t>。</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11.2供应商应持</w:t>
      </w:r>
      <w:r>
        <w:rPr>
          <w:rFonts w:hint="eastAsia" w:ascii="宋体" w:hAnsi="宋体"/>
          <w:b/>
          <w:color w:val="auto"/>
          <w:sz w:val="21"/>
          <w:szCs w:val="21"/>
          <w:highlight w:val="none"/>
        </w:rPr>
        <w:t>磋商文件前附表</w:t>
      </w:r>
      <w:r>
        <w:rPr>
          <w:rFonts w:hint="eastAsia" w:ascii="宋体" w:hAnsi="宋体"/>
          <w:color w:val="auto"/>
          <w:sz w:val="21"/>
          <w:szCs w:val="21"/>
          <w:highlight w:val="none"/>
        </w:rPr>
        <w:t>规定的资料领取或购买磋商文件。</w:t>
      </w:r>
    </w:p>
    <w:p>
      <w:pPr>
        <w:pStyle w:val="25"/>
        <w:adjustRightInd w:val="0"/>
        <w:snapToGrid w:val="0"/>
        <w:spacing w:line="360" w:lineRule="auto"/>
        <w:rPr>
          <w:rFonts w:hint="eastAsia" w:hAnsi="宋体"/>
          <w:color w:val="auto"/>
          <w:highlight w:val="none"/>
        </w:rPr>
      </w:pPr>
      <w:r>
        <w:rPr>
          <w:rFonts w:hint="eastAsia" w:hAnsi="宋体"/>
          <w:b/>
          <w:color w:val="auto"/>
          <w:highlight w:val="none"/>
        </w:rPr>
        <w:t>12.</w:t>
      </w:r>
      <w:r>
        <w:rPr>
          <w:rFonts w:hint="eastAsia" w:hAnsi="宋体" w:cs="宋体"/>
          <w:b/>
          <w:color w:val="auto"/>
          <w:kern w:val="0"/>
          <w:highlight w:val="none"/>
        </w:rPr>
        <w:t>提交首次响应文件</w:t>
      </w:r>
      <w:r>
        <w:rPr>
          <w:rFonts w:hint="eastAsia" w:hAnsi="宋体"/>
          <w:b/>
          <w:color w:val="auto"/>
          <w:highlight w:val="none"/>
        </w:rPr>
        <w:t>的</w:t>
      </w:r>
      <w:r>
        <w:rPr>
          <w:rFonts w:hint="eastAsia" w:hAnsi="宋体" w:cs="宋体"/>
          <w:b/>
          <w:color w:val="auto"/>
          <w:kern w:val="0"/>
          <w:highlight w:val="none"/>
        </w:rPr>
        <w:t>截止</w:t>
      </w:r>
      <w:r>
        <w:rPr>
          <w:rFonts w:hint="eastAsia" w:hAnsi="宋体"/>
          <w:b/>
          <w:color w:val="auto"/>
          <w:highlight w:val="none"/>
        </w:rPr>
        <w:t>时间</w:t>
      </w:r>
    </w:p>
    <w:p>
      <w:pPr>
        <w:pStyle w:val="25"/>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12.1</w:t>
      </w:r>
      <w:r>
        <w:rPr>
          <w:rFonts w:hint="eastAsia" w:hAnsi="宋体" w:cs="宋体"/>
          <w:color w:val="auto"/>
          <w:kern w:val="0"/>
          <w:highlight w:val="none"/>
        </w:rPr>
        <w:t>供应商提交首次响应文件截止</w:t>
      </w:r>
      <w:r>
        <w:rPr>
          <w:rFonts w:hint="eastAsia" w:hAnsi="宋体"/>
          <w:color w:val="auto"/>
          <w:highlight w:val="none"/>
        </w:rPr>
        <w:t>时间见</w:t>
      </w:r>
      <w:r>
        <w:rPr>
          <w:rFonts w:hint="eastAsia" w:hAnsi="宋体"/>
          <w:b/>
          <w:color w:val="auto"/>
          <w:highlight w:val="none"/>
        </w:rPr>
        <w:t>磋商须知前附表</w:t>
      </w:r>
      <w:r>
        <w:rPr>
          <w:rFonts w:hint="eastAsia" w:hAnsi="宋体"/>
          <w:color w:val="auto"/>
          <w:highlight w:val="none"/>
        </w:rPr>
        <w:t>。</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13.磋商文件的澄清</w:t>
      </w:r>
      <w:r>
        <w:rPr>
          <w:rFonts w:hint="eastAsia" w:ascii="宋体" w:hAnsi="宋体"/>
          <w:b/>
          <w:color w:val="auto"/>
          <w:kern w:val="0"/>
          <w:sz w:val="21"/>
          <w:szCs w:val="21"/>
          <w:highlight w:val="none"/>
          <w:lang w:val="zh-CN"/>
        </w:rPr>
        <w:t>或者</w:t>
      </w:r>
      <w:r>
        <w:rPr>
          <w:rFonts w:hint="eastAsia" w:ascii="宋体" w:hAnsi="宋体"/>
          <w:b/>
          <w:bCs/>
          <w:color w:val="auto"/>
          <w:sz w:val="21"/>
          <w:szCs w:val="21"/>
          <w:highlight w:val="none"/>
        </w:rPr>
        <w:t>修改</w:t>
      </w:r>
    </w:p>
    <w:p>
      <w:pPr>
        <w:adjustRightInd w:val="0"/>
        <w:snapToGrid w:val="0"/>
        <w:spacing w:line="360" w:lineRule="auto"/>
        <w:ind w:right="-140" w:rightChars="-50" w:firstLine="420" w:firstLineChars="200"/>
        <w:rPr>
          <w:rFonts w:hint="eastAsia" w:ascii="宋体" w:hAnsi="宋体" w:cs="宋体"/>
          <w:color w:val="auto"/>
          <w:kern w:val="0"/>
          <w:sz w:val="21"/>
          <w:szCs w:val="21"/>
          <w:highlight w:val="none"/>
        </w:rPr>
      </w:pPr>
      <w:r>
        <w:rPr>
          <w:rFonts w:hint="eastAsia" w:ascii="宋体" w:hAnsi="宋体"/>
          <w:color w:val="auto"/>
          <w:sz w:val="21"/>
          <w:szCs w:val="21"/>
          <w:highlight w:val="none"/>
        </w:rPr>
        <w:t>13.1在</w:t>
      </w:r>
      <w:r>
        <w:rPr>
          <w:rFonts w:hint="eastAsia" w:ascii="宋体" w:hAnsi="宋体" w:cs="宋体"/>
          <w:color w:val="auto"/>
          <w:kern w:val="0"/>
          <w:sz w:val="21"/>
          <w:szCs w:val="21"/>
          <w:highlight w:val="none"/>
        </w:rPr>
        <w:t xml:space="preserve">提交首次响应文件截止之日前，采购人、采购代理机构可以对已发出的磋商文件进行必要的澄清或者修改。 </w:t>
      </w:r>
    </w:p>
    <w:p>
      <w:pPr>
        <w:adjustRightInd w:val="0"/>
        <w:snapToGrid w:val="0"/>
        <w:spacing w:line="360" w:lineRule="auto"/>
        <w:ind w:right="-140" w:rightChars="-50" w:firstLine="420" w:firstLineChars="200"/>
        <w:rPr>
          <w:rFonts w:hint="eastAsia" w:ascii="宋体" w:hAnsi="宋体" w:cs="宋体"/>
          <w:color w:val="auto"/>
          <w:kern w:val="0"/>
          <w:sz w:val="21"/>
          <w:szCs w:val="21"/>
          <w:highlight w:val="none"/>
        </w:rPr>
      </w:pPr>
      <w:r>
        <w:rPr>
          <w:rFonts w:hint="eastAsia" w:ascii="宋体" w:hAnsi="宋体"/>
          <w:color w:val="auto"/>
          <w:sz w:val="21"/>
          <w:szCs w:val="21"/>
          <w:highlight w:val="none"/>
        </w:rPr>
        <w:t>13.2</w:t>
      </w:r>
      <w:r>
        <w:rPr>
          <w:rFonts w:hint="eastAsia" w:ascii="宋体" w:hAnsi="宋体" w:cs="宋体"/>
          <w:color w:val="auto"/>
          <w:kern w:val="0"/>
          <w:sz w:val="21"/>
          <w:szCs w:val="21"/>
          <w:highlight w:val="none"/>
        </w:rPr>
        <w:t>澄清或者修改的内容可能影响响应文件编制的，采购人、采购代理机构应当在提交首次响应文件截止之日3个工作日前，以书面形式通知所有接收磋商文件的供应商，不足3个工作日的，顺延供应商提交首次响应文件截止时间。</w:t>
      </w:r>
    </w:p>
    <w:p>
      <w:pPr>
        <w:pStyle w:val="25"/>
        <w:adjustRightInd w:val="0"/>
        <w:snapToGrid w:val="0"/>
        <w:spacing w:line="360" w:lineRule="auto"/>
        <w:ind w:firstLine="420" w:firstLineChars="200"/>
        <w:rPr>
          <w:rFonts w:hint="eastAsia"/>
          <w:color w:val="auto"/>
          <w:highlight w:val="none"/>
        </w:rPr>
      </w:pPr>
      <w:r>
        <w:rPr>
          <w:rFonts w:hint="eastAsia"/>
          <w:color w:val="auto"/>
          <w:highlight w:val="none"/>
        </w:rPr>
        <w:t>13.2</w:t>
      </w:r>
      <w:r>
        <w:rPr>
          <w:rFonts w:hint="eastAsia" w:hAnsi="宋体" w:cs="宋体"/>
          <w:color w:val="auto"/>
          <w:kern w:val="0"/>
          <w:highlight w:val="none"/>
        </w:rPr>
        <w:t>提交首次响应文件截止时间前对磋商文件澄清或者修改内容，为磋商文件的组成部分。</w:t>
      </w:r>
    </w:p>
    <w:p>
      <w:pPr>
        <w:pStyle w:val="6"/>
        <w:jc w:val="left"/>
        <w:rPr>
          <w:rFonts w:hint="eastAsia"/>
          <w:color w:val="auto"/>
          <w:sz w:val="21"/>
          <w:szCs w:val="21"/>
          <w:highlight w:val="none"/>
        </w:rPr>
      </w:pPr>
      <w:r>
        <w:rPr>
          <w:rFonts w:hint="eastAsia"/>
          <w:color w:val="auto"/>
          <w:sz w:val="21"/>
          <w:szCs w:val="21"/>
          <w:highlight w:val="none"/>
        </w:rPr>
        <w:t>三、响应文件</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14.一般要求</w:t>
      </w:r>
    </w:p>
    <w:p>
      <w:pPr>
        <w:adjustRightInd w:val="0"/>
        <w:snapToGrid w:val="0"/>
        <w:spacing w:line="360" w:lineRule="auto"/>
        <w:ind w:firstLine="420" w:firstLineChars="200"/>
        <w:rPr>
          <w:rFonts w:hint="eastAsia" w:ascii="宋体" w:hAnsi="宋体"/>
          <w:bCs/>
          <w:color w:val="auto"/>
          <w:sz w:val="21"/>
          <w:szCs w:val="21"/>
          <w:highlight w:val="none"/>
        </w:rPr>
      </w:pPr>
      <w:r>
        <w:rPr>
          <w:rFonts w:hint="eastAsia" w:ascii="宋体" w:hAnsi="宋体"/>
          <w:bCs/>
          <w:color w:val="auto"/>
          <w:sz w:val="21"/>
          <w:szCs w:val="21"/>
          <w:highlight w:val="none"/>
        </w:rPr>
        <w:t>14.1 供应商应仔细阅读磋商文件的所有内容，按磋商文件的要求编制响应文件，并保证所提供的全部资料的真实性，以使其响应文件对磋商文件做出实质性的响应。</w:t>
      </w:r>
    </w:p>
    <w:p>
      <w:pPr>
        <w:adjustRightInd w:val="0"/>
        <w:snapToGrid w:val="0"/>
        <w:spacing w:line="360" w:lineRule="auto"/>
        <w:ind w:firstLine="420" w:firstLineChars="200"/>
        <w:rPr>
          <w:rFonts w:hint="eastAsia" w:ascii="宋体" w:hAnsi="宋体"/>
          <w:bCs/>
          <w:color w:val="auto"/>
          <w:sz w:val="21"/>
          <w:szCs w:val="21"/>
          <w:highlight w:val="none"/>
        </w:rPr>
      </w:pPr>
      <w:r>
        <w:rPr>
          <w:rFonts w:hint="eastAsia" w:ascii="宋体" w:hAnsi="宋体"/>
          <w:bCs/>
          <w:color w:val="auto"/>
          <w:sz w:val="21"/>
          <w:szCs w:val="21"/>
          <w:highlight w:val="none"/>
        </w:rPr>
        <w:t xml:space="preserve">14.2 </w:t>
      </w:r>
      <w:r>
        <w:rPr>
          <w:rFonts w:hint="eastAsia" w:ascii="宋体" w:hAnsi="宋体"/>
          <w:color w:val="auto"/>
          <w:sz w:val="21"/>
          <w:szCs w:val="21"/>
          <w:highlight w:val="none"/>
        </w:rPr>
        <w:t>供应商提交的响应文件及供应商与采购人或采购代理机构、磋商小组就有关磋商的所有来往函电均使用中文。供应商可以提交其它语言的资料，但应附中文注释，在有差异时以中文为准。</w:t>
      </w:r>
    </w:p>
    <w:p>
      <w:pPr>
        <w:pStyle w:val="25"/>
        <w:adjustRightInd w:val="0"/>
        <w:snapToGrid w:val="0"/>
        <w:spacing w:line="360" w:lineRule="auto"/>
        <w:ind w:firstLine="420" w:firstLineChars="200"/>
        <w:rPr>
          <w:rFonts w:hint="eastAsia" w:hAnsi="宋体"/>
          <w:color w:val="auto"/>
          <w:highlight w:val="none"/>
        </w:rPr>
      </w:pPr>
      <w:r>
        <w:rPr>
          <w:rFonts w:hint="eastAsia" w:hAnsi="宋体"/>
          <w:bCs/>
          <w:color w:val="auto"/>
          <w:highlight w:val="none"/>
        </w:rPr>
        <w:t xml:space="preserve">14.3 </w:t>
      </w:r>
      <w:r>
        <w:rPr>
          <w:rFonts w:hint="eastAsia" w:hAnsi="宋体"/>
          <w:color w:val="auto"/>
          <w:highlight w:val="none"/>
        </w:rPr>
        <w:t>计量单位应使用我国法定计量单位，未列明时应默认为我国法定计量单位。</w:t>
      </w:r>
    </w:p>
    <w:p>
      <w:pPr>
        <w:pStyle w:val="25"/>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14.4 响应文件应采用书面形式，电报、传真、电子邮件形式的响应文件概不接受。</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14.5 供应商应按磋商文件中提供的响应文件格式填写。</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15.</w:t>
      </w:r>
      <w:r>
        <w:rPr>
          <w:rFonts w:hint="eastAsia" w:ascii="宋体" w:hAnsi="宋体"/>
          <w:b/>
          <w:color w:val="auto"/>
          <w:sz w:val="21"/>
          <w:szCs w:val="21"/>
          <w:highlight w:val="none"/>
        </w:rPr>
        <w:t>响应文件</w:t>
      </w:r>
      <w:r>
        <w:rPr>
          <w:rFonts w:hint="eastAsia" w:ascii="宋体" w:hAnsi="宋体"/>
          <w:b/>
          <w:bCs/>
          <w:color w:val="auto"/>
          <w:sz w:val="21"/>
          <w:szCs w:val="21"/>
          <w:highlight w:val="none"/>
        </w:rPr>
        <w:t>的组成</w:t>
      </w:r>
    </w:p>
    <w:p>
      <w:pPr>
        <w:rPr>
          <w:rFonts w:hint="eastAsia" w:ascii="宋体" w:hAnsi="宋体"/>
          <w:color w:val="auto"/>
          <w:sz w:val="21"/>
          <w:szCs w:val="21"/>
          <w:highlight w:val="none"/>
        </w:rPr>
      </w:pPr>
      <w:r>
        <w:rPr>
          <w:rFonts w:hint="eastAsia" w:ascii="宋体" w:hAnsi="宋体"/>
          <w:color w:val="auto"/>
          <w:sz w:val="21"/>
          <w:szCs w:val="21"/>
          <w:highlight w:val="none"/>
        </w:rPr>
        <w:t>15.1</w:t>
      </w:r>
      <w:r>
        <w:rPr>
          <w:rFonts w:hint="eastAsia" w:hAnsi="宋体"/>
          <w:color w:val="auto"/>
          <w:sz w:val="21"/>
          <w:szCs w:val="21"/>
          <w:highlight w:val="none"/>
        </w:rPr>
        <w:t xml:space="preserve"> 响应文件包括下列内容：</w:t>
      </w:r>
      <w:r>
        <w:rPr>
          <w:rFonts w:hint="eastAsia" w:ascii="宋体" w:hAnsi="宋体"/>
          <w:color w:val="auto"/>
          <w:sz w:val="21"/>
          <w:szCs w:val="21"/>
          <w:highlight w:val="none"/>
        </w:rPr>
        <w:t xml:space="preserve"> </w:t>
      </w:r>
    </w:p>
    <w:p>
      <w:pPr>
        <w:pStyle w:val="25"/>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（1）磋商响应声明</w:t>
      </w:r>
    </w:p>
    <w:p>
      <w:pPr>
        <w:pStyle w:val="25"/>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（2）保证金</w:t>
      </w:r>
    </w:p>
    <w:p>
      <w:pPr>
        <w:pStyle w:val="25"/>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（3）供应商的资格证明文件</w:t>
      </w:r>
    </w:p>
    <w:p>
      <w:pPr>
        <w:pStyle w:val="25"/>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（4）货物或服务方案说明</w:t>
      </w:r>
    </w:p>
    <w:p>
      <w:pPr>
        <w:pStyle w:val="25"/>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（5）技术/商务响应与偏离表</w:t>
      </w:r>
    </w:p>
    <w:p>
      <w:pPr>
        <w:pStyle w:val="25"/>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（6）提供享受政府采购政策的证明材料和清单表</w:t>
      </w:r>
    </w:p>
    <w:p>
      <w:pPr>
        <w:pStyle w:val="25"/>
        <w:adjustRightInd w:val="0"/>
        <w:snapToGrid w:val="0"/>
        <w:spacing w:line="360" w:lineRule="auto"/>
        <w:ind w:firstLine="420" w:firstLineChars="200"/>
        <w:rPr>
          <w:rFonts w:hAnsi="宋体"/>
          <w:color w:val="auto"/>
          <w:highlight w:val="none"/>
        </w:rPr>
      </w:pPr>
      <w:r>
        <w:rPr>
          <w:rFonts w:hint="eastAsia" w:hAnsi="宋体"/>
          <w:color w:val="auto"/>
          <w:highlight w:val="none"/>
        </w:rPr>
        <w:t>（7）项目业绩汇总表</w:t>
      </w:r>
    </w:p>
    <w:p>
      <w:pPr>
        <w:pStyle w:val="25"/>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（8）经销或代理或为货物提供售后服务的证明材料</w:t>
      </w:r>
    </w:p>
    <w:p>
      <w:pPr>
        <w:pStyle w:val="25"/>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（9）报价一览表及报价文件</w:t>
      </w:r>
    </w:p>
    <w:p>
      <w:pPr>
        <w:pStyle w:val="25"/>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（10）供应商认为需提供的其他资料</w:t>
      </w:r>
    </w:p>
    <w:p>
      <w:pPr>
        <w:pStyle w:val="25"/>
        <w:adjustRightInd w:val="0"/>
        <w:snapToGrid w:val="0"/>
        <w:spacing w:line="360" w:lineRule="auto"/>
        <w:ind w:firstLine="420" w:firstLineChars="200"/>
        <w:rPr>
          <w:rFonts w:hAnsi="宋体"/>
          <w:color w:val="auto"/>
          <w:highlight w:val="none"/>
        </w:rPr>
      </w:pPr>
      <w:r>
        <w:rPr>
          <w:rFonts w:hint="eastAsia" w:hAnsi="宋体"/>
          <w:color w:val="auto"/>
          <w:highlight w:val="none"/>
        </w:rPr>
        <w:t>（11）最后报价</w:t>
      </w:r>
    </w:p>
    <w:p>
      <w:pPr>
        <w:adjustRightInd w:val="0"/>
        <w:snapToGrid w:val="0"/>
        <w:spacing w:line="360" w:lineRule="auto"/>
        <w:ind w:firstLine="420" w:firstLineChars="200"/>
        <w:rPr>
          <w:rFonts w:hint="eastAsia" w:hAnsi="宋体"/>
          <w:color w:val="auto"/>
          <w:sz w:val="21"/>
          <w:szCs w:val="21"/>
          <w:highlight w:val="none"/>
        </w:rPr>
      </w:pPr>
      <w:r>
        <w:rPr>
          <w:rFonts w:hint="eastAsia" w:ascii="宋体" w:hAnsi="宋体"/>
          <w:color w:val="auto"/>
          <w:sz w:val="21"/>
          <w:szCs w:val="21"/>
          <w:highlight w:val="none"/>
        </w:rPr>
        <w:t>15.2在磋商过程中，供应商根据</w:t>
      </w:r>
      <w:r>
        <w:rPr>
          <w:rFonts w:hint="eastAsia" w:ascii="宋体" w:hAnsi="宋体" w:cs="宋体"/>
          <w:color w:val="auto"/>
          <w:kern w:val="0"/>
          <w:sz w:val="21"/>
          <w:szCs w:val="21"/>
          <w:highlight w:val="none"/>
        </w:rPr>
        <w:t>磋商小组</w:t>
      </w:r>
      <w:r>
        <w:rPr>
          <w:rFonts w:hint="eastAsia" w:ascii="宋体" w:hAnsi="宋体"/>
          <w:bCs/>
          <w:color w:val="auto"/>
          <w:sz w:val="21"/>
          <w:szCs w:val="21"/>
          <w:highlight w:val="none"/>
        </w:rPr>
        <w:t>书面形式要求</w:t>
      </w:r>
      <w:r>
        <w:rPr>
          <w:rFonts w:hint="eastAsia" w:ascii="宋体" w:hAnsi="宋体" w:cs="宋体"/>
          <w:color w:val="auto"/>
          <w:kern w:val="0"/>
          <w:sz w:val="21"/>
          <w:szCs w:val="21"/>
          <w:highlight w:val="none"/>
        </w:rPr>
        <w:t>提交的</w:t>
      </w:r>
      <w:r>
        <w:rPr>
          <w:rFonts w:hint="eastAsia" w:hAnsi="宋体"/>
          <w:color w:val="auto"/>
          <w:sz w:val="21"/>
          <w:szCs w:val="21"/>
          <w:highlight w:val="none"/>
        </w:rPr>
        <w:t>最后报价(或者</w:t>
      </w:r>
      <w:r>
        <w:rPr>
          <w:rFonts w:hint="eastAsia" w:ascii="宋体" w:hAnsi="宋体"/>
          <w:bCs/>
          <w:color w:val="auto"/>
          <w:sz w:val="21"/>
          <w:szCs w:val="21"/>
          <w:highlight w:val="none"/>
        </w:rPr>
        <w:t>重</w:t>
      </w:r>
      <w:r>
        <w:rPr>
          <w:rFonts w:hint="eastAsia" w:ascii="宋体" w:hAnsi="宋体" w:cs="宋体"/>
          <w:color w:val="auto"/>
          <w:kern w:val="0"/>
          <w:sz w:val="21"/>
          <w:szCs w:val="21"/>
          <w:highlight w:val="none"/>
        </w:rPr>
        <w:t>新提交的响应文件和</w:t>
      </w:r>
      <w:r>
        <w:rPr>
          <w:rFonts w:hint="eastAsia" w:hAnsi="宋体"/>
          <w:color w:val="auto"/>
          <w:sz w:val="21"/>
          <w:szCs w:val="21"/>
          <w:highlight w:val="none"/>
        </w:rPr>
        <w:t>最后报价)是</w:t>
      </w:r>
      <w:r>
        <w:rPr>
          <w:rFonts w:hint="eastAsia" w:ascii="宋体" w:hAnsi="宋体"/>
          <w:color w:val="auto"/>
          <w:sz w:val="21"/>
          <w:szCs w:val="21"/>
          <w:highlight w:val="none"/>
        </w:rPr>
        <w:t>响应文件</w:t>
      </w:r>
      <w:r>
        <w:rPr>
          <w:rFonts w:hint="eastAsia" w:hAnsi="宋体"/>
          <w:color w:val="auto"/>
          <w:sz w:val="21"/>
          <w:szCs w:val="21"/>
          <w:highlight w:val="none"/>
        </w:rPr>
        <w:t>的有效组成部分。</w:t>
      </w:r>
    </w:p>
    <w:p>
      <w:pPr>
        <w:adjustRightInd w:val="0"/>
        <w:snapToGrid w:val="0"/>
        <w:spacing w:line="360" w:lineRule="auto"/>
        <w:ind w:firstLine="420" w:firstLineChars="200"/>
        <w:rPr>
          <w:rFonts w:hint="eastAsia" w:hAnsi="宋体"/>
          <w:b/>
          <w:color w:val="auto"/>
          <w:sz w:val="21"/>
          <w:szCs w:val="21"/>
          <w:highlight w:val="none"/>
        </w:rPr>
      </w:pPr>
      <w:r>
        <w:rPr>
          <w:rFonts w:hint="eastAsia" w:ascii="宋体" w:hAnsi="宋体"/>
          <w:color w:val="auto"/>
          <w:sz w:val="21"/>
          <w:szCs w:val="21"/>
          <w:highlight w:val="none"/>
        </w:rPr>
        <w:t>15.3</w:t>
      </w:r>
      <w:r>
        <w:rPr>
          <w:rFonts w:hint="eastAsia" w:ascii="宋体" w:hAnsi="宋体" w:cs="宋体"/>
          <w:color w:val="auto"/>
          <w:kern w:val="0"/>
          <w:sz w:val="21"/>
          <w:szCs w:val="21"/>
          <w:highlight w:val="none"/>
        </w:rPr>
        <w:t>磋商文件规定可能发生实质性变动的，供应商应当在</w:t>
      </w:r>
      <w:r>
        <w:rPr>
          <w:rFonts w:hint="eastAsia" w:hAnsi="宋体"/>
          <w:color w:val="auto"/>
          <w:sz w:val="21"/>
          <w:szCs w:val="21"/>
          <w:highlight w:val="none"/>
        </w:rPr>
        <w:t>《技术/商务响应与偏离表》中对应内容注明。</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15.4根据《政府采购法》第四十二条的规定，供应商无论成交与否，其响应文件不予退还。</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16.报价</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16.1供应商应当根据磋商文件要求和范围，以</w:t>
      </w:r>
      <w:r>
        <w:rPr>
          <w:rFonts w:hint="eastAsia" w:ascii="宋体" w:hAnsi="宋体"/>
          <w:bCs/>
          <w:color w:val="auto"/>
          <w:sz w:val="21"/>
          <w:szCs w:val="21"/>
          <w:highlight w:val="none"/>
        </w:rPr>
        <w:t>人民币</w:t>
      </w:r>
      <w:r>
        <w:rPr>
          <w:rFonts w:hint="eastAsia" w:ascii="宋体" w:hAnsi="宋体"/>
          <w:color w:val="auto"/>
          <w:sz w:val="21"/>
          <w:szCs w:val="21"/>
          <w:highlight w:val="none"/>
        </w:rPr>
        <w:t>报价，以元为单位，保留小数点后两位。</w:t>
      </w:r>
    </w:p>
    <w:p>
      <w:pPr>
        <w:pStyle w:val="153"/>
        <w:adjustRightInd w:val="0"/>
        <w:snapToGrid w:val="0"/>
        <w:spacing w:line="360" w:lineRule="auto"/>
        <w:ind w:firstLine="420" w:firstLineChars="200"/>
        <w:rPr>
          <w:rFonts w:hint="eastAsia" w:ascii="宋体" w:hAnsi="宋体"/>
          <w:color w:val="auto"/>
          <w:highlight w:val="none"/>
        </w:rPr>
      </w:pPr>
      <w:r>
        <w:rPr>
          <w:rFonts w:hint="eastAsia" w:ascii="宋体" w:hAnsi="宋体"/>
          <w:color w:val="auto"/>
          <w:highlight w:val="none"/>
        </w:rPr>
        <w:t>16.2供应商应按第五章 响应文件组成格式填写。</w:t>
      </w:r>
    </w:p>
    <w:p>
      <w:pPr>
        <w:pStyle w:val="25"/>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16.3响应文件中标明的价格在合同执行过程中是固定不变的，不得以任何理由予以变更。以可变动价格提交的报价将被认为是非实质响应而被拒绝。</w:t>
      </w:r>
    </w:p>
    <w:p>
      <w:pPr>
        <w:pStyle w:val="25"/>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16.4</w:t>
      </w:r>
      <w:r>
        <w:rPr>
          <w:rFonts w:hint="eastAsia" w:hAnsi="宋体" w:cs="宋体"/>
          <w:color w:val="auto"/>
          <w:kern w:val="0"/>
          <w:highlight w:val="none"/>
          <w:lang w:val="zh-CN"/>
        </w:rPr>
        <w:t>供应商</w:t>
      </w:r>
      <w:r>
        <w:rPr>
          <w:rFonts w:hint="eastAsia" w:hAnsi="宋体"/>
          <w:color w:val="auto"/>
          <w:highlight w:val="none"/>
        </w:rPr>
        <w:t>的报价不得超过采购项目预算，采购项目预算或其计算方法见</w:t>
      </w:r>
      <w:r>
        <w:rPr>
          <w:rFonts w:hint="eastAsia" w:hAnsi="宋体"/>
          <w:b/>
          <w:color w:val="auto"/>
          <w:highlight w:val="none"/>
        </w:rPr>
        <w:t>磋商须知前附表</w:t>
      </w:r>
      <w:r>
        <w:rPr>
          <w:rFonts w:hint="eastAsia" w:hAnsi="宋体"/>
          <w:color w:val="auto"/>
          <w:highlight w:val="none"/>
        </w:rPr>
        <w:t>。</w:t>
      </w:r>
    </w:p>
    <w:p>
      <w:pPr>
        <w:pStyle w:val="25"/>
        <w:adjustRightInd w:val="0"/>
        <w:snapToGrid w:val="0"/>
        <w:spacing w:line="360" w:lineRule="auto"/>
        <w:rPr>
          <w:rFonts w:hint="eastAsia"/>
          <w:b/>
          <w:color w:val="auto"/>
          <w:highlight w:val="none"/>
        </w:rPr>
      </w:pPr>
      <w:r>
        <w:rPr>
          <w:rFonts w:hint="eastAsia"/>
          <w:b/>
          <w:color w:val="auto"/>
          <w:highlight w:val="none"/>
        </w:rPr>
        <w:t>17.供应商符合磋商文件规定的证明文件</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17.1供应商应提交满足本章第3.1款规定的资格条件要求的证明文件,该证明文件作为响应文件的一部分。</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17.2如果供应商为联合体，则应提交联合体各方资格证明文件、联合体协议。否则，在评审时将其视为无效响应。</w:t>
      </w:r>
    </w:p>
    <w:p>
      <w:pPr>
        <w:adjustRightInd w:val="0"/>
        <w:snapToGrid w:val="0"/>
        <w:spacing w:before="156" w:beforeLines="50"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17.3 除</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另有规定外，供应商提供的货物及服务不是供应商制造或拥有的，则必须提供经销、或代理采购货物、或采购货物提供售后服务的证明文件。</w:t>
      </w:r>
    </w:p>
    <w:p>
      <w:pPr>
        <w:adjustRightInd w:val="0"/>
        <w:snapToGrid w:val="0"/>
        <w:spacing w:before="156" w:beforeLines="50" w:line="360" w:lineRule="auto"/>
        <w:jc w:val="left"/>
        <w:rPr>
          <w:rFonts w:hint="eastAsia" w:ascii="宋体" w:hAnsi="宋体"/>
          <w:b/>
          <w:color w:val="auto"/>
          <w:sz w:val="21"/>
          <w:szCs w:val="21"/>
          <w:highlight w:val="none"/>
        </w:rPr>
      </w:pPr>
      <w:r>
        <w:rPr>
          <w:rFonts w:hint="eastAsia" w:ascii="宋体" w:hAnsi="宋体"/>
          <w:b/>
          <w:color w:val="auto"/>
          <w:sz w:val="21"/>
          <w:szCs w:val="21"/>
          <w:highlight w:val="none"/>
        </w:rPr>
        <w:t>18．样品提供</w:t>
      </w:r>
    </w:p>
    <w:p>
      <w:pPr>
        <w:adjustRightInd w:val="0"/>
        <w:snapToGrid w:val="0"/>
        <w:spacing w:before="156" w:beforeLines="50"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 xml:space="preserve">18.1 </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规定</w:t>
      </w:r>
      <w:r>
        <w:rPr>
          <w:rFonts w:hint="eastAsia" w:ascii="宋体" w:hAnsi="宋体"/>
          <w:bCs/>
          <w:color w:val="auto"/>
          <w:sz w:val="21"/>
          <w:szCs w:val="21"/>
          <w:highlight w:val="none"/>
        </w:rPr>
        <w:t>供应商</w:t>
      </w:r>
      <w:r>
        <w:rPr>
          <w:rFonts w:hint="eastAsia" w:ascii="宋体" w:hAnsi="宋体"/>
          <w:color w:val="auto"/>
          <w:sz w:val="21"/>
          <w:szCs w:val="21"/>
          <w:highlight w:val="none"/>
        </w:rPr>
        <w:t>在磋商时提供样品的，</w:t>
      </w:r>
      <w:r>
        <w:rPr>
          <w:rFonts w:hint="eastAsia" w:ascii="宋体" w:hAnsi="宋体"/>
          <w:bCs/>
          <w:color w:val="auto"/>
          <w:sz w:val="21"/>
          <w:szCs w:val="21"/>
          <w:highlight w:val="none"/>
        </w:rPr>
        <w:t>供应商</w:t>
      </w:r>
      <w:r>
        <w:rPr>
          <w:rFonts w:ascii="宋体" w:hAnsi="宋体"/>
          <w:color w:val="auto"/>
          <w:sz w:val="21"/>
          <w:szCs w:val="21"/>
          <w:highlight w:val="none"/>
        </w:rPr>
        <w:t>有以下情形之一的</w:t>
      </w:r>
      <w:r>
        <w:rPr>
          <w:rFonts w:hint="eastAsia" w:ascii="宋体" w:hAnsi="宋体"/>
          <w:color w:val="auto"/>
          <w:sz w:val="21"/>
          <w:szCs w:val="21"/>
          <w:highlight w:val="none"/>
        </w:rPr>
        <w:t>，在评审时将其视为无效响应。</w:t>
      </w:r>
    </w:p>
    <w:p>
      <w:pPr>
        <w:adjustRightInd w:val="0"/>
        <w:snapToGrid w:val="0"/>
        <w:spacing w:before="156" w:beforeLines="50"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（1）未在</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规定的提交时间、地点提交</w:t>
      </w:r>
      <w:r>
        <w:rPr>
          <w:rFonts w:ascii="宋体" w:hAnsi="宋体"/>
          <w:color w:val="auto"/>
          <w:sz w:val="21"/>
          <w:szCs w:val="21"/>
          <w:highlight w:val="none"/>
        </w:rPr>
        <w:t>的</w:t>
      </w:r>
      <w:r>
        <w:rPr>
          <w:rFonts w:hint="eastAsia" w:ascii="宋体" w:hAnsi="宋体"/>
          <w:color w:val="auto"/>
          <w:sz w:val="21"/>
          <w:szCs w:val="21"/>
          <w:highlight w:val="none"/>
        </w:rPr>
        <w:t>；</w:t>
      </w:r>
    </w:p>
    <w:p>
      <w:pPr>
        <w:adjustRightInd w:val="0"/>
        <w:snapToGrid w:val="0"/>
        <w:spacing w:before="156" w:beforeLines="50"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（2）</w:t>
      </w:r>
      <w:r>
        <w:rPr>
          <w:rFonts w:hint="eastAsia" w:ascii="宋体" w:hAnsi="宋体"/>
          <w:bCs/>
          <w:color w:val="auto"/>
          <w:sz w:val="21"/>
          <w:szCs w:val="21"/>
          <w:highlight w:val="none"/>
        </w:rPr>
        <w:t>供应商</w:t>
      </w:r>
      <w:r>
        <w:rPr>
          <w:rFonts w:hint="eastAsia" w:ascii="宋体" w:hAnsi="宋体"/>
          <w:color w:val="auto"/>
          <w:sz w:val="21"/>
          <w:szCs w:val="21"/>
          <w:highlight w:val="none"/>
        </w:rPr>
        <w:t>提供的样品与响应文件中提供样品的型号、规格不一致</w:t>
      </w:r>
      <w:r>
        <w:rPr>
          <w:rFonts w:ascii="宋体" w:hAnsi="宋体"/>
          <w:color w:val="auto"/>
          <w:sz w:val="21"/>
          <w:szCs w:val="21"/>
          <w:highlight w:val="none"/>
        </w:rPr>
        <w:t>的</w:t>
      </w:r>
      <w:r>
        <w:rPr>
          <w:rFonts w:hint="eastAsia" w:ascii="宋体" w:hAnsi="宋体"/>
          <w:color w:val="auto"/>
          <w:sz w:val="21"/>
          <w:szCs w:val="21"/>
          <w:highlight w:val="none"/>
        </w:rPr>
        <w:t>。</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19.</w:t>
      </w:r>
      <w:r>
        <w:rPr>
          <w:rFonts w:hint="eastAsia"/>
          <w:color w:val="auto"/>
          <w:sz w:val="21"/>
          <w:szCs w:val="21"/>
          <w:highlight w:val="none"/>
        </w:rPr>
        <w:t xml:space="preserve"> </w:t>
      </w:r>
      <w:r>
        <w:rPr>
          <w:rFonts w:hint="eastAsia" w:ascii="宋体" w:hAnsi="宋体"/>
          <w:b/>
          <w:bCs/>
          <w:color w:val="auto"/>
          <w:sz w:val="21"/>
          <w:szCs w:val="21"/>
          <w:highlight w:val="none"/>
        </w:rPr>
        <w:t>磋商保证金</w:t>
      </w:r>
    </w:p>
    <w:p>
      <w:pPr>
        <w:pStyle w:val="25"/>
        <w:adjustRightInd w:val="0"/>
        <w:snapToGrid w:val="0"/>
        <w:spacing w:line="360" w:lineRule="auto"/>
        <w:ind w:firstLine="420" w:firstLineChars="200"/>
        <w:rPr>
          <w:rFonts w:hint="eastAsia" w:hAnsi="宋体"/>
          <w:bCs/>
          <w:color w:val="auto"/>
          <w:highlight w:val="none"/>
        </w:rPr>
      </w:pPr>
      <w:r>
        <w:rPr>
          <w:rFonts w:hint="eastAsia" w:hAnsi="宋体"/>
          <w:color w:val="auto"/>
          <w:highlight w:val="none"/>
        </w:rPr>
        <w:t>19.1</w:t>
      </w:r>
      <w:r>
        <w:rPr>
          <w:rFonts w:hint="eastAsia" w:hAnsi="宋体"/>
          <w:b/>
          <w:color w:val="auto"/>
          <w:highlight w:val="none"/>
        </w:rPr>
        <w:t>磋商须知前附表</w:t>
      </w:r>
      <w:r>
        <w:rPr>
          <w:rFonts w:hint="eastAsia" w:hAnsi="宋体"/>
          <w:color w:val="auto"/>
          <w:highlight w:val="none"/>
        </w:rPr>
        <w:t>规定交纳磋商</w:t>
      </w:r>
      <w:r>
        <w:rPr>
          <w:rFonts w:hint="eastAsia" w:hAnsi="宋体"/>
          <w:bCs/>
          <w:color w:val="auto"/>
          <w:highlight w:val="none"/>
        </w:rPr>
        <w:t>保证金的</w:t>
      </w:r>
      <w:r>
        <w:rPr>
          <w:rFonts w:hint="eastAsia" w:hAnsi="宋体"/>
          <w:color w:val="auto"/>
          <w:highlight w:val="none"/>
        </w:rPr>
        <w:t>，应按</w:t>
      </w:r>
      <w:r>
        <w:rPr>
          <w:rFonts w:hint="eastAsia" w:hAnsi="宋体"/>
          <w:b/>
          <w:color w:val="auto"/>
          <w:highlight w:val="none"/>
        </w:rPr>
        <w:t>磋商须知前附表</w:t>
      </w:r>
      <w:r>
        <w:rPr>
          <w:rFonts w:hint="eastAsia" w:hAnsi="宋体"/>
          <w:color w:val="auto"/>
          <w:highlight w:val="none"/>
        </w:rPr>
        <w:t>规定的磋商</w:t>
      </w:r>
      <w:r>
        <w:rPr>
          <w:rFonts w:hint="eastAsia" w:hAnsi="宋体"/>
          <w:bCs/>
          <w:color w:val="auto"/>
          <w:highlight w:val="none"/>
        </w:rPr>
        <w:t>保证金形式交纳，不得以现金方式交纳</w:t>
      </w:r>
      <w:r>
        <w:rPr>
          <w:rFonts w:hint="eastAsia" w:hAnsi="宋体"/>
          <w:color w:val="auto"/>
          <w:highlight w:val="none"/>
        </w:rPr>
        <w:t>，在</w:t>
      </w:r>
      <w:r>
        <w:rPr>
          <w:rFonts w:hint="eastAsia" w:hAnsi="宋体" w:cs="宋体"/>
          <w:color w:val="auto"/>
          <w:kern w:val="0"/>
          <w:highlight w:val="none"/>
        </w:rPr>
        <w:t>提交首次响应文件截止时间</w:t>
      </w:r>
      <w:r>
        <w:rPr>
          <w:rFonts w:hint="eastAsia" w:hAnsi="宋体"/>
          <w:color w:val="auto"/>
          <w:highlight w:val="none"/>
        </w:rPr>
        <w:t>前，</w:t>
      </w:r>
      <w:r>
        <w:rPr>
          <w:rFonts w:hint="eastAsia" w:hAnsi="宋体"/>
          <w:bCs/>
          <w:color w:val="auto"/>
          <w:highlight w:val="none"/>
        </w:rPr>
        <w:t>向采购代理机构交纳不超过</w:t>
      </w:r>
      <w:r>
        <w:rPr>
          <w:rFonts w:hint="eastAsia" w:hAnsi="宋体" w:cs="宋体"/>
          <w:color w:val="auto"/>
          <w:kern w:val="0"/>
          <w:highlight w:val="none"/>
          <w:lang w:val="zh-CN"/>
        </w:rPr>
        <w:t>采购项目预算2﹪</w:t>
      </w:r>
      <w:r>
        <w:rPr>
          <w:rFonts w:hint="eastAsia" w:hAnsi="宋体"/>
          <w:bCs/>
          <w:color w:val="auto"/>
          <w:highlight w:val="none"/>
        </w:rPr>
        <w:t>的磋商保证金(数额采用四舍五入，计算至元)</w:t>
      </w:r>
      <w:r>
        <w:rPr>
          <w:rFonts w:hint="eastAsia" w:hAnsi="宋体"/>
          <w:color w:val="auto"/>
          <w:highlight w:val="none"/>
        </w:rPr>
        <w:t>。磋商</w:t>
      </w:r>
      <w:r>
        <w:rPr>
          <w:rFonts w:hint="eastAsia" w:hAnsi="宋体"/>
          <w:bCs/>
          <w:color w:val="auto"/>
          <w:highlight w:val="none"/>
        </w:rPr>
        <w:t>保证金有效期应当与</w:t>
      </w:r>
      <w:r>
        <w:rPr>
          <w:rFonts w:hint="eastAsia" w:hAnsi="宋体"/>
          <w:color w:val="auto"/>
          <w:highlight w:val="none"/>
        </w:rPr>
        <w:t>本章第20.1</w:t>
      </w:r>
      <w:r>
        <w:rPr>
          <w:rFonts w:hint="eastAsia" w:hAnsi="宋体" w:cs="宋体"/>
          <w:color w:val="auto"/>
          <w:kern w:val="0"/>
          <w:highlight w:val="none"/>
          <w:lang w:val="zh-CN"/>
        </w:rPr>
        <w:t>款</w:t>
      </w:r>
      <w:r>
        <w:rPr>
          <w:rFonts w:hint="eastAsia" w:hAnsi="宋体"/>
          <w:color w:val="auto"/>
          <w:highlight w:val="none"/>
        </w:rPr>
        <w:t>规定的</w:t>
      </w:r>
      <w:r>
        <w:rPr>
          <w:rFonts w:hint="eastAsia" w:hAnsi="宋体"/>
          <w:bCs/>
          <w:color w:val="auto"/>
          <w:highlight w:val="none"/>
        </w:rPr>
        <w:t>响应文件有效期一致。</w:t>
      </w:r>
    </w:p>
    <w:p>
      <w:pPr>
        <w:adjustRightInd w:val="0"/>
        <w:snapToGrid w:val="0"/>
        <w:spacing w:line="360" w:lineRule="auto"/>
        <w:ind w:firstLine="420" w:firstLineChars="200"/>
        <w:rPr>
          <w:rFonts w:hint="eastAsia" w:ascii="宋体" w:hAnsi="宋体"/>
          <w:b/>
          <w:color w:val="auto"/>
          <w:sz w:val="21"/>
          <w:szCs w:val="21"/>
          <w:highlight w:val="none"/>
        </w:rPr>
      </w:pPr>
      <w:r>
        <w:rPr>
          <w:rFonts w:hint="eastAsia" w:ascii="宋体" w:hAnsi="宋体"/>
          <w:color w:val="auto"/>
          <w:sz w:val="21"/>
          <w:szCs w:val="21"/>
          <w:highlight w:val="none"/>
        </w:rPr>
        <w:t>19.2</w:t>
      </w:r>
      <w:r>
        <w:rPr>
          <w:rFonts w:hint="eastAsia" w:ascii="宋体" w:hAnsi="宋体" w:cs="宋体"/>
          <w:color w:val="auto"/>
          <w:kern w:val="0"/>
          <w:sz w:val="21"/>
          <w:szCs w:val="21"/>
          <w:highlight w:val="none"/>
          <w:lang w:val="zh-CN"/>
        </w:rPr>
        <w:t>供应商为联合体的，可以由联合体中的一方或者共同交纳磋商保证金，其交纳的磋商保证金，对联合体各方均具有约束力。</w:t>
      </w:r>
    </w:p>
    <w:p>
      <w:pPr>
        <w:pStyle w:val="25"/>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19.3供应商未按照磋商文件要求提交磋商保证金的，响应无效。</w:t>
      </w:r>
    </w:p>
    <w:p>
      <w:pPr>
        <w:pStyle w:val="25"/>
        <w:tabs>
          <w:tab w:val="left" w:pos="6300"/>
        </w:tabs>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19.4采购代理机构在成交通知书发出后5个工作日内退还未成交供应商的磋商保证金；在采购合同签定后5个工作日内退还成交供应商的磋商保证金，但因供应商自身原因导致无法及时退还的除外。</w:t>
      </w:r>
    </w:p>
    <w:p>
      <w:pPr>
        <w:pStyle w:val="25"/>
        <w:adjustRightInd w:val="0"/>
        <w:snapToGrid w:val="0"/>
        <w:spacing w:line="360" w:lineRule="auto"/>
        <w:ind w:firstLine="420" w:firstLineChars="200"/>
        <w:rPr>
          <w:rFonts w:hint="eastAsia"/>
          <w:color w:val="auto"/>
          <w:kern w:val="0"/>
          <w:highlight w:val="none"/>
        </w:rPr>
      </w:pPr>
      <w:r>
        <w:rPr>
          <w:rFonts w:hint="eastAsia"/>
          <w:color w:val="auto"/>
          <w:highlight w:val="none"/>
        </w:rPr>
        <w:t xml:space="preserve">19.5 </w:t>
      </w:r>
      <w:r>
        <w:rPr>
          <w:rFonts w:hint="eastAsia"/>
          <w:color w:val="auto"/>
          <w:kern w:val="0"/>
          <w:highlight w:val="none"/>
        </w:rPr>
        <w:t>有下列情形之一的，磋商保证金不予退还，并上缴本级财政国库：</w:t>
      </w:r>
    </w:p>
    <w:p>
      <w:pPr>
        <w:widowControl/>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（1）供应商在提交首次响应文件截止时间后撤回响应文件的；</w:t>
      </w:r>
    </w:p>
    <w:p>
      <w:pPr>
        <w:widowControl/>
        <w:adjustRightInd w:val="0"/>
        <w:snapToGrid w:val="0"/>
        <w:spacing w:line="360" w:lineRule="auto"/>
        <w:ind w:firstLine="420" w:firstLineChars="200"/>
        <w:jc w:val="left"/>
        <w:rPr>
          <w:rFonts w:hint="eastAsia"/>
          <w:color w:val="auto"/>
          <w:kern w:val="0"/>
          <w:sz w:val="21"/>
          <w:szCs w:val="21"/>
          <w:highlight w:val="none"/>
        </w:rPr>
      </w:pPr>
      <w:r>
        <w:rPr>
          <w:rFonts w:hint="eastAsia"/>
          <w:color w:val="auto"/>
          <w:kern w:val="0"/>
          <w:sz w:val="21"/>
          <w:szCs w:val="21"/>
          <w:highlight w:val="none"/>
        </w:rPr>
        <w:t>（2）供应商在响应文件中提供虚假资料的；</w:t>
      </w:r>
    </w:p>
    <w:p>
      <w:pPr>
        <w:widowControl/>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color w:val="auto"/>
          <w:kern w:val="0"/>
          <w:sz w:val="21"/>
          <w:szCs w:val="21"/>
          <w:highlight w:val="none"/>
        </w:rPr>
        <w:t>（3）</w:t>
      </w:r>
      <w:r>
        <w:rPr>
          <w:rFonts w:hint="eastAsia"/>
          <w:color w:val="auto"/>
          <w:sz w:val="21"/>
          <w:szCs w:val="21"/>
          <w:highlight w:val="none"/>
        </w:rPr>
        <w:t>确定成交结果后，无正当理由放弃成交资格的；</w:t>
      </w:r>
    </w:p>
    <w:p>
      <w:pPr>
        <w:widowControl/>
        <w:adjustRightInd w:val="0"/>
        <w:snapToGrid w:val="0"/>
        <w:spacing w:line="360" w:lineRule="auto"/>
        <w:ind w:firstLine="525" w:firstLineChars="25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(4) 除因不可抗力或磋商文件认可的情形以外，成交供应商不与采购人签订合同的；</w:t>
      </w:r>
    </w:p>
    <w:p>
      <w:pPr>
        <w:widowControl/>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（5）供应商与采购人、其他供应商或者采购代理机构恶意串通的；</w:t>
      </w:r>
    </w:p>
    <w:p>
      <w:pPr>
        <w:widowControl/>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（6）磋商文件规定的其他情形。</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20.</w:t>
      </w:r>
      <w:r>
        <w:rPr>
          <w:rFonts w:hint="eastAsia" w:ascii="宋体" w:hAnsi="宋体"/>
          <w:color w:val="auto"/>
          <w:sz w:val="21"/>
          <w:szCs w:val="21"/>
          <w:highlight w:val="none"/>
        </w:rPr>
        <w:t xml:space="preserve"> </w:t>
      </w:r>
      <w:r>
        <w:rPr>
          <w:rFonts w:hint="eastAsia" w:hAnsi="宋体"/>
          <w:b/>
          <w:color w:val="auto"/>
          <w:sz w:val="21"/>
          <w:szCs w:val="21"/>
          <w:highlight w:val="none"/>
        </w:rPr>
        <w:t>响应文件</w:t>
      </w:r>
      <w:r>
        <w:rPr>
          <w:rFonts w:hint="eastAsia" w:ascii="宋体" w:hAnsi="宋体"/>
          <w:b/>
          <w:color w:val="auto"/>
          <w:sz w:val="21"/>
          <w:szCs w:val="21"/>
          <w:highlight w:val="none"/>
        </w:rPr>
        <w:t>有效期</w:t>
      </w:r>
    </w:p>
    <w:p>
      <w:pPr>
        <w:adjustRightInd w:val="0"/>
        <w:snapToGrid w:val="0"/>
        <w:spacing w:line="360" w:lineRule="auto"/>
        <w:ind w:firstLine="420" w:firstLineChars="200"/>
        <w:jc w:val="left"/>
        <w:rPr>
          <w:rFonts w:hint="eastAsia" w:hAnsi="宋体"/>
          <w:color w:val="auto"/>
          <w:sz w:val="21"/>
          <w:szCs w:val="21"/>
          <w:highlight w:val="none"/>
        </w:rPr>
      </w:pPr>
      <w:r>
        <w:rPr>
          <w:rFonts w:hint="eastAsia" w:ascii="宋体" w:hAnsi="宋体"/>
          <w:color w:val="auto"/>
          <w:sz w:val="21"/>
          <w:szCs w:val="21"/>
          <w:highlight w:val="none"/>
        </w:rPr>
        <w:t>20.1响应文件有效期见</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，在此期间响应文件对供应商具有法律约束力，</w:t>
      </w:r>
      <w:r>
        <w:rPr>
          <w:rFonts w:hint="eastAsia" w:ascii="宋体" w:hAnsi="宋体" w:cs="Arial"/>
          <w:color w:val="auto"/>
          <w:sz w:val="21"/>
          <w:szCs w:val="21"/>
          <w:highlight w:val="none"/>
        </w:rPr>
        <w:t>从</w:t>
      </w:r>
      <w:r>
        <w:rPr>
          <w:rFonts w:hint="eastAsia" w:ascii="宋体" w:hAnsi="宋体" w:cs="宋体"/>
          <w:color w:val="auto"/>
          <w:kern w:val="0"/>
          <w:sz w:val="21"/>
          <w:szCs w:val="21"/>
          <w:highlight w:val="none"/>
        </w:rPr>
        <w:t>提交首次响应文件截止时间</w:t>
      </w:r>
      <w:r>
        <w:rPr>
          <w:rFonts w:hint="eastAsia" w:hAnsi="宋体"/>
          <w:color w:val="auto"/>
          <w:sz w:val="21"/>
          <w:szCs w:val="21"/>
          <w:highlight w:val="none"/>
        </w:rPr>
        <w:t>之日</w:t>
      </w:r>
      <w:r>
        <w:rPr>
          <w:rFonts w:hint="eastAsia" w:hAnsi="宋体" w:cs="Arial"/>
          <w:color w:val="auto"/>
          <w:sz w:val="21"/>
          <w:szCs w:val="21"/>
          <w:highlight w:val="none"/>
        </w:rPr>
        <w:t>起计算。</w:t>
      </w:r>
      <w:r>
        <w:rPr>
          <w:rFonts w:hint="eastAsia" w:hAnsi="宋体"/>
          <w:color w:val="auto"/>
          <w:sz w:val="21"/>
          <w:szCs w:val="21"/>
          <w:highlight w:val="none"/>
        </w:rPr>
        <w:t>响应文件有效期不足的将被视为无效响应。</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21.响应文件的签署及规定</w:t>
      </w:r>
    </w:p>
    <w:p>
      <w:pPr>
        <w:pStyle w:val="25"/>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21.1响应文件的正本和副本应装订成册，正本一份，副本份数见</w:t>
      </w:r>
      <w:r>
        <w:rPr>
          <w:rFonts w:hint="eastAsia" w:hAnsi="宋体"/>
          <w:b/>
          <w:color w:val="auto"/>
          <w:highlight w:val="none"/>
        </w:rPr>
        <w:t>磋商须知前附表</w:t>
      </w:r>
      <w:r>
        <w:rPr>
          <w:rFonts w:hint="eastAsia" w:hAnsi="宋体"/>
          <w:color w:val="auto"/>
          <w:highlight w:val="none"/>
        </w:rPr>
        <w:t>。正本和副本的封面上应标记“正本”或“副本”的字样，当正本和副本有差异时，以正本为准。</w:t>
      </w:r>
    </w:p>
    <w:p>
      <w:pPr>
        <w:pStyle w:val="25"/>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21.2 响应文件正本和副本应按磋商文件要求签章处盖单位章和由法定代表人或其委托代理人签字；任何加行、涂改、增删，应有法定代表人或其委托代理人在旁边签字。否则，将导致响应文件无效。</w:t>
      </w:r>
    </w:p>
    <w:p>
      <w:pPr>
        <w:pStyle w:val="25"/>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21.3 在磋商过程中，供应商按磋商文件规定和磋商小组要求</w:t>
      </w:r>
      <w:r>
        <w:rPr>
          <w:rFonts w:hint="eastAsia" w:hAnsi="宋体" w:cs="宋体"/>
          <w:color w:val="auto"/>
          <w:kern w:val="0"/>
          <w:highlight w:val="none"/>
        </w:rPr>
        <w:t>提交的</w:t>
      </w:r>
      <w:r>
        <w:rPr>
          <w:rFonts w:hint="eastAsia" w:hAnsi="宋体"/>
          <w:color w:val="auto"/>
          <w:highlight w:val="none"/>
        </w:rPr>
        <w:t>最后报价(或者</w:t>
      </w:r>
      <w:r>
        <w:rPr>
          <w:rFonts w:hint="eastAsia" w:hAnsi="宋体"/>
          <w:bCs/>
          <w:color w:val="auto"/>
          <w:highlight w:val="none"/>
        </w:rPr>
        <w:t>重</w:t>
      </w:r>
      <w:r>
        <w:rPr>
          <w:rFonts w:hint="eastAsia" w:hAnsi="宋体" w:cs="宋体"/>
          <w:color w:val="auto"/>
          <w:kern w:val="0"/>
          <w:highlight w:val="none"/>
        </w:rPr>
        <w:t>新提交的响应文件和</w:t>
      </w:r>
      <w:r>
        <w:rPr>
          <w:rFonts w:hint="eastAsia" w:hAnsi="宋体"/>
          <w:color w:val="auto"/>
          <w:highlight w:val="none"/>
        </w:rPr>
        <w:t>最后报价)，一式两份，可打印或用不退色墨水书写，但需经法定代表人或其委托代理人签字，</w:t>
      </w:r>
      <w:r>
        <w:rPr>
          <w:rFonts w:hint="eastAsia" w:hAnsi="宋体" w:cs="宋体"/>
          <w:color w:val="auto"/>
          <w:kern w:val="0"/>
          <w:highlight w:val="none"/>
        </w:rPr>
        <w:t>或者加盖供应商单位章</w:t>
      </w:r>
      <w:r>
        <w:rPr>
          <w:rFonts w:hint="eastAsia" w:hAnsi="宋体"/>
          <w:color w:val="auto"/>
          <w:highlight w:val="none"/>
        </w:rPr>
        <w:t>。否则，将导致响应文件无效。</w:t>
      </w:r>
    </w:p>
    <w:p>
      <w:pPr>
        <w:pStyle w:val="6"/>
        <w:jc w:val="left"/>
        <w:rPr>
          <w:rFonts w:hint="eastAsia"/>
          <w:color w:val="auto"/>
          <w:sz w:val="21"/>
          <w:szCs w:val="21"/>
          <w:highlight w:val="none"/>
        </w:rPr>
      </w:pPr>
      <w:r>
        <w:rPr>
          <w:rFonts w:hint="eastAsia"/>
          <w:color w:val="auto"/>
          <w:sz w:val="21"/>
          <w:szCs w:val="21"/>
          <w:highlight w:val="none"/>
        </w:rPr>
        <w:t>四、响应文件的递交</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22.</w:t>
      </w:r>
      <w:r>
        <w:rPr>
          <w:rFonts w:hint="eastAsia" w:ascii="宋体" w:hAnsi="宋体"/>
          <w:b/>
          <w:color w:val="auto"/>
          <w:sz w:val="21"/>
          <w:szCs w:val="21"/>
          <w:highlight w:val="none"/>
        </w:rPr>
        <w:t>响应文件</w:t>
      </w:r>
      <w:r>
        <w:rPr>
          <w:rFonts w:hint="eastAsia" w:ascii="宋体" w:hAnsi="宋体"/>
          <w:b/>
          <w:bCs/>
          <w:color w:val="auto"/>
          <w:sz w:val="21"/>
          <w:szCs w:val="21"/>
          <w:highlight w:val="none"/>
        </w:rPr>
        <w:t>的密封和标记</w:t>
      </w:r>
    </w:p>
    <w:p>
      <w:pPr>
        <w:pStyle w:val="25"/>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22.1响应文件应密封包装，加贴封条，并在封套的封口处盖供应商单位章或者由法定代表人或其委托代理人签字。</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22.2响应文件封套上应写明的内容见</w:t>
      </w:r>
      <w:r>
        <w:rPr>
          <w:rFonts w:hint="eastAsia" w:ascii="宋体" w:hAnsi="宋体"/>
          <w:b/>
          <w:color w:val="auto"/>
          <w:sz w:val="21"/>
          <w:szCs w:val="21"/>
          <w:highlight w:val="none"/>
        </w:rPr>
        <w:t>磋商须知前附表。</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22.3响应文件如果未按上述规定密封和加写标记，采购人或采购代理机构将拒绝接收。</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23.响应文件的</w:t>
      </w:r>
      <w:r>
        <w:rPr>
          <w:rFonts w:hint="eastAsia" w:ascii="宋体" w:hAnsi="宋体" w:cs="宋体"/>
          <w:b/>
          <w:color w:val="auto"/>
          <w:kern w:val="0"/>
          <w:sz w:val="21"/>
          <w:szCs w:val="21"/>
          <w:highlight w:val="none"/>
          <w:lang w:val="zh-CN"/>
        </w:rPr>
        <w:t>补充、修改或者撤回</w:t>
      </w:r>
    </w:p>
    <w:p>
      <w:pPr>
        <w:pStyle w:val="25"/>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23.1</w:t>
      </w:r>
      <w:r>
        <w:rPr>
          <w:rFonts w:hint="eastAsia" w:hAnsi="宋体" w:cs="宋体"/>
          <w:color w:val="auto"/>
          <w:kern w:val="0"/>
          <w:highlight w:val="none"/>
        </w:rPr>
        <w:t>供应商在提交首次响应文件截止时间前，可以对所提交的首次响应文件进行补充、修改或者撤回，并书面通知采购人、采购代理机构。</w:t>
      </w:r>
      <w:r>
        <w:rPr>
          <w:rFonts w:hint="eastAsia" w:hAnsi="宋体"/>
          <w:color w:val="auto"/>
          <w:highlight w:val="none"/>
        </w:rPr>
        <w:t>该通知应有供应商法定代表人或其委托代理人签字。</w:t>
      </w:r>
    </w:p>
    <w:p>
      <w:pPr>
        <w:pStyle w:val="25"/>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23.2</w:t>
      </w:r>
      <w:r>
        <w:rPr>
          <w:rFonts w:hint="eastAsia" w:hAnsi="宋体" w:cs="宋体"/>
          <w:color w:val="auto"/>
          <w:kern w:val="0"/>
          <w:highlight w:val="none"/>
          <w:lang w:val="zh-CN"/>
        </w:rPr>
        <w:t>补充、修改的内容与响应文件不一致时，以补充、修改的内容为准。</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24.响应文件的递交与接收</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24.1 供应商应在</w:t>
      </w:r>
      <w:r>
        <w:rPr>
          <w:rFonts w:hint="eastAsia" w:ascii="宋体" w:hAnsi="宋体" w:cs="宋体"/>
          <w:color w:val="auto"/>
          <w:kern w:val="0"/>
          <w:sz w:val="21"/>
          <w:szCs w:val="21"/>
          <w:highlight w:val="none"/>
        </w:rPr>
        <w:t>提交首次响应文件截止时间</w:t>
      </w:r>
      <w:r>
        <w:rPr>
          <w:rFonts w:hint="eastAsia" w:ascii="宋体" w:hAnsi="宋体"/>
          <w:color w:val="auto"/>
          <w:sz w:val="21"/>
          <w:szCs w:val="21"/>
          <w:highlight w:val="none"/>
        </w:rPr>
        <w:t>前，将响应文件送</w:t>
      </w:r>
      <w:r>
        <w:rPr>
          <w:rFonts w:hint="eastAsia" w:ascii="宋体" w:hAnsi="宋体" w:cs="Arial"/>
          <w:color w:val="auto"/>
          <w:sz w:val="21"/>
          <w:szCs w:val="21"/>
          <w:highlight w:val="none"/>
        </w:rPr>
        <w:t>达</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中指定的地点。</w:t>
      </w:r>
      <w:r>
        <w:rPr>
          <w:rFonts w:hint="eastAsia" w:hAnsi="宋体" w:cs="宋体"/>
          <w:color w:val="auto"/>
          <w:kern w:val="0"/>
          <w:sz w:val="21"/>
          <w:szCs w:val="21"/>
          <w:highlight w:val="none"/>
        </w:rPr>
        <w:t>在截止时间后送达的响应文件，采购人、采购代理机构或者磋商小组应当拒收。</w:t>
      </w:r>
    </w:p>
    <w:p>
      <w:pPr>
        <w:pStyle w:val="25"/>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24.2</w:t>
      </w:r>
      <w:r>
        <w:rPr>
          <w:rFonts w:hint="eastAsia" w:hAnsi="宋体" w:cs="宋体"/>
          <w:color w:val="auto"/>
          <w:kern w:val="0"/>
          <w:highlight w:val="none"/>
        </w:rPr>
        <w:t>在提交首次响应文件截止时间后，</w:t>
      </w:r>
      <w:r>
        <w:rPr>
          <w:rFonts w:hint="eastAsia" w:hAnsi="宋体"/>
          <w:color w:val="auto"/>
          <w:highlight w:val="none"/>
        </w:rPr>
        <w:t>由</w:t>
      </w:r>
      <w:r>
        <w:rPr>
          <w:rFonts w:hint="eastAsia" w:hAnsi="宋体"/>
          <w:bCs/>
          <w:color w:val="auto"/>
          <w:highlight w:val="none"/>
        </w:rPr>
        <w:t>供应商代表</w:t>
      </w:r>
      <w:r>
        <w:rPr>
          <w:rFonts w:hint="eastAsia" w:hAnsi="宋体"/>
          <w:color w:val="auto"/>
          <w:highlight w:val="none"/>
        </w:rPr>
        <w:t>当场查验</w:t>
      </w:r>
      <w:r>
        <w:rPr>
          <w:rFonts w:hint="eastAsia" w:hAnsi="宋体"/>
          <w:bCs/>
          <w:color w:val="auto"/>
          <w:highlight w:val="none"/>
        </w:rPr>
        <w:t>响应文件</w:t>
      </w:r>
      <w:r>
        <w:rPr>
          <w:rFonts w:hint="eastAsia" w:hAnsi="宋体"/>
          <w:color w:val="auto"/>
          <w:highlight w:val="none"/>
        </w:rPr>
        <w:t>的密封状况，采购人或</w:t>
      </w:r>
      <w:r>
        <w:rPr>
          <w:rFonts w:hint="eastAsia" w:hAnsi="宋体"/>
          <w:bCs/>
          <w:color w:val="auto"/>
          <w:highlight w:val="none"/>
        </w:rPr>
        <w:t>采购代理机构</w:t>
      </w:r>
      <w:r>
        <w:rPr>
          <w:rFonts w:hint="eastAsia" w:hAnsi="宋体"/>
          <w:color w:val="auto"/>
          <w:highlight w:val="none"/>
        </w:rPr>
        <w:t>不当场拆封</w:t>
      </w:r>
      <w:r>
        <w:rPr>
          <w:rFonts w:hint="eastAsia" w:hAnsi="宋体"/>
          <w:bCs/>
          <w:color w:val="auto"/>
          <w:highlight w:val="none"/>
        </w:rPr>
        <w:t>响应文件</w:t>
      </w:r>
      <w:r>
        <w:rPr>
          <w:rFonts w:hint="eastAsia" w:hAnsi="宋体"/>
          <w:color w:val="auto"/>
          <w:highlight w:val="none"/>
        </w:rPr>
        <w:t>。</w:t>
      </w:r>
    </w:p>
    <w:p>
      <w:pPr>
        <w:pStyle w:val="6"/>
        <w:jc w:val="left"/>
        <w:rPr>
          <w:rFonts w:hint="eastAsia"/>
          <w:color w:val="auto"/>
          <w:sz w:val="21"/>
          <w:szCs w:val="21"/>
          <w:highlight w:val="none"/>
        </w:rPr>
      </w:pPr>
      <w:r>
        <w:rPr>
          <w:rFonts w:hint="eastAsia"/>
          <w:color w:val="auto"/>
          <w:sz w:val="21"/>
          <w:szCs w:val="21"/>
          <w:highlight w:val="none"/>
        </w:rPr>
        <w:t>五、响应文件的磋商与评审</w:t>
      </w:r>
    </w:p>
    <w:p>
      <w:pPr>
        <w:tabs>
          <w:tab w:val="left" w:pos="0"/>
        </w:tabs>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25.磋商程序</w:t>
      </w:r>
    </w:p>
    <w:p>
      <w:pPr>
        <w:widowControl/>
        <w:adjustRightInd w:val="0"/>
        <w:snapToGrid w:val="0"/>
        <w:spacing w:line="360" w:lineRule="auto"/>
        <w:ind w:firstLine="420"/>
        <w:jc w:val="left"/>
        <w:rPr>
          <w:rFonts w:hint="eastAsia" w:ascii="宋体" w:hAnsi="宋体"/>
          <w:bCs/>
          <w:color w:val="auto"/>
          <w:sz w:val="21"/>
          <w:szCs w:val="21"/>
          <w:highlight w:val="none"/>
        </w:rPr>
      </w:pPr>
      <w:r>
        <w:rPr>
          <w:rFonts w:hint="eastAsia" w:ascii="宋体" w:hAnsi="宋体" w:cs="宋体"/>
          <w:color w:val="auto"/>
          <w:kern w:val="0"/>
          <w:sz w:val="21"/>
          <w:szCs w:val="21"/>
          <w:highlight w:val="none"/>
        </w:rPr>
        <w:t>25.1磋商程序：响应文件审查、磋商（包括澄清）、响应文件评审、</w:t>
      </w:r>
      <w:r>
        <w:rPr>
          <w:rFonts w:hint="eastAsia" w:ascii="宋体" w:hAnsi="宋体"/>
          <w:bCs/>
          <w:color w:val="auto"/>
          <w:sz w:val="21"/>
          <w:szCs w:val="21"/>
          <w:highlight w:val="none"/>
        </w:rPr>
        <w:t>提出成交供应商。其中，</w:t>
      </w:r>
      <w:r>
        <w:rPr>
          <w:rFonts w:hint="eastAsia" w:ascii="宋体" w:hAnsi="宋体" w:cs="宋体"/>
          <w:color w:val="auto"/>
          <w:kern w:val="0"/>
          <w:sz w:val="21"/>
          <w:szCs w:val="21"/>
          <w:highlight w:val="none"/>
        </w:rPr>
        <w:t>磋商按</w:t>
      </w:r>
      <w:r>
        <w:rPr>
          <w:rFonts w:hint="eastAsia" w:ascii="宋体" w:hAnsi="宋体"/>
          <w:color w:val="auto"/>
          <w:sz w:val="21"/>
          <w:szCs w:val="21"/>
          <w:highlight w:val="none"/>
        </w:rPr>
        <w:t>本章</w:t>
      </w:r>
      <w:r>
        <w:rPr>
          <w:rFonts w:hint="eastAsia" w:hAnsi="宋体"/>
          <w:color w:val="auto"/>
          <w:sz w:val="21"/>
          <w:szCs w:val="21"/>
          <w:highlight w:val="none"/>
        </w:rPr>
        <w:t>第</w:t>
      </w:r>
      <w:r>
        <w:rPr>
          <w:rFonts w:hint="eastAsia" w:ascii="宋体" w:hAnsi="宋体"/>
          <w:color w:val="auto"/>
          <w:sz w:val="21"/>
          <w:szCs w:val="21"/>
          <w:highlight w:val="none"/>
        </w:rPr>
        <w:t>30.1</w:t>
      </w:r>
      <w:r>
        <w:rPr>
          <w:rFonts w:hint="eastAsia" w:ascii="宋体" w:hAnsi="宋体" w:cs="宋体"/>
          <w:color w:val="auto"/>
          <w:kern w:val="0"/>
          <w:sz w:val="21"/>
          <w:szCs w:val="21"/>
          <w:highlight w:val="none"/>
          <w:lang w:val="zh-CN"/>
        </w:rPr>
        <w:t>款或者</w:t>
      </w:r>
      <w:r>
        <w:rPr>
          <w:rFonts w:hint="eastAsia" w:ascii="宋体" w:hAnsi="宋体"/>
          <w:color w:val="auto"/>
          <w:sz w:val="21"/>
          <w:szCs w:val="21"/>
          <w:highlight w:val="none"/>
        </w:rPr>
        <w:t>第30.2</w:t>
      </w:r>
      <w:r>
        <w:rPr>
          <w:rFonts w:hint="eastAsia" w:ascii="宋体" w:hAnsi="宋体" w:cs="宋体"/>
          <w:color w:val="auto"/>
          <w:kern w:val="0"/>
          <w:sz w:val="21"/>
          <w:szCs w:val="21"/>
          <w:highlight w:val="none"/>
          <w:lang w:val="zh-CN"/>
        </w:rPr>
        <w:t>款</w:t>
      </w:r>
      <w:r>
        <w:rPr>
          <w:rFonts w:hint="eastAsia" w:hAnsi="宋体"/>
          <w:color w:val="auto"/>
          <w:sz w:val="21"/>
          <w:szCs w:val="21"/>
          <w:highlight w:val="none"/>
        </w:rPr>
        <w:t>情形</w:t>
      </w:r>
      <w:r>
        <w:rPr>
          <w:rFonts w:hint="eastAsia" w:ascii="宋体" w:hAnsi="宋体"/>
          <w:bCs/>
          <w:color w:val="auto"/>
          <w:sz w:val="21"/>
          <w:szCs w:val="21"/>
          <w:highlight w:val="none"/>
        </w:rPr>
        <w:t>进行。</w:t>
      </w:r>
    </w:p>
    <w:p>
      <w:pPr>
        <w:widowControl/>
        <w:adjustRightInd w:val="0"/>
        <w:snapToGrid w:val="0"/>
        <w:spacing w:line="360" w:lineRule="auto"/>
        <w:rPr>
          <w:rFonts w:hint="eastAsia" w:ascii="宋体" w:hAnsi="宋体"/>
          <w:b/>
          <w:color w:val="auto"/>
          <w:sz w:val="21"/>
          <w:szCs w:val="21"/>
          <w:highlight w:val="none"/>
        </w:rPr>
      </w:pPr>
      <w:r>
        <w:rPr>
          <w:rFonts w:hint="eastAsia" w:ascii="宋体" w:hAnsi="宋体" w:cs="宋体"/>
          <w:b/>
          <w:color w:val="auto"/>
          <w:kern w:val="0"/>
          <w:sz w:val="21"/>
          <w:szCs w:val="21"/>
          <w:highlight w:val="none"/>
        </w:rPr>
        <w:t>26.</w:t>
      </w:r>
      <w:r>
        <w:rPr>
          <w:rFonts w:hint="eastAsia"/>
          <w:color w:val="auto"/>
          <w:sz w:val="21"/>
          <w:szCs w:val="21"/>
          <w:highlight w:val="none"/>
        </w:rPr>
        <w:t xml:space="preserve"> </w:t>
      </w:r>
      <w:r>
        <w:rPr>
          <w:rFonts w:hint="eastAsia" w:ascii="宋体" w:hAnsi="宋体" w:cs="宋体"/>
          <w:b/>
          <w:color w:val="auto"/>
          <w:kern w:val="0"/>
          <w:sz w:val="21"/>
          <w:szCs w:val="21"/>
          <w:highlight w:val="none"/>
        </w:rPr>
        <w:t>响应文件审查</w:t>
      </w:r>
      <w:r>
        <w:rPr>
          <w:rFonts w:hint="eastAsia" w:ascii="宋体" w:hAnsi="宋体"/>
          <w:b/>
          <w:color w:val="auto"/>
          <w:sz w:val="21"/>
          <w:szCs w:val="21"/>
          <w:highlight w:val="none"/>
        </w:rPr>
        <w:t xml:space="preserve"> </w:t>
      </w:r>
    </w:p>
    <w:p>
      <w:pPr>
        <w:adjustRightInd w:val="0"/>
        <w:snapToGrid w:val="0"/>
        <w:spacing w:before="156" w:beforeLines="50"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26.1 资格性审查：根据本章第3.1项规定的供应商资格条件要求，对响应文件的资格证明等进行审查，以确定供应商是否具备磋商资格条件。</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26.2符合性审查: 对响应文件(包括首次提交的响应文件、重新提交的响应文件)的有效性、完整性和响应程度进行审查，以确定是否对磋商文件的实质性要求作出响应。</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26.3响应文件审查结束后，磋商小组所有成员集中与单一供应商分别进行磋商，并给予所有参加磋商的供应商平等的磋商机会。供应商应派其法定代表人或委托代理人参加磋商。</w:t>
      </w:r>
    </w:p>
    <w:p>
      <w:pPr>
        <w:pStyle w:val="25"/>
        <w:adjustRightInd w:val="0"/>
        <w:snapToGrid w:val="0"/>
        <w:spacing w:line="360" w:lineRule="auto"/>
        <w:rPr>
          <w:rFonts w:hint="eastAsia" w:hAnsi="宋体" w:cs="宋体"/>
          <w:b/>
          <w:color w:val="auto"/>
          <w:kern w:val="0"/>
          <w:highlight w:val="none"/>
        </w:rPr>
      </w:pPr>
      <w:r>
        <w:rPr>
          <w:rFonts w:hint="eastAsia" w:hAnsi="宋体" w:cs="宋体"/>
          <w:b/>
          <w:color w:val="auto"/>
          <w:kern w:val="0"/>
          <w:highlight w:val="none"/>
        </w:rPr>
        <w:t>27.实质性响应</w:t>
      </w:r>
    </w:p>
    <w:p>
      <w:pPr>
        <w:pStyle w:val="25"/>
        <w:adjustRightInd w:val="0"/>
        <w:snapToGrid w:val="0"/>
        <w:spacing w:line="360" w:lineRule="auto"/>
        <w:ind w:firstLine="420" w:firstLineChars="200"/>
        <w:rPr>
          <w:rFonts w:hint="eastAsia" w:hAnsi="宋体" w:cs="Arial"/>
          <w:color w:val="auto"/>
          <w:kern w:val="0"/>
          <w:highlight w:val="none"/>
          <w:u w:val="single"/>
        </w:rPr>
      </w:pPr>
      <w:r>
        <w:rPr>
          <w:rFonts w:hint="eastAsia" w:hAnsi="宋体" w:cs="宋体"/>
          <w:color w:val="auto"/>
          <w:kern w:val="0"/>
          <w:highlight w:val="none"/>
        </w:rPr>
        <w:t>27.1</w:t>
      </w:r>
      <w:r>
        <w:rPr>
          <w:rFonts w:hint="eastAsia" w:hAnsi="宋体"/>
          <w:color w:val="auto"/>
          <w:highlight w:val="none"/>
        </w:rPr>
        <w:t>实质性响应是指响应文件(包括首次响应文件、重新提交的响应文件)与磋商文件要求的所有条款、条件和规格相符，没有偏离。偏离</w:t>
      </w:r>
      <w:r>
        <w:rPr>
          <w:rFonts w:hint="eastAsia"/>
          <w:color w:val="auto"/>
          <w:highlight w:val="none"/>
        </w:rPr>
        <w:t>指不满足、或不响应</w:t>
      </w:r>
      <w:r>
        <w:rPr>
          <w:rFonts w:hint="eastAsia" w:hAnsi="宋体"/>
          <w:color w:val="auto"/>
          <w:highlight w:val="none"/>
        </w:rPr>
        <w:t>磋商文件</w:t>
      </w:r>
      <w:r>
        <w:rPr>
          <w:rFonts w:hint="eastAsia"/>
          <w:color w:val="auto"/>
          <w:highlight w:val="none"/>
        </w:rPr>
        <w:t>的要求。</w:t>
      </w:r>
    </w:p>
    <w:p>
      <w:pPr>
        <w:tabs>
          <w:tab w:val="left" w:pos="0"/>
          <w:tab w:val="left" w:pos="7560"/>
          <w:tab w:val="left" w:pos="7740"/>
          <w:tab w:val="left" w:pos="7920"/>
        </w:tabs>
        <w:adjustRightInd w:val="0"/>
        <w:snapToGrid w:val="0"/>
        <w:spacing w:line="360" w:lineRule="auto"/>
        <w:ind w:right="31" w:rightChars="11"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27.2响应文件是否实质性响应磋商文件要求由磋商小组依据磋商文件规定认定。</w:t>
      </w:r>
      <w:r>
        <w:rPr>
          <w:rFonts w:hint="eastAsia" w:ascii="宋体" w:hAnsi="宋体" w:cs="宋体"/>
          <w:color w:val="auto"/>
          <w:kern w:val="0"/>
          <w:sz w:val="21"/>
          <w:szCs w:val="21"/>
          <w:highlight w:val="none"/>
        </w:rPr>
        <w:t>磋商小组</w:t>
      </w:r>
      <w:r>
        <w:rPr>
          <w:rFonts w:hint="eastAsia" w:ascii="宋体" w:hAnsi="宋体"/>
          <w:color w:val="auto"/>
          <w:sz w:val="21"/>
          <w:szCs w:val="21"/>
          <w:highlight w:val="none"/>
        </w:rPr>
        <w:t>决定响应文件的响应性只根据响应文件本身的真实无误的内容，而不依据外部的证据。</w:t>
      </w:r>
    </w:p>
    <w:p>
      <w:pPr>
        <w:pStyle w:val="25"/>
        <w:adjustRightInd w:val="0"/>
        <w:snapToGrid w:val="0"/>
        <w:spacing w:line="360" w:lineRule="auto"/>
        <w:rPr>
          <w:rFonts w:hint="eastAsia" w:cs="宋体"/>
          <w:b/>
          <w:color w:val="auto"/>
          <w:kern w:val="0"/>
          <w:highlight w:val="none"/>
        </w:rPr>
      </w:pPr>
      <w:r>
        <w:rPr>
          <w:rFonts w:hint="eastAsia" w:cs="宋体"/>
          <w:b/>
          <w:color w:val="auto"/>
          <w:kern w:val="0"/>
          <w:highlight w:val="none"/>
        </w:rPr>
        <w:t xml:space="preserve">28.无效响应 </w:t>
      </w:r>
    </w:p>
    <w:p>
      <w:pPr>
        <w:pStyle w:val="25"/>
        <w:adjustRightInd w:val="0"/>
        <w:snapToGrid w:val="0"/>
        <w:spacing w:line="360" w:lineRule="auto"/>
        <w:ind w:firstLine="411" w:firstLineChars="196"/>
        <w:rPr>
          <w:rFonts w:hint="eastAsia" w:hAnsi="宋体" w:cs="宋体"/>
          <w:b/>
          <w:color w:val="auto"/>
          <w:kern w:val="0"/>
          <w:highlight w:val="none"/>
        </w:rPr>
      </w:pPr>
      <w:r>
        <w:rPr>
          <w:rFonts w:hint="eastAsia" w:cs="宋体"/>
          <w:color w:val="auto"/>
          <w:kern w:val="0"/>
          <w:highlight w:val="none"/>
        </w:rPr>
        <w:t>28.1</w:t>
      </w:r>
      <w:r>
        <w:rPr>
          <w:rFonts w:hint="eastAsia"/>
          <w:color w:val="auto"/>
          <w:highlight w:val="none"/>
        </w:rPr>
        <w:t>磋商小组在对资格性和符合性进行审查时，有下列情况之一的，属无效响应，</w:t>
      </w:r>
      <w:r>
        <w:rPr>
          <w:rFonts w:hint="eastAsia" w:cs="宋体"/>
          <w:color w:val="auto"/>
          <w:kern w:val="0"/>
          <w:highlight w:val="none"/>
        </w:rPr>
        <w:t>磋商小组应当告知有关供应商</w:t>
      </w:r>
      <w:r>
        <w:rPr>
          <w:rFonts w:hint="eastAsia"/>
          <w:color w:val="auto"/>
          <w:highlight w:val="none"/>
        </w:rPr>
        <w:t>：</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（1）供应商不具备本章第3.1款规定的供应商资格条件要求，或存在本章第3.3款情形的；</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（2）联合体不符合本章第3.2款规定的；</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（3）应交未交磋商保证金或金额不足、磋商保证金缴纳形式不符合磋商文件要求的；</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（4）响应文件未按照磋商文件要求签署、盖章的；</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（4）响应文件不满足本章第27.1款规定的实质性要求的；</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（5）报价超过采购项目预算的；</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（6）响应文件有效期不足的；</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（7）响应文件不符合法律、规章、规范性文件和磋商文件规定及要求的。</w:t>
      </w:r>
    </w:p>
    <w:p>
      <w:pPr>
        <w:widowControl/>
        <w:adjustRightInd w:val="0"/>
        <w:snapToGrid w:val="0"/>
        <w:spacing w:line="360" w:lineRule="auto"/>
        <w:jc w:val="left"/>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29.澄清</w:t>
      </w:r>
    </w:p>
    <w:p>
      <w:pPr>
        <w:widowControl/>
        <w:adjustRightInd w:val="0"/>
        <w:snapToGrid w:val="0"/>
        <w:spacing w:line="360" w:lineRule="auto"/>
        <w:ind w:firstLine="42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29.1 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或者加盖公章。供应商的澄清、说明或者更正不得超出响应文件的范围或者改变响应文件的实质性内容。</w:t>
      </w:r>
    </w:p>
    <w:p>
      <w:pPr>
        <w:widowControl/>
        <w:adjustRightInd w:val="0"/>
        <w:snapToGrid w:val="0"/>
        <w:spacing w:line="360" w:lineRule="auto"/>
        <w:ind w:firstLine="42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29.2 最后报价计算错误修正的原则：最后报价</w:t>
      </w:r>
      <w:r>
        <w:rPr>
          <w:rFonts w:hint="eastAsia" w:ascii="宋体" w:hAnsi="宋体" w:cs="Arial"/>
          <w:color w:val="auto"/>
          <w:kern w:val="0"/>
          <w:sz w:val="21"/>
          <w:szCs w:val="21"/>
          <w:highlight w:val="none"/>
        </w:rPr>
        <w:t>的大写金额和小写金额不一致的，以大写金额为准。</w:t>
      </w:r>
    </w:p>
    <w:p>
      <w:pPr>
        <w:widowControl/>
        <w:adjustRightInd w:val="0"/>
        <w:snapToGrid w:val="0"/>
        <w:spacing w:line="360" w:lineRule="auto"/>
        <w:jc w:val="left"/>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30.磋商</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cs="宋体"/>
          <w:color w:val="auto"/>
          <w:kern w:val="0"/>
          <w:sz w:val="21"/>
          <w:szCs w:val="21"/>
          <w:highlight w:val="none"/>
          <w:lang w:val="zh-CN"/>
        </w:rPr>
      </w:pPr>
      <w:r>
        <w:rPr>
          <w:rFonts w:hint="eastAsia" w:ascii="宋体" w:hAnsi="宋体" w:cs="宋体"/>
          <w:color w:val="auto"/>
          <w:kern w:val="0"/>
          <w:sz w:val="21"/>
          <w:szCs w:val="21"/>
          <w:highlight w:val="none"/>
        </w:rPr>
        <w:t>30.1</w:t>
      </w:r>
      <w:r>
        <w:rPr>
          <w:rFonts w:hint="eastAsia" w:ascii="宋体" w:hAnsi="宋体"/>
          <w:color w:val="auto"/>
          <w:sz w:val="21"/>
          <w:szCs w:val="21"/>
          <w:highlight w:val="none"/>
        </w:rPr>
        <w:t>本章第10.2项</w:t>
      </w:r>
      <w:r>
        <w:rPr>
          <w:rFonts w:hint="eastAsia" w:ascii="宋体" w:hAnsi="宋体" w:cs="宋体"/>
          <w:color w:val="auto"/>
          <w:kern w:val="0"/>
          <w:sz w:val="21"/>
          <w:szCs w:val="21"/>
          <w:highlight w:val="none"/>
        </w:rPr>
        <w:t>未明确磋商文件实质性变动内容的，或者磋商文件明确了可能发生实质性变动内容，但在磋商过程中，</w:t>
      </w:r>
      <w:r>
        <w:rPr>
          <w:rFonts w:hint="eastAsia" w:ascii="宋体" w:hAnsi="宋体"/>
          <w:bCs/>
          <w:color w:val="auto"/>
          <w:sz w:val="21"/>
          <w:szCs w:val="21"/>
          <w:highlight w:val="none"/>
        </w:rPr>
        <w:t>磋商小组</w:t>
      </w:r>
      <w:r>
        <w:rPr>
          <w:rFonts w:hint="eastAsia" w:ascii="宋体" w:hAnsi="宋体" w:cs="Arial"/>
          <w:color w:val="auto"/>
          <w:kern w:val="0"/>
          <w:sz w:val="21"/>
          <w:szCs w:val="21"/>
          <w:highlight w:val="none"/>
        </w:rPr>
        <w:t>根据</w:t>
      </w:r>
      <w:r>
        <w:rPr>
          <w:rFonts w:hint="eastAsia" w:ascii="宋体" w:hAnsi="宋体" w:cs="宋体"/>
          <w:color w:val="auto"/>
          <w:kern w:val="0"/>
          <w:sz w:val="21"/>
          <w:szCs w:val="21"/>
          <w:highlight w:val="none"/>
        </w:rPr>
        <w:t>磋商情况</w:t>
      </w:r>
      <w:r>
        <w:rPr>
          <w:rFonts w:hint="eastAsia" w:ascii="宋体" w:hAnsi="宋体"/>
          <w:bCs/>
          <w:color w:val="auto"/>
          <w:sz w:val="21"/>
          <w:szCs w:val="21"/>
          <w:highlight w:val="none"/>
        </w:rPr>
        <w:t>认为</w:t>
      </w:r>
      <w:r>
        <w:rPr>
          <w:rFonts w:hint="eastAsia" w:ascii="宋体" w:hAnsi="宋体" w:cs="宋体"/>
          <w:color w:val="auto"/>
          <w:kern w:val="0"/>
          <w:sz w:val="21"/>
          <w:szCs w:val="21"/>
          <w:highlight w:val="none"/>
        </w:rPr>
        <w:t>磋商文件无需发生实质性变动的，磋商小组应当直接与响应文件审查合格的供应商就价格组织多轮磋商。</w:t>
      </w:r>
    </w:p>
    <w:p>
      <w:pPr>
        <w:widowControl/>
        <w:tabs>
          <w:tab w:val="left" w:pos="1080"/>
          <w:tab w:val="left" w:pos="1260"/>
        </w:tabs>
        <w:adjustRightInd w:val="0"/>
        <w:snapToGrid w:val="0"/>
        <w:spacing w:line="360" w:lineRule="auto"/>
        <w:ind w:firstLine="42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（1）磋商结束后，磋商小组应当要求所有继续参加磋商的供应商在磋商小组规定时间内提交最后报价。</w:t>
      </w:r>
    </w:p>
    <w:p>
      <w:pPr>
        <w:widowControl/>
        <w:tabs>
          <w:tab w:val="left" w:pos="1080"/>
          <w:tab w:val="left" w:pos="1260"/>
        </w:tabs>
        <w:adjustRightInd w:val="0"/>
        <w:snapToGrid w:val="0"/>
        <w:spacing w:line="360" w:lineRule="auto"/>
        <w:ind w:firstLine="42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（2）磋商文件明确可能发生实质性变动，但在磋商过程中</w:t>
      </w:r>
      <w:r>
        <w:rPr>
          <w:rFonts w:hint="eastAsia" w:ascii="宋体" w:hAnsi="宋体"/>
          <w:bCs/>
          <w:color w:val="auto"/>
          <w:sz w:val="21"/>
          <w:szCs w:val="21"/>
          <w:highlight w:val="none"/>
        </w:rPr>
        <w:t>磋商小组</w:t>
      </w:r>
      <w:r>
        <w:rPr>
          <w:rFonts w:hint="eastAsia" w:ascii="宋体" w:hAnsi="宋体" w:cs="Arial"/>
          <w:color w:val="auto"/>
          <w:kern w:val="0"/>
          <w:sz w:val="21"/>
          <w:szCs w:val="21"/>
          <w:highlight w:val="none"/>
        </w:rPr>
        <w:t>根据</w:t>
      </w:r>
      <w:r>
        <w:rPr>
          <w:rFonts w:hint="eastAsia" w:ascii="宋体" w:hAnsi="宋体" w:cs="宋体"/>
          <w:color w:val="auto"/>
          <w:kern w:val="0"/>
          <w:sz w:val="21"/>
          <w:szCs w:val="21"/>
          <w:highlight w:val="none"/>
        </w:rPr>
        <w:t>磋商情况</w:t>
      </w:r>
      <w:r>
        <w:rPr>
          <w:rFonts w:hint="eastAsia" w:ascii="宋体" w:hAnsi="宋体"/>
          <w:bCs/>
          <w:color w:val="auto"/>
          <w:sz w:val="21"/>
          <w:szCs w:val="21"/>
          <w:highlight w:val="none"/>
        </w:rPr>
        <w:t>认为</w:t>
      </w:r>
      <w:r>
        <w:rPr>
          <w:rFonts w:hint="eastAsia" w:ascii="宋体" w:hAnsi="宋体" w:cs="宋体"/>
          <w:color w:val="auto"/>
          <w:kern w:val="0"/>
          <w:sz w:val="21"/>
          <w:szCs w:val="21"/>
          <w:highlight w:val="none"/>
        </w:rPr>
        <w:t>磋商文件无需发生实质性变动的，磋商小组不另行通知。</w:t>
      </w:r>
    </w:p>
    <w:p>
      <w:pPr>
        <w:widowControl/>
        <w:adjustRightInd w:val="0"/>
        <w:snapToGrid w:val="0"/>
        <w:spacing w:line="360" w:lineRule="auto"/>
        <w:ind w:firstLine="42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30.2</w:t>
      </w:r>
      <w:r>
        <w:rPr>
          <w:rFonts w:hint="eastAsia" w:ascii="宋体" w:hAnsi="宋体"/>
          <w:color w:val="auto"/>
          <w:sz w:val="21"/>
          <w:szCs w:val="21"/>
          <w:highlight w:val="none"/>
        </w:rPr>
        <w:t>本章第10.2</w:t>
      </w:r>
      <w:r>
        <w:rPr>
          <w:rFonts w:hint="eastAsia" w:ascii="宋体" w:hAnsi="宋体" w:cs="宋体"/>
          <w:color w:val="auto"/>
          <w:kern w:val="0"/>
          <w:sz w:val="21"/>
          <w:szCs w:val="21"/>
          <w:highlight w:val="none"/>
          <w:lang w:val="zh-CN"/>
        </w:rPr>
        <w:t>款</w:t>
      </w:r>
      <w:r>
        <w:rPr>
          <w:rFonts w:hint="eastAsia" w:ascii="宋体" w:hAnsi="宋体" w:cs="宋体"/>
          <w:color w:val="auto"/>
          <w:kern w:val="0"/>
          <w:sz w:val="21"/>
          <w:szCs w:val="21"/>
          <w:highlight w:val="none"/>
        </w:rPr>
        <w:t>明确磋商文件实质性变动内容的，</w:t>
      </w:r>
      <w:r>
        <w:rPr>
          <w:rFonts w:hint="eastAsia" w:ascii="宋体" w:hAnsi="宋体"/>
          <w:bCs/>
          <w:color w:val="auto"/>
          <w:sz w:val="21"/>
          <w:szCs w:val="21"/>
          <w:highlight w:val="none"/>
        </w:rPr>
        <w:t>磋商小组</w:t>
      </w:r>
      <w:r>
        <w:rPr>
          <w:rFonts w:hint="eastAsia" w:ascii="宋体" w:hAnsi="宋体" w:cs="宋体"/>
          <w:color w:val="auto"/>
          <w:kern w:val="0"/>
          <w:sz w:val="21"/>
          <w:szCs w:val="21"/>
          <w:highlight w:val="none"/>
        </w:rPr>
        <w:t>可以组织多轮磋商。</w:t>
      </w:r>
      <w:r>
        <w:rPr>
          <w:rFonts w:hint="eastAsia" w:ascii="宋体" w:hAnsi="宋体"/>
          <w:bCs/>
          <w:color w:val="auto"/>
          <w:sz w:val="21"/>
          <w:szCs w:val="21"/>
          <w:highlight w:val="none"/>
        </w:rPr>
        <w:t>在每一轮磋商中，磋商小组</w:t>
      </w:r>
      <w:r>
        <w:rPr>
          <w:rFonts w:hint="eastAsia" w:ascii="宋体" w:hAnsi="宋体" w:cs="宋体"/>
          <w:color w:val="auto"/>
          <w:kern w:val="0"/>
          <w:sz w:val="21"/>
          <w:szCs w:val="21"/>
          <w:highlight w:val="none"/>
        </w:rPr>
        <w:t>可以</w:t>
      </w:r>
      <w:r>
        <w:rPr>
          <w:rFonts w:hint="eastAsia" w:ascii="宋体" w:hAnsi="宋体" w:cs="Arial"/>
          <w:color w:val="auto"/>
          <w:kern w:val="0"/>
          <w:sz w:val="21"/>
          <w:szCs w:val="21"/>
          <w:highlight w:val="none"/>
        </w:rPr>
        <w:t>根据</w:t>
      </w:r>
      <w:r>
        <w:rPr>
          <w:rFonts w:hint="eastAsia" w:ascii="宋体" w:hAnsi="宋体" w:cs="宋体"/>
          <w:color w:val="auto"/>
          <w:kern w:val="0"/>
          <w:sz w:val="21"/>
          <w:szCs w:val="21"/>
          <w:highlight w:val="none"/>
        </w:rPr>
        <w:t>磋商文件规定和磋商情况，</w:t>
      </w:r>
      <w:r>
        <w:rPr>
          <w:rFonts w:hint="eastAsia" w:ascii="宋体" w:hAnsi="宋体"/>
          <w:bCs/>
          <w:color w:val="auto"/>
          <w:sz w:val="21"/>
          <w:szCs w:val="21"/>
          <w:highlight w:val="none"/>
        </w:rPr>
        <w:t>对磋商文件的</w:t>
      </w:r>
      <w:r>
        <w:rPr>
          <w:rFonts w:hint="eastAsia" w:ascii="宋体" w:hAnsi="宋体" w:cs="宋体"/>
          <w:color w:val="auto"/>
          <w:kern w:val="0"/>
          <w:sz w:val="21"/>
          <w:szCs w:val="21"/>
          <w:highlight w:val="none"/>
        </w:rPr>
        <w:t>采购需求中的技术、服务要求以及合同草案条款</w:t>
      </w:r>
      <w:r>
        <w:rPr>
          <w:rFonts w:hint="eastAsia" w:ascii="宋体" w:hAnsi="宋体"/>
          <w:bCs/>
          <w:color w:val="auto"/>
          <w:sz w:val="21"/>
          <w:szCs w:val="21"/>
          <w:highlight w:val="none"/>
        </w:rPr>
        <w:t>作实质性变动(磋商文件的实质性变动内容为磋商文件的组成部分)，并以书面形式要求</w:t>
      </w:r>
      <w:r>
        <w:rPr>
          <w:rFonts w:hint="eastAsia" w:ascii="宋体" w:hAnsi="宋体" w:cs="宋体"/>
          <w:color w:val="auto"/>
          <w:kern w:val="0"/>
          <w:sz w:val="21"/>
          <w:szCs w:val="21"/>
          <w:highlight w:val="none"/>
        </w:rPr>
        <w:t>响应文件审查合格</w:t>
      </w:r>
      <w:r>
        <w:rPr>
          <w:rFonts w:hint="eastAsia" w:ascii="宋体" w:hAnsi="宋体"/>
          <w:bCs/>
          <w:color w:val="auto"/>
          <w:sz w:val="21"/>
          <w:szCs w:val="21"/>
          <w:highlight w:val="none"/>
        </w:rPr>
        <w:t>的供应商，在规定的</w:t>
      </w:r>
      <w:r>
        <w:rPr>
          <w:rFonts w:hint="eastAsia" w:ascii="宋体" w:hAnsi="宋体" w:cs="宋体"/>
          <w:color w:val="auto"/>
          <w:kern w:val="0"/>
          <w:sz w:val="21"/>
          <w:szCs w:val="21"/>
          <w:highlight w:val="none"/>
        </w:rPr>
        <w:t>截止时间前</w:t>
      </w:r>
      <w:r>
        <w:rPr>
          <w:rFonts w:hint="eastAsia" w:ascii="宋体" w:hAnsi="宋体"/>
          <w:bCs/>
          <w:color w:val="auto"/>
          <w:sz w:val="21"/>
          <w:szCs w:val="21"/>
          <w:highlight w:val="none"/>
        </w:rPr>
        <w:t>重</w:t>
      </w:r>
      <w:r>
        <w:rPr>
          <w:rFonts w:hint="eastAsia" w:ascii="宋体" w:hAnsi="宋体" w:cs="宋体"/>
          <w:color w:val="auto"/>
          <w:kern w:val="0"/>
          <w:sz w:val="21"/>
          <w:szCs w:val="21"/>
          <w:highlight w:val="none"/>
        </w:rPr>
        <w:t>新提交响应文件</w:t>
      </w:r>
      <w:r>
        <w:rPr>
          <w:rFonts w:hint="eastAsia" w:ascii="宋体" w:hAnsi="宋体"/>
          <w:bCs/>
          <w:color w:val="auto"/>
          <w:sz w:val="21"/>
          <w:szCs w:val="21"/>
          <w:highlight w:val="none"/>
        </w:rPr>
        <w:t>。</w:t>
      </w:r>
      <w:r>
        <w:rPr>
          <w:rFonts w:hint="eastAsia" w:ascii="宋体" w:hAnsi="宋体" w:cs="宋体"/>
          <w:color w:val="auto"/>
          <w:kern w:val="0"/>
          <w:sz w:val="21"/>
          <w:szCs w:val="21"/>
          <w:highlight w:val="none"/>
        </w:rPr>
        <w:t>磋商小组应当</w:t>
      </w:r>
      <w:r>
        <w:rPr>
          <w:rFonts w:hint="eastAsia" w:ascii="宋体" w:hAnsi="宋体"/>
          <w:color w:val="auto"/>
          <w:sz w:val="21"/>
          <w:szCs w:val="21"/>
          <w:highlight w:val="none"/>
        </w:rPr>
        <w:t>根据本章第26.2</w:t>
      </w:r>
      <w:r>
        <w:rPr>
          <w:rFonts w:hint="eastAsia" w:ascii="宋体" w:hAnsi="宋体" w:cs="宋体"/>
          <w:color w:val="auto"/>
          <w:kern w:val="0"/>
          <w:sz w:val="21"/>
          <w:szCs w:val="21"/>
          <w:highlight w:val="none"/>
          <w:lang w:val="zh-CN"/>
        </w:rPr>
        <w:t>款</w:t>
      </w:r>
      <w:r>
        <w:rPr>
          <w:rFonts w:hint="eastAsia" w:ascii="宋体" w:hAnsi="宋体"/>
          <w:color w:val="auto"/>
          <w:sz w:val="21"/>
          <w:szCs w:val="21"/>
          <w:highlight w:val="none"/>
        </w:rPr>
        <w:t>规定</w:t>
      </w:r>
      <w:r>
        <w:rPr>
          <w:rFonts w:hint="eastAsia" w:ascii="宋体" w:hAnsi="宋体" w:cs="宋体"/>
          <w:color w:val="auto"/>
          <w:kern w:val="0"/>
          <w:sz w:val="21"/>
          <w:szCs w:val="21"/>
          <w:highlight w:val="none"/>
        </w:rPr>
        <w:t>对供应商重新提交的响应文件进行审查。供应商重新提交的响应文件审查不合格的，不得进入下一轮磋商，也不得要求提交最后报价。</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（1）磋商文件能够详细列明采购需求的技术、服务要求的，磋商结束后，磋商小组应当要求所有继续参加磋商的供应商在规定时间内提交最后报价。</w:t>
      </w:r>
    </w:p>
    <w:p>
      <w:pPr>
        <w:widowControl/>
        <w:adjustRightInd w:val="0"/>
        <w:snapToGrid w:val="0"/>
        <w:spacing w:line="360" w:lineRule="auto"/>
        <w:ind w:firstLine="42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磋商文件不能详细列明采购需求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widowControl/>
        <w:adjustRightInd w:val="0"/>
        <w:snapToGrid w:val="0"/>
        <w:spacing w:line="360" w:lineRule="auto"/>
        <w:ind w:firstLine="420"/>
        <w:jc w:val="left"/>
        <w:rPr>
          <w:rFonts w:hint="eastAsia" w:ascii="宋体" w:hAnsi="宋体"/>
          <w:bCs/>
          <w:color w:val="auto"/>
          <w:sz w:val="21"/>
          <w:szCs w:val="21"/>
          <w:highlight w:val="none"/>
        </w:rPr>
      </w:pPr>
      <w:r>
        <w:rPr>
          <w:rFonts w:hint="eastAsia" w:ascii="宋体" w:hAnsi="宋体"/>
          <w:bCs/>
          <w:color w:val="auto"/>
          <w:sz w:val="21"/>
          <w:szCs w:val="21"/>
          <w:highlight w:val="none"/>
        </w:rPr>
        <w:t>30.3</w:t>
      </w:r>
      <w:r>
        <w:rPr>
          <w:rFonts w:hint="eastAsia" w:ascii="宋体" w:hAnsi="宋体"/>
          <w:color w:val="auto"/>
          <w:sz w:val="21"/>
          <w:szCs w:val="21"/>
          <w:highlight w:val="none"/>
        </w:rPr>
        <w:t xml:space="preserve"> </w:t>
      </w:r>
      <w:r>
        <w:rPr>
          <w:rFonts w:hint="eastAsia" w:ascii="宋体" w:hAnsi="宋体"/>
          <w:bCs/>
          <w:color w:val="auto"/>
          <w:sz w:val="21"/>
          <w:szCs w:val="21"/>
          <w:highlight w:val="none"/>
        </w:rPr>
        <w:t>重</w:t>
      </w:r>
      <w:r>
        <w:rPr>
          <w:rFonts w:hint="eastAsia" w:ascii="宋体" w:hAnsi="宋体" w:cs="宋体"/>
          <w:color w:val="auto"/>
          <w:kern w:val="0"/>
          <w:sz w:val="21"/>
          <w:szCs w:val="21"/>
          <w:highlight w:val="none"/>
        </w:rPr>
        <w:t>新提交的响应文件</w:t>
      </w:r>
      <w:r>
        <w:rPr>
          <w:rFonts w:hint="eastAsia" w:ascii="宋体" w:hAnsi="宋体"/>
          <w:color w:val="auto"/>
          <w:sz w:val="21"/>
          <w:szCs w:val="21"/>
          <w:highlight w:val="none"/>
        </w:rPr>
        <w:t>或者最后报价应按</w:t>
      </w:r>
      <w:r>
        <w:rPr>
          <w:rFonts w:hint="eastAsia" w:ascii="宋体" w:hAnsi="宋体" w:cs="宋体"/>
          <w:color w:val="auto"/>
          <w:kern w:val="0"/>
          <w:sz w:val="21"/>
          <w:szCs w:val="21"/>
          <w:highlight w:val="none"/>
        </w:rPr>
        <w:t>本章第</w:t>
      </w:r>
      <w:r>
        <w:rPr>
          <w:rFonts w:hint="eastAsia" w:ascii="宋体" w:hAnsi="宋体"/>
          <w:color w:val="auto"/>
          <w:sz w:val="21"/>
          <w:szCs w:val="21"/>
          <w:highlight w:val="none"/>
        </w:rPr>
        <w:t>21.3</w:t>
      </w:r>
      <w:r>
        <w:rPr>
          <w:rFonts w:hint="eastAsia" w:ascii="宋体" w:hAnsi="宋体" w:cs="宋体"/>
          <w:color w:val="auto"/>
          <w:kern w:val="0"/>
          <w:sz w:val="21"/>
          <w:szCs w:val="21"/>
          <w:highlight w:val="none"/>
          <w:lang w:val="zh-CN"/>
        </w:rPr>
        <w:t>款</w:t>
      </w:r>
      <w:r>
        <w:rPr>
          <w:rFonts w:hint="eastAsia" w:ascii="宋体" w:hAnsi="宋体"/>
          <w:color w:val="auto"/>
          <w:sz w:val="21"/>
          <w:szCs w:val="21"/>
          <w:highlight w:val="none"/>
        </w:rPr>
        <w:t>规定，</w:t>
      </w:r>
      <w:r>
        <w:rPr>
          <w:rFonts w:hint="eastAsia" w:ascii="宋体" w:hAnsi="宋体" w:cs="宋体"/>
          <w:color w:val="auto"/>
          <w:kern w:val="0"/>
          <w:sz w:val="21"/>
          <w:szCs w:val="21"/>
          <w:highlight w:val="none"/>
        </w:rPr>
        <w:t>由其法定代表人或其委托代理人签字或者加盖供应商单位章，在规定时间内密封递交给磋商小组</w:t>
      </w:r>
      <w:r>
        <w:rPr>
          <w:rFonts w:hint="eastAsia" w:ascii="宋体" w:hAnsi="宋体"/>
          <w:bCs/>
          <w:color w:val="auto"/>
          <w:sz w:val="21"/>
          <w:szCs w:val="21"/>
          <w:highlight w:val="none"/>
        </w:rPr>
        <w:t>。</w:t>
      </w:r>
    </w:p>
    <w:p>
      <w:pPr>
        <w:widowControl/>
        <w:adjustRightInd w:val="0"/>
        <w:snapToGrid w:val="0"/>
        <w:spacing w:line="360" w:lineRule="auto"/>
        <w:ind w:firstLine="42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30.4</w:t>
      </w:r>
      <w:r>
        <w:rPr>
          <w:rFonts w:hint="eastAsia" w:ascii="宋体" w:hAnsi="宋体" w:cs="宋体"/>
          <w:color w:val="auto"/>
          <w:kern w:val="0"/>
          <w:sz w:val="21"/>
          <w:szCs w:val="21"/>
          <w:highlight w:val="none"/>
          <w:lang w:val="zh-CN"/>
        </w:rPr>
        <w:t>供应商的</w:t>
      </w:r>
      <w:r>
        <w:rPr>
          <w:rFonts w:hint="eastAsia" w:ascii="宋体" w:hAnsi="宋体"/>
          <w:bCs/>
          <w:color w:val="auto"/>
          <w:sz w:val="21"/>
          <w:szCs w:val="21"/>
          <w:highlight w:val="none"/>
        </w:rPr>
        <w:t>最</w:t>
      </w:r>
      <w:r>
        <w:rPr>
          <w:rFonts w:hint="eastAsia" w:ascii="宋体" w:hAnsi="宋体" w:cs="宋体"/>
          <w:color w:val="auto"/>
          <w:kern w:val="0"/>
          <w:sz w:val="21"/>
          <w:szCs w:val="21"/>
          <w:highlight w:val="none"/>
          <w:lang w:val="zh-CN"/>
        </w:rPr>
        <w:t>后</w:t>
      </w:r>
      <w:r>
        <w:rPr>
          <w:rFonts w:hint="eastAsia" w:ascii="宋体" w:hAnsi="宋体"/>
          <w:bCs/>
          <w:color w:val="auto"/>
          <w:sz w:val="21"/>
          <w:szCs w:val="21"/>
          <w:highlight w:val="none"/>
        </w:rPr>
        <w:t>报价及</w:t>
      </w:r>
      <w:r>
        <w:rPr>
          <w:rFonts w:hint="eastAsia" w:ascii="宋体" w:hAnsi="宋体" w:cs="宋体"/>
          <w:color w:val="auto"/>
          <w:kern w:val="0"/>
          <w:sz w:val="21"/>
          <w:szCs w:val="21"/>
          <w:highlight w:val="none"/>
        </w:rPr>
        <w:t>政府采购政策规定的价格扣除情况，磋商小组应召集所有参加最后报价的供应商当场开封</w:t>
      </w:r>
      <w:r>
        <w:rPr>
          <w:rFonts w:hint="eastAsia" w:ascii="宋体" w:hAnsi="宋体"/>
          <w:bCs/>
          <w:color w:val="auto"/>
          <w:sz w:val="21"/>
          <w:szCs w:val="21"/>
          <w:highlight w:val="none"/>
        </w:rPr>
        <w:t>公布，并由供应商代表签字确认。</w:t>
      </w:r>
    </w:p>
    <w:p>
      <w:pPr>
        <w:widowControl/>
        <w:adjustRightInd w:val="0"/>
        <w:snapToGrid w:val="0"/>
        <w:spacing w:line="360" w:lineRule="auto"/>
        <w:ind w:firstLine="42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30.5提交首次响应文件的供应商，在提交最后报价之前，可以根据磋商情况退出磋商，并书面通知采购代理机构或者磋商小组。</w:t>
      </w:r>
      <w:r>
        <w:rPr>
          <w:rFonts w:hint="eastAsia" w:ascii="宋体" w:hAnsi="宋体"/>
          <w:color w:val="auto"/>
          <w:sz w:val="21"/>
          <w:szCs w:val="21"/>
          <w:highlight w:val="none"/>
        </w:rPr>
        <w:t>该通知由供应商法定代表人或其委托代理人签字。</w:t>
      </w:r>
      <w:r>
        <w:rPr>
          <w:rFonts w:hint="eastAsia" w:ascii="宋体" w:hAnsi="宋体" w:cs="宋体"/>
          <w:color w:val="auto"/>
          <w:kern w:val="0"/>
          <w:sz w:val="21"/>
          <w:szCs w:val="21"/>
          <w:highlight w:val="none"/>
        </w:rPr>
        <w:t>采购代理机构按本章第</w:t>
      </w:r>
      <w:r>
        <w:rPr>
          <w:rFonts w:hint="eastAsia" w:ascii="宋体" w:hAnsi="宋体"/>
          <w:color w:val="auto"/>
          <w:sz w:val="21"/>
          <w:szCs w:val="21"/>
          <w:highlight w:val="none"/>
        </w:rPr>
        <w:t>19.4</w:t>
      </w:r>
      <w:r>
        <w:rPr>
          <w:rFonts w:hint="eastAsia" w:ascii="宋体" w:hAnsi="宋体" w:cs="宋体"/>
          <w:color w:val="auto"/>
          <w:kern w:val="0"/>
          <w:sz w:val="21"/>
          <w:szCs w:val="21"/>
          <w:highlight w:val="none"/>
          <w:lang w:val="zh-CN"/>
        </w:rPr>
        <w:t>款</w:t>
      </w:r>
      <w:r>
        <w:rPr>
          <w:rFonts w:hint="eastAsia" w:ascii="宋体" w:hAnsi="宋体"/>
          <w:color w:val="auto"/>
          <w:sz w:val="21"/>
          <w:szCs w:val="21"/>
          <w:highlight w:val="none"/>
        </w:rPr>
        <w:t>规定</w:t>
      </w:r>
      <w:r>
        <w:rPr>
          <w:rFonts w:hint="eastAsia" w:ascii="宋体" w:hAnsi="宋体" w:cs="宋体"/>
          <w:color w:val="auto"/>
          <w:kern w:val="0"/>
          <w:sz w:val="21"/>
          <w:szCs w:val="21"/>
          <w:highlight w:val="none"/>
        </w:rPr>
        <w:t>退还退出磋商的供应商的磋商保证金。</w:t>
      </w:r>
    </w:p>
    <w:p>
      <w:pPr>
        <w:adjustRightInd w:val="0"/>
        <w:snapToGrid w:val="0"/>
        <w:spacing w:line="360" w:lineRule="auto"/>
        <w:ind w:firstLine="420" w:firstLineChars="200"/>
        <w:rPr>
          <w:rFonts w:hint="eastAsia" w:ascii="宋体" w:hAnsi="宋体" w:cs="宋体"/>
          <w:color w:val="auto"/>
          <w:kern w:val="0"/>
          <w:sz w:val="21"/>
          <w:szCs w:val="21"/>
          <w:highlight w:val="none"/>
        </w:rPr>
      </w:pPr>
      <w:r>
        <w:rPr>
          <w:rFonts w:hint="eastAsia" w:ascii="宋体" w:hAnsi="宋体"/>
          <w:bCs/>
          <w:color w:val="auto"/>
          <w:sz w:val="21"/>
          <w:szCs w:val="21"/>
          <w:highlight w:val="none"/>
        </w:rPr>
        <w:t>30.6</w:t>
      </w:r>
      <w:r>
        <w:rPr>
          <w:rFonts w:hint="eastAsia" w:ascii="宋体" w:hAnsi="宋体" w:cs="宋体"/>
          <w:color w:val="auto"/>
          <w:kern w:val="0"/>
          <w:sz w:val="21"/>
          <w:szCs w:val="21"/>
          <w:highlight w:val="none"/>
        </w:rPr>
        <w:t>提交首次响应文件的供应商，未按磋商文件规定及磋商小组要求提交最后报价(或者</w:t>
      </w:r>
      <w:r>
        <w:rPr>
          <w:rFonts w:hint="eastAsia" w:ascii="宋体" w:hAnsi="宋体"/>
          <w:bCs/>
          <w:color w:val="auto"/>
          <w:sz w:val="21"/>
          <w:szCs w:val="21"/>
          <w:highlight w:val="none"/>
        </w:rPr>
        <w:t>重</w:t>
      </w:r>
      <w:r>
        <w:rPr>
          <w:rFonts w:hint="eastAsia" w:ascii="宋体" w:hAnsi="宋体" w:cs="宋体"/>
          <w:color w:val="auto"/>
          <w:kern w:val="0"/>
          <w:sz w:val="21"/>
          <w:szCs w:val="21"/>
          <w:highlight w:val="none"/>
        </w:rPr>
        <w:t>新提交的响应文件和最后报价)，且又未按本章第</w:t>
      </w:r>
      <w:r>
        <w:rPr>
          <w:rFonts w:hint="eastAsia" w:ascii="宋体" w:hAnsi="宋体"/>
          <w:color w:val="auto"/>
          <w:sz w:val="21"/>
          <w:szCs w:val="21"/>
          <w:highlight w:val="none"/>
        </w:rPr>
        <w:t>30.5</w:t>
      </w:r>
      <w:r>
        <w:rPr>
          <w:rFonts w:hint="eastAsia" w:ascii="宋体" w:hAnsi="宋体" w:cs="宋体"/>
          <w:color w:val="auto"/>
          <w:kern w:val="0"/>
          <w:sz w:val="21"/>
          <w:szCs w:val="21"/>
          <w:highlight w:val="none"/>
          <w:lang w:val="zh-CN"/>
        </w:rPr>
        <w:t>款</w:t>
      </w:r>
      <w:r>
        <w:rPr>
          <w:rFonts w:hint="eastAsia" w:ascii="宋体" w:hAnsi="宋体"/>
          <w:color w:val="auto"/>
          <w:sz w:val="21"/>
          <w:szCs w:val="21"/>
          <w:highlight w:val="none"/>
        </w:rPr>
        <w:t>规定</w:t>
      </w:r>
      <w:r>
        <w:rPr>
          <w:rFonts w:hint="eastAsia" w:ascii="宋体" w:hAnsi="宋体" w:cs="宋体"/>
          <w:color w:val="auto"/>
          <w:kern w:val="0"/>
          <w:sz w:val="21"/>
          <w:szCs w:val="21"/>
          <w:highlight w:val="none"/>
        </w:rPr>
        <w:t>退出磋商的，供应商的磋商保证金不予退还。</w:t>
      </w:r>
    </w:p>
    <w:p>
      <w:pPr>
        <w:widowControl/>
        <w:adjustRightInd w:val="0"/>
        <w:snapToGrid w:val="0"/>
        <w:spacing w:line="360" w:lineRule="auto"/>
        <w:jc w:val="left"/>
        <w:rPr>
          <w:rFonts w:hint="eastAsia" w:ascii="宋体" w:hAnsi="宋体"/>
          <w:b/>
          <w:bCs/>
          <w:color w:val="auto"/>
          <w:sz w:val="21"/>
          <w:szCs w:val="21"/>
          <w:highlight w:val="none"/>
        </w:rPr>
      </w:pPr>
      <w:r>
        <w:rPr>
          <w:rFonts w:hint="eastAsia" w:ascii="宋体" w:hAnsi="宋体" w:cs="宋体"/>
          <w:b/>
          <w:color w:val="auto"/>
          <w:kern w:val="0"/>
          <w:sz w:val="21"/>
          <w:szCs w:val="21"/>
          <w:highlight w:val="none"/>
        </w:rPr>
        <w:t>31.响应文件评审</w:t>
      </w:r>
    </w:p>
    <w:p>
      <w:pPr>
        <w:widowControl/>
        <w:adjustRightInd w:val="0"/>
        <w:snapToGrid w:val="0"/>
        <w:spacing w:line="360" w:lineRule="auto"/>
        <w:ind w:firstLine="420" w:firstLineChars="200"/>
        <w:jc w:val="left"/>
        <w:rPr>
          <w:rFonts w:hint="eastAsia" w:ascii="宋体" w:hAnsi="宋体"/>
          <w:bCs/>
          <w:color w:val="auto"/>
          <w:sz w:val="21"/>
          <w:szCs w:val="21"/>
          <w:highlight w:val="none"/>
        </w:rPr>
      </w:pPr>
      <w:r>
        <w:rPr>
          <w:rFonts w:hint="eastAsia" w:ascii="宋体" w:hAnsi="宋体"/>
          <w:bCs/>
          <w:color w:val="auto"/>
          <w:sz w:val="21"/>
          <w:szCs w:val="21"/>
          <w:highlight w:val="none"/>
        </w:rPr>
        <w:t>31.1经磋商确定最终采购需求和提交最后报价的供应商后，由磋商小组采用综合评分法对提交最后报价的供应商的响应文件和最后报价进行综合评价。</w:t>
      </w:r>
    </w:p>
    <w:p>
      <w:pPr>
        <w:widowControl/>
        <w:adjustRightInd w:val="0"/>
        <w:snapToGrid w:val="0"/>
        <w:spacing w:line="360" w:lineRule="auto"/>
        <w:ind w:firstLine="420" w:firstLineChars="200"/>
        <w:jc w:val="left"/>
        <w:rPr>
          <w:rFonts w:hint="eastAsia" w:ascii="宋体" w:hAnsi="宋体"/>
          <w:bCs/>
          <w:color w:val="auto"/>
          <w:sz w:val="21"/>
          <w:szCs w:val="21"/>
          <w:highlight w:val="none"/>
        </w:rPr>
      </w:pPr>
      <w:r>
        <w:rPr>
          <w:rFonts w:hint="eastAsia" w:ascii="宋体" w:hAnsi="宋体"/>
          <w:bCs/>
          <w:color w:val="auto"/>
          <w:sz w:val="21"/>
          <w:szCs w:val="21"/>
          <w:highlight w:val="none"/>
        </w:rPr>
        <w:t>31.2综合评分法，是指响应文件满足磋商文件全部实质性要求且按评审因素的量化指标评审得分最高的供应商为成交候选供应商的评审方法。本采购项目的评审因素和标准见</w:t>
      </w:r>
      <w:r>
        <w:rPr>
          <w:rFonts w:hint="eastAsia" w:ascii="宋体" w:hAnsi="宋体"/>
          <w:b/>
          <w:bCs/>
          <w:color w:val="auto"/>
          <w:sz w:val="21"/>
          <w:szCs w:val="21"/>
          <w:highlight w:val="none"/>
        </w:rPr>
        <w:t>磋商须知前附表。</w:t>
      </w:r>
    </w:p>
    <w:p>
      <w:pPr>
        <w:widowControl/>
        <w:adjustRightInd w:val="0"/>
        <w:snapToGrid w:val="0"/>
        <w:spacing w:before="156" w:beforeLines="50" w:line="360" w:lineRule="auto"/>
        <w:ind w:firstLine="420" w:firstLineChars="200"/>
        <w:jc w:val="left"/>
        <w:rPr>
          <w:rFonts w:hint="eastAsia" w:ascii="宋体" w:hAnsi="宋体"/>
          <w:bCs/>
          <w:color w:val="auto"/>
          <w:sz w:val="21"/>
          <w:szCs w:val="21"/>
          <w:highlight w:val="none"/>
        </w:rPr>
      </w:pPr>
      <w:r>
        <w:rPr>
          <w:rFonts w:hint="eastAsia" w:ascii="宋体" w:hAnsi="宋体" w:cs="宋体"/>
          <w:color w:val="auto"/>
          <w:kern w:val="0"/>
          <w:sz w:val="21"/>
          <w:szCs w:val="21"/>
          <w:highlight w:val="none"/>
        </w:rPr>
        <w:t>31.3</w:t>
      </w:r>
      <w:r>
        <w:rPr>
          <w:rFonts w:hint="eastAsia" w:ascii="宋体" w:hAnsi="宋体"/>
          <w:color w:val="auto"/>
          <w:sz w:val="21"/>
          <w:szCs w:val="21"/>
          <w:highlight w:val="none"/>
        </w:rPr>
        <w:t>最后报价调整。磋商小组以各供应商最后报价为基础，按照符合政府采购支持中小企业发展的相应条件，对供应商的最后报价进行价格扣除，用扣除后的最后报价计算价格得分，具体价格扣除比例见</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w:t>
      </w:r>
    </w:p>
    <w:p>
      <w:pPr>
        <w:widowControl/>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31.4综合评分法中的价格分采用低价优先法计算，即满足磋商文件要求且经调整后的最后报价最低的供应商的价格为磋商基准价，其价格分为满分。其他供应商的价格分按照下列公式计算：</w:t>
      </w:r>
    </w:p>
    <w:p>
      <w:pPr>
        <w:widowControl/>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磋商报价得分=（磋商基准价/最后磋商报价）×价格权值×100</w:t>
      </w:r>
    </w:p>
    <w:p>
      <w:pPr>
        <w:widowControl/>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项目评审过程中，不得去掉最后报价中的最高报价和最低报价。</w:t>
      </w:r>
    </w:p>
    <w:p>
      <w:pPr>
        <w:widowControl/>
        <w:adjustRightInd w:val="0"/>
        <w:snapToGrid w:val="0"/>
        <w:spacing w:before="156" w:beforeLines="50" w:line="360" w:lineRule="auto"/>
        <w:ind w:firstLine="420" w:firstLineChars="200"/>
        <w:jc w:val="left"/>
        <w:rPr>
          <w:rFonts w:hint="eastAsia" w:ascii="宋体" w:hAnsi="宋体"/>
          <w:color w:val="auto"/>
          <w:sz w:val="21"/>
          <w:szCs w:val="21"/>
          <w:highlight w:val="none"/>
        </w:rPr>
      </w:pPr>
      <w:r>
        <w:rPr>
          <w:rFonts w:hint="eastAsia" w:ascii="宋体" w:hAnsi="宋体"/>
          <w:bCs/>
          <w:color w:val="auto"/>
          <w:sz w:val="21"/>
          <w:szCs w:val="21"/>
          <w:highlight w:val="none"/>
        </w:rPr>
        <w:t>31.5</w:t>
      </w:r>
      <w:r>
        <w:rPr>
          <w:rFonts w:hint="eastAsia" w:ascii="宋体" w:hAnsi="宋体"/>
          <w:color w:val="auto"/>
          <w:sz w:val="21"/>
          <w:szCs w:val="21"/>
          <w:highlight w:val="none"/>
        </w:rPr>
        <w:t>涉及政府采购政策优惠对供应商分值进行调整的，</w:t>
      </w:r>
      <w:r>
        <w:rPr>
          <w:rFonts w:hint="eastAsia" w:ascii="宋体" w:hAnsi="宋体"/>
          <w:bCs/>
          <w:color w:val="auto"/>
          <w:sz w:val="21"/>
          <w:szCs w:val="21"/>
          <w:highlight w:val="none"/>
        </w:rPr>
        <w:t>按</w:t>
      </w:r>
      <w:r>
        <w:rPr>
          <w:rFonts w:hint="eastAsia" w:ascii="宋体" w:hAnsi="宋体"/>
          <w:b/>
          <w:color w:val="auto"/>
          <w:sz w:val="21"/>
          <w:szCs w:val="21"/>
          <w:highlight w:val="none"/>
        </w:rPr>
        <w:t>磋商须知前附表</w:t>
      </w:r>
      <w:r>
        <w:rPr>
          <w:rFonts w:hint="eastAsia" w:ascii="宋体" w:hAnsi="宋体"/>
          <w:bCs/>
          <w:color w:val="auto"/>
          <w:sz w:val="21"/>
          <w:szCs w:val="21"/>
          <w:highlight w:val="none"/>
        </w:rPr>
        <w:t>规定</w:t>
      </w:r>
      <w:r>
        <w:rPr>
          <w:rFonts w:hint="eastAsia" w:ascii="宋体" w:hAnsi="宋体"/>
          <w:color w:val="auto"/>
          <w:sz w:val="21"/>
          <w:szCs w:val="21"/>
          <w:highlight w:val="none"/>
        </w:rPr>
        <w:t>调整供应商的技术、商务、价格</w:t>
      </w:r>
      <w:r>
        <w:rPr>
          <w:rFonts w:hint="eastAsia" w:ascii="宋体" w:hAnsi="宋体" w:cs="宋体"/>
          <w:color w:val="auto"/>
          <w:kern w:val="0"/>
          <w:sz w:val="21"/>
          <w:szCs w:val="21"/>
          <w:highlight w:val="none"/>
        </w:rPr>
        <w:t>得分或总得分</w:t>
      </w:r>
      <w:r>
        <w:rPr>
          <w:rFonts w:hint="eastAsia" w:ascii="宋体" w:hAnsi="宋体"/>
          <w:color w:val="auto"/>
          <w:sz w:val="21"/>
          <w:szCs w:val="21"/>
          <w:highlight w:val="none"/>
        </w:rPr>
        <w:t>。</w:t>
      </w:r>
    </w:p>
    <w:p>
      <w:pPr>
        <w:adjustRightInd w:val="0"/>
        <w:snapToGrid w:val="0"/>
        <w:spacing w:before="156" w:beforeLines="50"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31.6涉及多处或部分获得政府采购政策优惠的，其多处或部分享受政府采购优惠政策的计算方法见</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相关规定。</w:t>
      </w:r>
    </w:p>
    <w:p>
      <w:pPr>
        <w:widowControl/>
        <w:adjustRightInd w:val="0"/>
        <w:snapToGrid w:val="0"/>
        <w:spacing w:before="156" w:beforeLines="50" w:line="360" w:lineRule="auto"/>
        <w:ind w:firstLine="420" w:firstLineChars="200"/>
        <w:jc w:val="left"/>
        <w:rPr>
          <w:rFonts w:hint="eastAsia" w:ascii="宋体" w:hAnsi="宋体"/>
          <w:color w:val="auto"/>
          <w:sz w:val="21"/>
          <w:szCs w:val="21"/>
          <w:highlight w:val="none"/>
        </w:rPr>
      </w:pPr>
      <w:r>
        <w:rPr>
          <w:rFonts w:hint="eastAsia" w:ascii="宋体" w:hAnsi="宋体" w:cs="宋体"/>
          <w:color w:val="auto"/>
          <w:kern w:val="0"/>
          <w:sz w:val="21"/>
          <w:szCs w:val="21"/>
          <w:highlight w:val="none"/>
        </w:rPr>
        <w:t>31.7</w:t>
      </w:r>
      <w:r>
        <w:rPr>
          <w:rFonts w:hint="eastAsia" w:ascii="宋体" w:hAnsi="宋体"/>
          <w:color w:val="auto"/>
          <w:sz w:val="21"/>
          <w:szCs w:val="21"/>
          <w:highlight w:val="none"/>
        </w:rPr>
        <w:t>评审时，磋商小组各成员应当独立对每个供应商的</w:t>
      </w:r>
      <w:r>
        <w:rPr>
          <w:rFonts w:hint="eastAsia" w:ascii="宋体" w:hAnsi="宋体"/>
          <w:bCs/>
          <w:color w:val="auto"/>
          <w:sz w:val="21"/>
          <w:szCs w:val="21"/>
          <w:highlight w:val="none"/>
        </w:rPr>
        <w:t>响应文件</w:t>
      </w:r>
      <w:r>
        <w:rPr>
          <w:rFonts w:hint="eastAsia" w:ascii="宋体" w:hAnsi="宋体"/>
          <w:color w:val="auto"/>
          <w:sz w:val="21"/>
          <w:szCs w:val="21"/>
          <w:highlight w:val="none"/>
        </w:rPr>
        <w:t>进行评价、评分，并按照政府采购优惠政策对最后报价进行价格扣除和技术、商务、价格加分后，汇总各供应商的总得分。</w:t>
      </w:r>
    </w:p>
    <w:p>
      <w:pPr>
        <w:widowControl/>
        <w:adjustRightInd w:val="0"/>
        <w:snapToGrid w:val="0"/>
        <w:spacing w:line="360" w:lineRule="auto"/>
        <w:jc w:val="left"/>
        <w:rPr>
          <w:rFonts w:hint="eastAsia" w:ascii="宋体" w:hAnsi="宋体"/>
          <w:b/>
          <w:bCs/>
          <w:color w:val="auto"/>
          <w:sz w:val="21"/>
          <w:szCs w:val="21"/>
          <w:highlight w:val="none"/>
        </w:rPr>
      </w:pPr>
      <w:r>
        <w:rPr>
          <w:rFonts w:hint="eastAsia" w:ascii="宋体" w:hAnsi="宋体"/>
          <w:b/>
          <w:bCs/>
          <w:color w:val="auto"/>
          <w:sz w:val="21"/>
          <w:szCs w:val="21"/>
          <w:highlight w:val="none"/>
        </w:rPr>
        <w:t>32</w:t>
      </w:r>
      <w:r>
        <w:rPr>
          <w:rFonts w:hint="eastAsia" w:ascii="宋体" w:hAnsi="宋体" w:cs="宋体"/>
          <w:b/>
          <w:color w:val="auto"/>
          <w:kern w:val="0"/>
          <w:sz w:val="21"/>
          <w:szCs w:val="21"/>
          <w:highlight w:val="none"/>
        </w:rPr>
        <w:t>.</w:t>
      </w:r>
      <w:r>
        <w:rPr>
          <w:rFonts w:hint="eastAsia" w:ascii="宋体" w:hAnsi="宋体"/>
          <w:b/>
          <w:bCs/>
          <w:color w:val="auto"/>
          <w:sz w:val="21"/>
          <w:szCs w:val="21"/>
          <w:highlight w:val="none"/>
        </w:rPr>
        <w:t>提出成交供应商</w:t>
      </w:r>
    </w:p>
    <w:p>
      <w:pPr>
        <w:widowControl/>
        <w:spacing w:line="420" w:lineRule="atLeast"/>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    32.1</w:t>
      </w:r>
      <w:r>
        <w:rPr>
          <w:rFonts w:hint="eastAsia" w:ascii="宋体" w:hAnsi="宋体"/>
          <w:bCs/>
          <w:color w:val="auto"/>
          <w:sz w:val="21"/>
          <w:szCs w:val="21"/>
          <w:highlight w:val="none"/>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符合《政府采购竞争性磋商采购方式管理暂行办法》(财库〔2014〕214号)</w:t>
      </w:r>
      <w:r>
        <w:rPr>
          <w:rFonts w:hint="eastAsia" w:ascii="宋体" w:hAnsi="宋体" w:cs="宋体"/>
          <w:color w:val="auto"/>
          <w:kern w:val="0"/>
          <w:sz w:val="21"/>
          <w:szCs w:val="21"/>
          <w:highlight w:val="none"/>
        </w:rPr>
        <w:t>和《财政部关于政府采购竞争性磋商采购方式管理暂行办法有关问题的补充通知》（财库〔2015〕124号）所列“政府购买服务项目（含政府和社会资本合作项目）、市场竞争不充分的科研项目以及需要扶持的科技成果转化项目”情形的，</w:t>
      </w:r>
      <w:r>
        <w:rPr>
          <w:rFonts w:hint="eastAsia" w:ascii="宋体" w:hAnsi="宋体"/>
          <w:bCs/>
          <w:color w:val="auto"/>
          <w:sz w:val="21"/>
          <w:szCs w:val="21"/>
          <w:highlight w:val="none"/>
        </w:rPr>
        <w:t>可以推荐2家成交候选供应商。</w:t>
      </w:r>
    </w:p>
    <w:p>
      <w:pPr>
        <w:tabs>
          <w:tab w:val="left" w:pos="0"/>
        </w:tabs>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33.确定成交供应商</w:t>
      </w:r>
    </w:p>
    <w:p>
      <w:pPr>
        <w:widowControl/>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33.1采购代理机构应当在评审结束后2个工作日内将评审报告送采购人确认。</w:t>
      </w:r>
    </w:p>
    <w:p>
      <w:pPr>
        <w:widowControl/>
        <w:adjustRightInd w:val="0"/>
        <w:snapToGrid w:val="0"/>
        <w:spacing w:line="360" w:lineRule="auto"/>
        <w:ind w:firstLine="42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33.2采购人应当在收到评审报告后5个工作日内，从评审报告提出的成交候选供应商中，按照排序由高到低的原则确定成交供应商，也可以书面授权磋商小组直接确定成交供应商。</w:t>
      </w:r>
    </w:p>
    <w:p>
      <w:pPr>
        <w:pStyle w:val="25"/>
        <w:adjustRightInd w:val="0"/>
        <w:snapToGrid w:val="0"/>
        <w:spacing w:line="360" w:lineRule="auto"/>
        <w:ind w:left="632" w:hanging="632" w:hangingChars="300"/>
        <w:rPr>
          <w:rFonts w:hint="eastAsia" w:hAnsi="宋体"/>
          <w:b/>
          <w:color w:val="auto"/>
          <w:highlight w:val="none"/>
        </w:rPr>
      </w:pPr>
      <w:r>
        <w:rPr>
          <w:rFonts w:hint="eastAsia" w:hAnsi="宋体"/>
          <w:b/>
          <w:color w:val="auto"/>
          <w:highlight w:val="none"/>
        </w:rPr>
        <w:t>34.磋商终止</w:t>
      </w:r>
    </w:p>
    <w:p>
      <w:pPr>
        <w:widowControl/>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bCs/>
          <w:color w:val="auto"/>
          <w:sz w:val="21"/>
          <w:szCs w:val="21"/>
          <w:highlight w:val="none"/>
        </w:rPr>
        <w:t>34.1</w:t>
      </w:r>
      <w:r>
        <w:rPr>
          <w:rFonts w:hint="eastAsia" w:ascii="宋体" w:hAnsi="宋体" w:cs="宋体"/>
          <w:color w:val="auto"/>
          <w:kern w:val="0"/>
          <w:sz w:val="21"/>
          <w:szCs w:val="21"/>
          <w:highlight w:val="none"/>
        </w:rPr>
        <w:t>出现下列情形之一的，采购人或者采购代理机构应当终止竞争性磋商采购活动，</w:t>
      </w:r>
      <w:r>
        <w:rPr>
          <w:rFonts w:hint="eastAsia" w:ascii="宋体" w:hAnsi="宋体"/>
          <w:color w:val="auto"/>
          <w:sz w:val="21"/>
          <w:szCs w:val="21"/>
          <w:highlight w:val="none"/>
        </w:rPr>
        <w:t>在本章第37.1款指定的媒体上</w:t>
      </w:r>
      <w:r>
        <w:rPr>
          <w:rFonts w:hint="eastAsia" w:ascii="宋体" w:hAnsi="宋体" w:cs="宋体"/>
          <w:color w:val="auto"/>
          <w:kern w:val="0"/>
          <w:sz w:val="21"/>
          <w:szCs w:val="21"/>
          <w:highlight w:val="none"/>
        </w:rPr>
        <w:t xml:space="preserve">发布项目终止公告并说明原因，重新开展采购活动： </w:t>
      </w:r>
    </w:p>
    <w:p>
      <w:pPr>
        <w:widowControl/>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（1）因情况变化，不再符合规定的竞争性磋商采购方式适用情形的；</w:t>
      </w:r>
    </w:p>
    <w:p>
      <w:pPr>
        <w:widowControl/>
        <w:adjustRightInd w:val="0"/>
        <w:snapToGrid w:val="0"/>
        <w:spacing w:line="360" w:lineRule="auto"/>
        <w:ind w:firstLine="42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（2）出现影响采购公正的违法、违规行为的；</w:t>
      </w:r>
    </w:p>
    <w:p>
      <w:pPr>
        <w:widowControl/>
        <w:adjustRightInd w:val="0"/>
        <w:snapToGrid w:val="0"/>
        <w:spacing w:line="360" w:lineRule="auto"/>
        <w:ind w:firstLine="420"/>
        <w:jc w:val="left"/>
        <w:rPr>
          <w:rFonts w:hint="eastAsia" w:ascii="宋体" w:hAnsi="宋体"/>
          <w:bCs/>
          <w:color w:val="auto"/>
          <w:sz w:val="21"/>
          <w:szCs w:val="21"/>
          <w:highlight w:val="none"/>
        </w:rPr>
      </w:pPr>
      <w:r>
        <w:rPr>
          <w:rFonts w:hint="eastAsia" w:ascii="宋体" w:hAnsi="宋体" w:cs="宋体"/>
          <w:color w:val="auto"/>
          <w:kern w:val="0"/>
          <w:sz w:val="21"/>
          <w:szCs w:val="21"/>
          <w:highlight w:val="none"/>
        </w:rPr>
        <w:t>（3）</w:t>
      </w:r>
      <w:r>
        <w:rPr>
          <w:rFonts w:hint="eastAsia" w:ascii="宋体" w:hAnsi="宋体"/>
          <w:bCs/>
          <w:color w:val="auto"/>
          <w:sz w:val="21"/>
          <w:szCs w:val="21"/>
          <w:highlight w:val="none"/>
        </w:rPr>
        <w:t>除《政府采购竞争性磋商采购方式管理暂行办法》(财库〔2014〕214号)</w:t>
      </w:r>
      <w:r>
        <w:rPr>
          <w:rFonts w:hint="eastAsia" w:ascii="宋体" w:hAnsi="宋体" w:cs="宋体"/>
          <w:color w:val="auto"/>
          <w:kern w:val="0"/>
          <w:sz w:val="21"/>
          <w:szCs w:val="21"/>
          <w:highlight w:val="none"/>
        </w:rPr>
        <w:t xml:space="preserve"> 和《财政部关于政府采购竞争性磋商采购方式管理暂行办法有关问题的补充通知》（财库〔2015〕124号）所列“政府购买服务项目（含政府和社会资本合作项目）、市场竞争不充分的科研项目以及需要扶持的科技成果转化项目”</w:t>
      </w:r>
      <w:r>
        <w:rPr>
          <w:rFonts w:hint="eastAsia" w:ascii="宋体" w:hAnsi="宋体"/>
          <w:bCs/>
          <w:color w:val="auto"/>
          <w:sz w:val="21"/>
          <w:szCs w:val="21"/>
          <w:highlight w:val="none"/>
        </w:rPr>
        <w:t>情形外，在采购过程中符合要求的供应商或者报价未超过采购预算的供应商不足3家的；</w:t>
      </w:r>
    </w:p>
    <w:p>
      <w:pPr>
        <w:widowControl/>
        <w:adjustRightInd w:val="0"/>
        <w:snapToGrid w:val="0"/>
        <w:spacing w:line="360" w:lineRule="auto"/>
        <w:ind w:firstLine="420"/>
        <w:jc w:val="left"/>
        <w:rPr>
          <w:rFonts w:hint="eastAsia" w:ascii="宋体" w:hAnsi="宋体"/>
          <w:bCs/>
          <w:color w:val="auto"/>
          <w:sz w:val="21"/>
          <w:szCs w:val="21"/>
          <w:highlight w:val="none"/>
        </w:rPr>
      </w:pPr>
      <w:r>
        <w:rPr>
          <w:rFonts w:hint="eastAsia" w:ascii="宋体" w:hAnsi="宋体" w:cs="宋体"/>
          <w:color w:val="auto"/>
          <w:kern w:val="0"/>
          <w:sz w:val="21"/>
          <w:szCs w:val="21"/>
          <w:highlight w:val="none"/>
        </w:rPr>
        <w:t>（4）因重大变故，采购任务取消的。</w:t>
      </w:r>
    </w:p>
    <w:p>
      <w:pPr>
        <w:widowControl/>
        <w:adjustRightInd w:val="0"/>
        <w:snapToGrid w:val="0"/>
        <w:spacing w:line="360" w:lineRule="auto"/>
        <w:jc w:val="left"/>
        <w:rPr>
          <w:rFonts w:hint="eastAsia" w:ascii="宋体" w:hAnsi="宋体" w:cs="宋体"/>
          <w:b/>
          <w:color w:val="auto"/>
          <w:kern w:val="0"/>
          <w:sz w:val="21"/>
          <w:szCs w:val="21"/>
          <w:highlight w:val="none"/>
        </w:rPr>
      </w:pPr>
      <w:r>
        <w:rPr>
          <w:rFonts w:hint="eastAsia" w:ascii="宋体" w:hAnsi="宋体" w:cs="宋体"/>
          <w:b/>
          <w:color w:val="auto"/>
          <w:kern w:val="0"/>
          <w:sz w:val="21"/>
          <w:szCs w:val="21"/>
          <w:highlight w:val="none"/>
        </w:rPr>
        <w:t>35．重新评审</w:t>
      </w:r>
    </w:p>
    <w:p>
      <w:pPr>
        <w:widowControl/>
        <w:adjustRightInd w:val="0"/>
        <w:snapToGrid w:val="0"/>
        <w:spacing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35.1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36.保密及串通行为</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36.1磋商小组成员以及与评审工作有关的人员不得泄露评审情况以及评审过程中获悉的国家秘密、商业秘密。</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36.2</w:t>
      </w:r>
      <w:r>
        <w:rPr>
          <w:rFonts w:hint="eastAsia" w:ascii="宋体" w:hAnsi="宋体" w:cs="宋体"/>
          <w:color w:val="auto"/>
          <w:kern w:val="0"/>
          <w:sz w:val="21"/>
          <w:szCs w:val="21"/>
          <w:highlight w:val="none"/>
        </w:rPr>
        <w:t>供应商</w:t>
      </w:r>
      <w:r>
        <w:rPr>
          <w:rFonts w:hint="eastAsia" w:ascii="宋体" w:hAnsi="宋体"/>
          <w:color w:val="auto"/>
          <w:sz w:val="21"/>
          <w:szCs w:val="21"/>
          <w:highlight w:val="none"/>
        </w:rPr>
        <w:t>不得与</w:t>
      </w:r>
      <w:r>
        <w:rPr>
          <w:rFonts w:hint="eastAsia" w:ascii="宋体" w:hAnsi="宋体" w:cs="宋体"/>
          <w:color w:val="auto"/>
          <w:kern w:val="0"/>
          <w:sz w:val="21"/>
          <w:szCs w:val="21"/>
          <w:highlight w:val="none"/>
        </w:rPr>
        <w:t>采购人、采购代理机构、其他供应商恶意</w:t>
      </w:r>
      <w:r>
        <w:rPr>
          <w:rFonts w:hint="eastAsia" w:ascii="宋体" w:hAnsi="宋体"/>
          <w:color w:val="auto"/>
          <w:sz w:val="21"/>
          <w:szCs w:val="21"/>
          <w:highlight w:val="none"/>
        </w:rPr>
        <w:t>串通；不得向</w:t>
      </w:r>
      <w:r>
        <w:rPr>
          <w:rFonts w:hint="eastAsia" w:ascii="宋体" w:hAnsi="宋体" w:cs="宋体"/>
          <w:color w:val="auto"/>
          <w:kern w:val="0"/>
          <w:sz w:val="21"/>
          <w:szCs w:val="21"/>
          <w:highlight w:val="none"/>
        </w:rPr>
        <w:t>采购人、采购代理机构</w:t>
      </w:r>
      <w:r>
        <w:rPr>
          <w:rFonts w:hint="eastAsia" w:ascii="宋体" w:hAnsi="宋体"/>
          <w:color w:val="auto"/>
          <w:sz w:val="21"/>
          <w:szCs w:val="21"/>
          <w:highlight w:val="none"/>
        </w:rPr>
        <w:t>或者磋商小组成员行贿或者提供其他不正当利益；不得提供虚假资料谋取成交；不得以任何方式干扰、影响采购工作。</w:t>
      </w:r>
    </w:p>
    <w:p>
      <w:pPr>
        <w:pStyle w:val="39"/>
        <w:adjustRightInd w:val="0"/>
        <w:snapToGrid w:val="0"/>
        <w:spacing w:before="0" w:beforeAutospacing="0" w:after="0" w:afterAutospacing="0" w:line="360" w:lineRule="auto"/>
        <w:ind w:firstLine="420" w:firstLineChars="200"/>
        <w:rPr>
          <w:rFonts w:hint="eastAsia"/>
          <w:color w:val="auto"/>
          <w:sz w:val="21"/>
          <w:szCs w:val="21"/>
          <w:highlight w:val="none"/>
          <w:lang w:val="zh-CN"/>
        </w:rPr>
      </w:pPr>
      <w:r>
        <w:rPr>
          <w:rFonts w:hint="eastAsia" w:cs="Arial"/>
          <w:color w:val="auto"/>
          <w:sz w:val="21"/>
          <w:szCs w:val="21"/>
          <w:highlight w:val="none"/>
        </w:rPr>
        <w:t>36.3</w:t>
      </w:r>
      <w:r>
        <w:rPr>
          <w:rFonts w:hint="eastAsia"/>
          <w:color w:val="auto"/>
          <w:sz w:val="21"/>
          <w:szCs w:val="21"/>
          <w:highlight w:val="none"/>
          <w:lang w:val="zh-CN"/>
        </w:rPr>
        <w:t>有下列情形之一的，属于恶意串通，对供应商依照政府采购法第七十七条第一款的规定追究法律责任：</w:t>
      </w:r>
    </w:p>
    <w:p>
      <w:pPr>
        <w:pStyle w:val="39"/>
        <w:adjustRightInd w:val="0"/>
        <w:snapToGrid w:val="0"/>
        <w:spacing w:before="0" w:beforeAutospacing="0" w:after="0" w:afterAutospacing="0" w:line="360" w:lineRule="auto"/>
        <w:ind w:firstLine="420" w:firstLineChars="200"/>
        <w:rPr>
          <w:rFonts w:hint="eastAsia"/>
          <w:color w:val="auto"/>
          <w:sz w:val="21"/>
          <w:szCs w:val="21"/>
          <w:highlight w:val="none"/>
          <w:lang w:val="zh-CN"/>
        </w:rPr>
      </w:pPr>
      <w:r>
        <w:rPr>
          <w:rFonts w:hint="eastAsia"/>
          <w:color w:val="auto"/>
          <w:sz w:val="21"/>
          <w:szCs w:val="21"/>
          <w:highlight w:val="none"/>
          <w:lang w:val="zh-CN"/>
        </w:rPr>
        <w:t>（一）供应商直接或者间接从采购人或者采购代理机构处获得其他供应商的相关情况并修改其投标文件或者响应文件；</w:t>
      </w:r>
    </w:p>
    <w:p>
      <w:pPr>
        <w:pStyle w:val="39"/>
        <w:adjustRightInd w:val="0"/>
        <w:snapToGrid w:val="0"/>
        <w:spacing w:before="0" w:beforeAutospacing="0" w:after="0" w:afterAutospacing="0" w:line="360" w:lineRule="auto"/>
        <w:ind w:firstLine="420" w:firstLineChars="200"/>
        <w:rPr>
          <w:rFonts w:hint="eastAsia"/>
          <w:color w:val="auto"/>
          <w:sz w:val="21"/>
          <w:szCs w:val="21"/>
          <w:highlight w:val="none"/>
          <w:lang w:val="zh-CN"/>
        </w:rPr>
      </w:pPr>
      <w:r>
        <w:rPr>
          <w:rFonts w:hint="eastAsia"/>
          <w:color w:val="auto"/>
          <w:sz w:val="21"/>
          <w:szCs w:val="21"/>
          <w:highlight w:val="none"/>
          <w:lang w:val="zh-CN"/>
        </w:rPr>
        <w:t>（二）供应商按照采购人或者采购代理机构的授意撤换、修改投标文件或者响应文件；</w:t>
      </w:r>
    </w:p>
    <w:p>
      <w:pPr>
        <w:pStyle w:val="39"/>
        <w:adjustRightInd w:val="0"/>
        <w:snapToGrid w:val="0"/>
        <w:spacing w:before="0" w:beforeAutospacing="0" w:after="0" w:afterAutospacing="0" w:line="360" w:lineRule="auto"/>
        <w:ind w:firstLine="420" w:firstLineChars="200"/>
        <w:rPr>
          <w:rFonts w:hint="eastAsia"/>
          <w:color w:val="auto"/>
          <w:sz w:val="21"/>
          <w:szCs w:val="21"/>
          <w:highlight w:val="none"/>
          <w:lang w:val="zh-CN"/>
        </w:rPr>
      </w:pPr>
      <w:r>
        <w:rPr>
          <w:rFonts w:hint="eastAsia"/>
          <w:color w:val="auto"/>
          <w:sz w:val="21"/>
          <w:szCs w:val="21"/>
          <w:highlight w:val="none"/>
          <w:lang w:val="zh-CN"/>
        </w:rPr>
        <w:t>（三）供应商之间协商报价、技术方案等投标文件或者响应文件的实质性内容；</w:t>
      </w:r>
    </w:p>
    <w:p>
      <w:pPr>
        <w:pStyle w:val="39"/>
        <w:adjustRightInd w:val="0"/>
        <w:snapToGrid w:val="0"/>
        <w:spacing w:before="0" w:beforeAutospacing="0" w:after="0" w:afterAutospacing="0" w:line="360" w:lineRule="auto"/>
        <w:ind w:firstLine="420" w:firstLineChars="200"/>
        <w:rPr>
          <w:rFonts w:hint="eastAsia"/>
          <w:color w:val="auto"/>
          <w:sz w:val="21"/>
          <w:szCs w:val="21"/>
          <w:highlight w:val="none"/>
          <w:lang w:val="zh-CN"/>
        </w:rPr>
      </w:pPr>
      <w:r>
        <w:rPr>
          <w:rFonts w:hint="eastAsia"/>
          <w:color w:val="auto"/>
          <w:sz w:val="21"/>
          <w:szCs w:val="21"/>
          <w:highlight w:val="none"/>
          <w:lang w:val="zh-CN"/>
        </w:rPr>
        <w:t>（四）属于同一集团、协会、商会等组织成员的供应商按照该组织要求协同参加政府采购活动；</w:t>
      </w:r>
    </w:p>
    <w:p>
      <w:pPr>
        <w:pStyle w:val="39"/>
        <w:adjustRightInd w:val="0"/>
        <w:snapToGrid w:val="0"/>
        <w:spacing w:before="0" w:beforeAutospacing="0" w:after="0" w:afterAutospacing="0" w:line="360" w:lineRule="auto"/>
        <w:ind w:firstLine="420" w:firstLineChars="200"/>
        <w:rPr>
          <w:rFonts w:hint="eastAsia"/>
          <w:color w:val="auto"/>
          <w:sz w:val="21"/>
          <w:szCs w:val="21"/>
          <w:highlight w:val="none"/>
          <w:lang w:val="zh-CN"/>
        </w:rPr>
      </w:pPr>
      <w:r>
        <w:rPr>
          <w:rFonts w:hint="eastAsia"/>
          <w:color w:val="auto"/>
          <w:sz w:val="21"/>
          <w:szCs w:val="21"/>
          <w:highlight w:val="none"/>
          <w:lang w:val="zh-CN"/>
        </w:rPr>
        <w:t>（五）供应商之间事先约定由某一特定供应商中标、成交；</w:t>
      </w:r>
    </w:p>
    <w:p>
      <w:pPr>
        <w:pStyle w:val="39"/>
        <w:adjustRightInd w:val="0"/>
        <w:snapToGrid w:val="0"/>
        <w:spacing w:before="0" w:beforeAutospacing="0" w:after="0" w:afterAutospacing="0" w:line="360" w:lineRule="auto"/>
        <w:ind w:firstLine="420" w:firstLineChars="200"/>
        <w:rPr>
          <w:rFonts w:hint="eastAsia"/>
          <w:color w:val="auto"/>
          <w:sz w:val="21"/>
          <w:szCs w:val="21"/>
          <w:highlight w:val="none"/>
          <w:lang w:val="zh-CN"/>
        </w:rPr>
      </w:pPr>
      <w:r>
        <w:rPr>
          <w:rFonts w:hint="eastAsia"/>
          <w:color w:val="auto"/>
          <w:sz w:val="21"/>
          <w:szCs w:val="21"/>
          <w:highlight w:val="none"/>
          <w:lang w:val="zh-CN"/>
        </w:rPr>
        <w:t>（六）供应商之间商定部分供应商放弃参加政府采购活动或者放弃中标、成交；</w:t>
      </w:r>
    </w:p>
    <w:p>
      <w:pPr>
        <w:pStyle w:val="39"/>
        <w:adjustRightInd w:val="0"/>
        <w:snapToGrid w:val="0"/>
        <w:spacing w:before="0" w:beforeAutospacing="0" w:after="0" w:afterAutospacing="0" w:line="360" w:lineRule="auto"/>
        <w:ind w:firstLine="420" w:firstLineChars="200"/>
        <w:rPr>
          <w:color w:val="auto"/>
          <w:sz w:val="21"/>
          <w:szCs w:val="21"/>
          <w:highlight w:val="none"/>
          <w:lang w:val="zh-CN"/>
        </w:rPr>
      </w:pPr>
      <w:r>
        <w:rPr>
          <w:rFonts w:hint="eastAsia"/>
          <w:color w:val="auto"/>
          <w:sz w:val="21"/>
          <w:szCs w:val="21"/>
          <w:highlight w:val="none"/>
          <w:lang w:val="zh-CN"/>
        </w:rPr>
        <w:t>（七）供应商与采购人或者采购代理机构之间、供应商相互之间，为谋求特定供应商中标、成交或者排斥其他供应商的其他串通行为。</w:t>
      </w:r>
    </w:p>
    <w:p>
      <w:pPr>
        <w:pStyle w:val="6"/>
        <w:jc w:val="left"/>
        <w:rPr>
          <w:rFonts w:hint="eastAsia"/>
          <w:color w:val="auto"/>
          <w:sz w:val="21"/>
          <w:szCs w:val="21"/>
          <w:highlight w:val="none"/>
        </w:rPr>
      </w:pPr>
      <w:r>
        <w:rPr>
          <w:rFonts w:hint="eastAsia"/>
          <w:color w:val="auto"/>
          <w:sz w:val="21"/>
          <w:szCs w:val="21"/>
          <w:highlight w:val="none"/>
        </w:rPr>
        <w:t>六、成交结果信息公布与授予合同</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37.成交信息的公布</w:t>
      </w:r>
    </w:p>
    <w:p>
      <w:pPr>
        <w:pStyle w:val="25"/>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37.1成交供应商确定后2个工作日内，成交结果信息将在</w:t>
      </w:r>
      <w:r>
        <w:rPr>
          <w:rFonts w:hint="eastAsia" w:hAnsi="宋体"/>
          <w:b/>
          <w:color w:val="auto"/>
          <w:highlight w:val="none"/>
        </w:rPr>
        <w:t>磋商须知前附表</w:t>
      </w:r>
      <w:r>
        <w:rPr>
          <w:rFonts w:hint="eastAsia" w:hAnsi="宋体"/>
          <w:color w:val="auto"/>
          <w:highlight w:val="none"/>
        </w:rPr>
        <w:t>指定的媒体上公布。</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38.询问及质疑</w:t>
      </w:r>
    </w:p>
    <w:p>
      <w:pPr>
        <w:adjustRightInd w:val="0"/>
        <w:snapToGrid w:val="0"/>
        <w:spacing w:line="360" w:lineRule="auto"/>
        <w:ind w:firstLine="420" w:firstLineChars="200"/>
        <w:jc w:val="left"/>
        <w:rPr>
          <w:rFonts w:hint="eastAsia" w:hAnsi="宋体"/>
          <w:color w:val="auto"/>
          <w:sz w:val="21"/>
          <w:szCs w:val="21"/>
          <w:highlight w:val="none"/>
        </w:rPr>
      </w:pPr>
      <w:r>
        <w:rPr>
          <w:rFonts w:hint="eastAsia" w:ascii="宋体" w:hAnsi="宋体"/>
          <w:color w:val="auto"/>
          <w:sz w:val="21"/>
          <w:szCs w:val="21"/>
          <w:highlight w:val="none"/>
        </w:rPr>
        <w:t>38.1供应商对政府采购活动事项有疑问的，可以向采购人或采购代理机构提出询问。</w:t>
      </w:r>
    </w:p>
    <w:p>
      <w:pPr>
        <w:adjustRightInd w:val="0"/>
        <w:snapToGrid w:val="0"/>
        <w:spacing w:line="360"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38.2供应商若认为磋商文件、采购过程和成交结果使自己的权益受到损害，可以按法律、行政法规及湖南省财政厅规范性文件规定向采购人或采购代理机构提出质疑。</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39.成交通知</w:t>
      </w:r>
    </w:p>
    <w:p>
      <w:pPr>
        <w:pStyle w:val="25"/>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39.1成交供应商确定后，采购人或采购代理机构将以书面形式向成交供应商发出成交通知书。成交通知书对采购人和成交供应商具有同等法律效力。</w:t>
      </w:r>
    </w:p>
    <w:p>
      <w:pPr>
        <w:pStyle w:val="25"/>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39.2 成交通知书是合同文件的组成部分。</w:t>
      </w:r>
    </w:p>
    <w:p>
      <w:pPr>
        <w:tabs>
          <w:tab w:val="left" w:pos="7560"/>
          <w:tab w:val="left" w:pos="7740"/>
          <w:tab w:val="left" w:pos="7920"/>
        </w:tabs>
        <w:autoSpaceDN w:val="0"/>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s="宋体"/>
          <w:color w:val="auto"/>
          <w:kern w:val="0"/>
          <w:sz w:val="21"/>
          <w:szCs w:val="21"/>
          <w:highlight w:val="none"/>
        </w:rPr>
        <w:t xml:space="preserve">39.3 </w:t>
      </w:r>
      <w:r>
        <w:rPr>
          <w:rFonts w:hint="eastAsia" w:ascii="宋体" w:hAnsi="宋体"/>
          <w:color w:val="auto"/>
          <w:sz w:val="21"/>
          <w:szCs w:val="21"/>
          <w:highlight w:val="none"/>
        </w:rPr>
        <w:t>成交供应商在收到采购代理机构的成交通知书后10日内，应按照</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的规定，向采购人提交履约担保。联合体成交的，履约担保由联合体各方或联合体中牵头人的名义提交。</w:t>
      </w:r>
    </w:p>
    <w:p>
      <w:pPr>
        <w:pStyle w:val="25"/>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39.4 成交供应商</w:t>
      </w:r>
      <w:r>
        <w:rPr>
          <w:rFonts w:hint="eastAsia" w:hAnsi="宋体"/>
          <w:color w:val="auto"/>
          <w:spacing w:val="4"/>
          <w:highlight w:val="none"/>
        </w:rPr>
        <w:t>没有按照本章第39.3</w:t>
      </w:r>
      <w:r>
        <w:rPr>
          <w:rFonts w:hint="eastAsia" w:hAnsi="宋体" w:cs="宋体"/>
          <w:color w:val="auto"/>
          <w:kern w:val="0"/>
          <w:highlight w:val="none"/>
          <w:lang w:val="zh-CN"/>
        </w:rPr>
        <w:t>款</w:t>
      </w:r>
      <w:r>
        <w:rPr>
          <w:rFonts w:hint="eastAsia" w:hAnsi="宋体"/>
          <w:color w:val="auto"/>
          <w:spacing w:val="4"/>
          <w:highlight w:val="none"/>
        </w:rPr>
        <w:t>规定</w:t>
      </w:r>
      <w:r>
        <w:rPr>
          <w:rFonts w:hint="eastAsia" w:hAnsi="宋体"/>
          <w:color w:val="auto"/>
          <w:highlight w:val="none"/>
        </w:rPr>
        <w:t>提交履约担保的</w:t>
      </w:r>
      <w:r>
        <w:rPr>
          <w:rFonts w:hint="eastAsia" w:hAnsi="宋体"/>
          <w:color w:val="auto"/>
          <w:spacing w:val="4"/>
          <w:highlight w:val="none"/>
        </w:rPr>
        <w:t>，视为放弃</w:t>
      </w:r>
      <w:r>
        <w:rPr>
          <w:rFonts w:hint="eastAsia" w:hAnsi="宋体"/>
          <w:color w:val="auto"/>
          <w:highlight w:val="none"/>
        </w:rPr>
        <w:t>成交资格</w:t>
      </w:r>
      <w:r>
        <w:rPr>
          <w:rFonts w:hint="eastAsia" w:hAnsi="宋体"/>
          <w:color w:val="auto"/>
          <w:spacing w:val="4"/>
          <w:highlight w:val="none"/>
        </w:rPr>
        <w:t>，</w:t>
      </w:r>
      <w:r>
        <w:rPr>
          <w:rFonts w:hint="eastAsia" w:hAnsi="宋体"/>
          <w:color w:val="auto"/>
          <w:spacing w:val="2"/>
          <w:highlight w:val="none"/>
        </w:rPr>
        <w:t>其保证金不予退还。</w:t>
      </w:r>
    </w:p>
    <w:p>
      <w:pPr>
        <w:adjustRightInd w:val="0"/>
        <w:snapToGrid w:val="0"/>
        <w:spacing w:line="360" w:lineRule="auto"/>
        <w:rPr>
          <w:rFonts w:hint="eastAsia" w:ascii="宋体" w:hAnsi="宋体"/>
          <w:b/>
          <w:bCs/>
          <w:color w:val="auto"/>
          <w:sz w:val="21"/>
          <w:szCs w:val="21"/>
          <w:highlight w:val="none"/>
        </w:rPr>
      </w:pPr>
      <w:r>
        <w:rPr>
          <w:rFonts w:hint="eastAsia" w:ascii="宋体" w:hAnsi="宋体"/>
          <w:b/>
          <w:bCs/>
          <w:color w:val="auto"/>
          <w:sz w:val="21"/>
          <w:szCs w:val="21"/>
          <w:highlight w:val="none"/>
        </w:rPr>
        <w:t>40.签订合同</w:t>
      </w:r>
    </w:p>
    <w:p>
      <w:pPr>
        <w:pStyle w:val="25"/>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40.1成交供应商应当在成交通知书发出之日起30日内与采购人签订政府采购合同。</w:t>
      </w:r>
    </w:p>
    <w:p>
      <w:pPr>
        <w:pStyle w:val="25"/>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40.2磋商文件、成交供应商的响应文件等均为签订政府采购合同的依据。</w:t>
      </w:r>
    </w:p>
    <w:p>
      <w:pPr>
        <w:pStyle w:val="25"/>
        <w:adjustRightInd w:val="0"/>
        <w:snapToGrid w:val="0"/>
        <w:spacing w:line="360" w:lineRule="auto"/>
        <w:ind w:firstLine="420" w:firstLineChars="200"/>
        <w:rPr>
          <w:rFonts w:hAnsi="宋体"/>
          <w:color w:val="auto"/>
          <w:highlight w:val="none"/>
        </w:rPr>
      </w:pPr>
      <w:r>
        <w:rPr>
          <w:rFonts w:hint="eastAsia" w:hAnsi="宋体"/>
          <w:color w:val="auto"/>
          <w:highlight w:val="none"/>
        </w:rPr>
        <w:t>40.3 成交供应商应当按照合同约定履行义务。成交供应商不得向他人转让成交项目，也不得将成交项目分包后分别向他人转让。</w:t>
      </w:r>
    </w:p>
    <w:p>
      <w:pPr>
        <w:pStyle w:val="25"/>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40.4 成交供应商有下列情形之一的，责令限期改正，情节严重的，列入不良行为记录名单，在1至3年内禁止参加政府采购活动，并予以通报：</w:t>
      </w:r>
    </w:p>
    <w:p>
      <w:pPr>
        <w:pStyle w:val="25"/>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（一）成交后无正当理由不与采购人签订合同的；</w:t>
      </w:r>
    </w:p>
    <w:p>
      <w:pPr>
        <w:pStyle w:val="25"/>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（二）未按照采购文件确定的事项签订政府采购合同，或者与采购人另行订立背离合同实质性内容的协议的；</w:t>
      </w:r>
    </w:p>
    <w:p>
      <w:pPr>
        <w:pStyle w:val="25"/>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（三）拒绝履行合同义务的；</w:t>
      </w:r>
    </w:p>
    <w:p>
      <w:pPr>
        <w:pStyle w:val="25"/>
        <w:adjustRightInd w:val="0"/>
        <w:snapToGrid w:val="0"/>
        <w:spacing w:line="360" w:lineRule="auto"/>
        <w:ind w:firstLine="420" w:firstLineChars="200"/>
        <w:rPr>
          <w:rFonts w:hint="eastAsia" w:hAnsi="宋体" w:cs="宋体"/>
          <w:color w:val="auto"/>
          <w:kern w:val="0"/>
          <w:highlight w:val="none"/>
        </w:rPr>
      </w:pPr>
      <w:r>
        <w:rPr>
          <w:rFonts w:hint="eastAsia" w:hAnsi="宋体"/>
          <w:color w:val="auto"/>
          <w:highlight w:val="none"/>
        </w:rPr>
        <w:t>（四）</w:t>
      </w:r>
      <w:r>
        <w:rPr>
          <w:rFonts w:hint="eastAsia" w:hAnsi="宋体" w:cs="宋体"/>
          <w:color w:val="auto"/>
          <w:kern w:val="0"/>
          <w:highlight w:val="none"/>
        </w:rPr>
        <w:t>违反法律、规章、规范性文件规定的。</w:t>
      </w:r>
    </w:p>
    <w:p>
      <w:pPr>
        <w:pStyle w:val="6"/>
        <w:jc w:val="left"/>
        <w:rPr>
          <w:rFonts w:hint="eastAsia"/>
          <w:color w:val="auto"/>
          <w:sz w:val="21"/>
          <w:szCs w:val="21"/>
          <w:highlight w:val="none"/>
        </w:rPr>
      </w:pPr>
      <w:r>
        <w:rPr>
          <w:rFonts w:hint="eastAsia"/>
          <w:color w:val="auto"/>
          <w:sz w:val="21"/>
          <w:szCs w:val="21"/>
          <w:highlight w:val="none"/>
        </w:rPr>
        <w:t>七、其他规定</w:t>
      </w:r>
    </w:p>
    <w:p>
      <w:pPr>
        <w:adjustRightInd w:val="0"/>
        <w:snapToGrid w:val="0"/>
        <w:spacing w:line="360" w:lineRule="auto"/>
        <w:jc w:val="left"/>
        <w:rPr>
          <w:rFonts w:hint="eastAsia" w:ascii="宋体" w:hAnsi="宋体"/>
          <w:b/>
          <w:color w:val="auto"/>
          <w:sz w:val="21"/>
          <w:szCs w:val="21"/>
          <w:highlight w:val="none"/>
        </w:rPr>
      </w:pPr>
      <w:r>
        <w:rPr>
          <w:rFonts w:hint="eastAsia" w:ascii="宋体" w:hAnsi="宋体"/>
          <w:b/>
          <w:color w:val="auto"/>
          <w:sz w:val="21"/>
          <w:szCs w:val="21"/>
          <w:highlight w:val="none"/>
        </w:rPr>
        <w:t>41.1采购代理服务费</w:t>
      </w:r>
    </w:p>
    <w:p>
      <w:pPr>
        <w:tabs>
          <w:tab w:val="left" w:pos="420"/>
          <w:tab w:val="left" w:pos="7560"/>
          <w:tab w:val="left" w:pos="7740"/>
          <w:tab w:val="left" w:pos="7920"/>
        </w:tabs>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41.1采购代理机构应按</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规定收取采购代理服务费。</w:t>
      </w:r>
    </w:p>
    <w:p>
      <w:pPr>
        <w:tabs>
          <w:tab w:val="left" w:pos="420"/>
          <w:tab w:val="left" w:pos="7560"/>
          <w:tab w:val="left" w:pos="7740"/>
          <w:tab w:val="left" w:pos="7920"/>
        </w:tabs>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41.2集中采购机构不得收取采购代理服务费。</w:t>
      </w:r>
    </w:p>
    <w:p>
      <w:pPr>
        <w:tabs>
          <w:tab w:val="left" w:pos="420"/>
          <w:tab w:val="left" w:pos="7560"/>
          <w:tab w:val="left" w:pos="7740"/>
          <w:tab w:val="left" w:pos="7920"/>
        </w:tabs>
        <w:adjustRightInd w:val="0"/>
        <w:snapToGrid w:val="0"/>
        <w:spacing w:line="360" w:lineRule="auto"/>
        <w:rPr>
          <w:rFonts w:hint="eastAsia" w:hAnsi="宋体"/>
          <w:b/>
          <w:color w:val="auto"/>
          <w:sz w:val="21"/>
          <w:szCs w:val="21"/>
          <w:highlight w:val="none"/>
        </w:rPr>
      </w:pPr>
      <w:r>
        <w:rPr>
          <w:rFonts w:hint="eastAsia" w:ascii="宋体" w:hAnsi="宋体"/>
          <w:b/>
          <w:color w:val="auto"/>
          <w:sz w:val="21"/>
          <w:szCs w:val="21"/>
          <w:highlight w:val="none"/>
        </w:rPr>
        <w:t>42.</w:t>
      </w:r>
      <w:r>
        <w:rPr>
          <w:rFonts w:hint="eastAsia" w:hAnsi="宋体"/>
          <w:b/>
          <w:color w:val="auto"/>
          <w:sz w:val="21"/>
          <w:szCs w:val="21"/>
          <w:highlight w:val="none"/>
        </w:rPr>
        <w:t xml:space="preserve"> 其他规定</w:t>
      </w:r>
    </w:p>
    <w:p>
      <w:pPr>
        <w:tabs>
          <w:tab w:val="left" w:pos="420"/>
          <w:tab w:val="left" w:pos="7560"/>
          <w:tab w:val="left" w:pos="7740"/>
          <w:tab w:val="left" w:pos="7920"/>
        </w:tabs>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42.1磋商文件</w:t>
      </w:r>
      <w:r>
        <w:rPr>
          <w:rFonts w:hint="eastAsia" w:hAnsi="宋体"/>
          <w:color w:val="auto"/>
          <w:sz w:val="21"/>
          <w:szCs w:val="21"/>
          <w:highlight w:val="none"/>
        </w:rPr>
        <w:t>的其他规定</w:t>
      </w:r>
      <w:r>
        <w:rPr>
          <w:rFonts w:hint="eastAsia" w:ascii="宋体" w:hAnsi="宋体"/>
          <w:color w:val="auto"/>
          <w:sz w:val="21"/>
          <w:szCs w:val="21"/>
          <w:highlight w:val="none"/>
        </w:rPr>
        <w:t>见</w:t>
      </w:r>
      <w:r>
        <w:rPr>
          <w:rFonts w:hint="eastAsia" w:ascii="宋体" w:hAnsi="宋体"/>
          <w:b/>
          <w:color w:val="auto"/>
          <w:sz w:val="21"/>
          <w:szCs w:val="21"/>
          <w:highlight w:val="none"/>
        </w:rPr>
        <w:t>磋商须知前附表</w:t>
      </w:r>
      <w:r>
        <w:rPr>
          <w:rFonts w:hint="eastAsia" w:ascii="宋体" w:hAnsi="宋体"/>
          <w:color w:val="auto"/>
          <w:sz w:val="21"/>
          <w:szCs w:val="21"/>
          <w:highlight w:val="none"/>
        </w:rPr>
        <w:t>。</w:t>
      </w:r>
    </w:p>
    <w:p>
      <w:pPr>
        <w:adjustRightInd w:val="0"/>
        <w:snapToGrid w:val="0"/>
        <w:spacing w:before="156" w:beforeLines="50" w:line="360" w:lineRule="auto"/>
        <w:jc w:val="center"/>
        <w:rPr>
          <w:rFonts w:hint="eastAsia" w:ascii="黑体" w:eastAsia="黑体"/>
          <w:b/>
          <w:color w:val="auto"/>
          <w:sz w:val="21"/>
          <w:szCs w:val="21"/>
          <w:highlight w:val="none"/>
        </w:rPr>
      </w:pPr>
    </w:p>
    <w:p>
      <w:pPr>
        <w:spacing w:line="360" w:lineRule="auto"/>
        <w:ind w:right="600"/>
        <w:jc w:val="center"/>
        <w:rPr>
          <w:rFonts w:hint="eastAsia" w:ascii="宋体" w:hAnsi="宋体" w:cs="宋体"/>
          <w:b/>
          <w:color w:val="auto"/>
          <w:szCs w:val="28"/>
          <w:highlight w:val="none"/>
        </w:rPr>
      </w:pPr>
      <w:r>
        <w:rPr>
          <w:rFonts w:hint="eastAsia" w:ascii="宋体" w:hAnsi="宋体" w:cs="宋体"/>
          <w:b/>
          <w:color w:val="auto"/>
          <w:szCs w:val="28"/>
          <w:highlight w:val="none"/>
        </w:rPr>
        <w:br w:type="page"/>
      </w:r>
      <w:r>
        <w:rPr>
          <w:rFonts w:hint="eastAsia" w:ascii="宋体" w:hAnsi="宋体" w:cs="宋体"/>
          <w:b/>
          <w:color w:val="auto"/>
          <w:szCs w:val="28"/>
          <w:highlight w:val="none"/>
        </w:rPr>
        <w:t>第三章  采购合同</w:t>
      </w:r>
    </w:p>
    <w:p>
      <w:pPr>
        <w:tabs>
          <w:tab w:val="left" w:pos="540"/>
          <w:tab w:val="left" w:pos="4860"/>
        </w:tabs>
        <w:adjustRightInd w:val="0"/>
        <w:snapToGrid w:val="0"/>
        <w:spacing w:before="156" w:beforeLines="50" w:after="156" w:afterLines="50" w:line="360" w:lineRule="auto"/>
        <w:rPr>
          <w:rFonts w:ascii="宋体"/>
          <w:color w:val="auto"/>
          <w:sz w:val="30"/>
          <w:szCs w:val="30"/>
          <w:highlight w:val="none"/>
          <w:u w:val="single"/>
        </w:rPr>
      </w:pPr>
      <w:r>
        <w:rPr>
          <w:rFonts w:hint="eastAsia" w:ascii="宋体" w:hAnsi="宋体"/>
          <w:color w:val="auto"/>
          <w:sz w:val="30"/>
          <w:szCs w:val="30"/>
          <w:highlight w:val="none"/>
        </w:rPr>
        <w:t>合同签订地：</w:t>
      </w:r>
      <w:r>
        <w:rPr>
          <w:rFonts w:hint="eastAsia" w:ascii="宋体" w:hAnsi="宋体"/>
          <w:color w:val="auto"/>
          <w:sz w:val="30"/>
          <w:szCs w:val="30"/>
          <w:highlight w:val="none"/>
          <w:u w:val="single"/>
        </w:rPr>
        <w:t xml:space="preserve"> 长沙市岳麓区 </w:t>
      </w:r>
      <w:r>
        <w:rPr>
          <w:rFonts w:hint="eastAsia" w:ascii="宋体" w:hAnsi="宋体"/>
          <w:color w:val="auto"/>
          <w:sz w:val="30"/>
          <w:szCs w:val="30"/>
          <w:highlight w:val="none"/>
        </w:rPr>
        <w:t xml:space="preserve">    合同编号：</w:t>
      </w:r>
      <w:r>
        <w:rPr>
          <w:rFonts w:hint="eastAsia" w:ascii="宋体" w:hAnsi="宋体"/>
          <w:color w:val="auto"/>
          <w:sz w:val="30"/>
          <w:szCs w:val="30"/>
          <w:highlight w:val="none"/>
          <w:u w:val="single"/>
        </w:rPr>
        <w:t xml:space="preserve">           </w:t>
      </w:r>
    </w:p>
    <w:p>
      <w:pPr>
        <w:adjustRightInd w:val="0"/>
        <w:snapToGrid w:val="0"/>
        <w:spacing w:before="156" w:beforeLines="50" w:after="156" w:afterLines="50" w:line="360" w:lineRule="auto"/>
        <w:rPr>
          <w:rFonts w:ascii="宋体"/>
          <w:b/>
          <w:color w:val="auto"/>
          <w:sz w:val="52"/>
          <w:szCs w:val="52"/>
          <w:highlight w:val="none"/>
        </w:rPr>
      </w:pPr>
      <w:r>
        <w:rPr>
          <w:rFonts w:ascii="宋体" w:hAnsi="宋体"/>
          <w:color w:val="auto"/>
          <w:highlight w:val="none"/>
        </w:rPr>
        <w:t xml:space="preserve"> </w:t>
      </w:r>
      <w:r>
        <w:rPr>
          <w:rFonts w:ascii="宋体" w:hAnsi="宋体"/>
          <w:b/>
          <w:color w:val="auto"/>
          <w:sz w:val="52"/>
          <w:szCs w:val="52"/>
          <w:highlight w:val="none"/>
        </w:rPr>
        <w:t xml:space="preserve"> </w:t>
      </w:r>
    </w:p>
    <w:p>
      <w:pPr>
        <w:adjustRightInd w:val="0"/>
        <w:snapToGrid w:val="0"/>
        <w:spacing w:before="156" w:beforeLines="50" w:after="156" w:afterLines="50" w:line="360" w:lineRule="auto"/>
        <w:rPr>
          <w:rFonts w:hint="eastAsia" w:ascii="宋体" w:hAnsi="宋体"/>
          <w:b/>
          <w:bCs/>
          <w:color w:val="auto"/>
          <w:sz w:val="52"/>
          <w:szCs w:val="52"/>
          <w:highlight w:val="none"/>
        </w:rPr>
      </w:pP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240" w:lineRule="auto"/>
        <w:jc w:val="center"/>
        <w:textAlignment w:val="auto"/>
        <w:rPr>
          <w:rFonts w:hint="eastAsia" w:ascii="黑体" w:hAnsi="黑体" w:eastAsia="黑体" w:cs="黑体"/>
          <w:b/>
          <w:bCs/>
          <w:color w:val="auto"/>
          <w:sz w:val="52"/>
          <w:szCs w:val="52"/>
          <w:highlight w:val="none"/>
        </w:rPr>
      </w:pPr>
      <w:r>
        <w:rPr>
          <w:rFonts w:hint="eastAsia" w:ascii="黑体" w:hAnsi="黑体" w:eastAsia="黑体" w:cs="黑体"/>
          <w:b/>
          <w:bCs/>
          <w:color w:val="auto"/>
          <w:sz w:val="52"/>
          <w:szCs w:val="52"/>
          <w:highlight w:val="none"/>
        </w:rPr>
        <w:t>保洁服务合同</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eastAsia="黑体"/>
          <w:color w:val="auto"/>
          <w:sz w:val="30"/>
          <w:szCs w:val="30"/>
          <w:highlight w:val="none"/>
          <w:lang w:eastAsia="zh-CN"/>
        </w:rPr>
      </w:pPr>
      <w:r>
        <w:rPr>
          <w:rFonts w:hint="eastAsia" w:ascii="黑体" w:hAnsi="黑体" w:eastAsia="黑体" w:cs="黑体"/>
          <w:b/>
          <w:bCs/>
          <w:color w:val="auto"/>
          <w:sz w:val="30"/>
          <w:szCs w:val="30"/>
          <w:highlight w:val="none"/>
          <w:lang w:eastAsia="zh-CN"/>
        </w:rPr>
        <w:t>（本合同仅供参考，最终以甲乙双方签订的合同为准）</w:t>
      </w:r>
    </w:p>
    <w:p>
      <w:pPr>
        <w:adjustRightInd w:val="0"/>
        <w:snapToGrid w:val="0"/>
        <w:spacing w:before="156" w:beforeLines="50" w:after="156" w:afterLines="50" w:line="360" w:lineRule="auto"/>
        <w:rPr>
          <w:rFonts w:ascii="宋体"/>
          <w:b/>
          <w:color w:val="auto"/>
          <w:sz w:val="30"/>
          <w:highlight w:val="none"/>
        </w:rPr>
      </w:pPr>
    </w:p>
    <w:p>
      <w:pPr>
        <w:adjustRightInd w:val="0"/>
        <w:snapToGrid w:val="0"/>
        <w:spacing w:before="156" w:beforeLines="50" w:after="156" w:afterLines="50" w:line="360" w:lineRule="auto"/>
        <w:rPr>
          <w:rFonts w:ascii="宋体"/>
          <w:b/>
          <w:color w:val="auto"/>
          <w:sz w:val="30"/>
          <w:highlight w:val="none"/>
        </w:rPr>
      </w:pPr>
    </w:p>
    <w:p>
      <w:pPr>
        <w:adjustRightInd w:val="0"/>
        <w:snapToGrid w:val="0"/>
        <w:spacing w:before="156" w:beforeLines="50" w:after="156" w:afterLines="50" w:line="360" w:lineRule="auto"/>
        <w:rPr>
          <w:rFonts w:ascii="宋体"/>
          <w:b/>
          <w:color w:val="auto"/>
          <w:sz w:val="30"/>
          <w:highlight w:val="none"/>
        </w:rPr>
      </w:pPr>
    </w:p>
    <w:p>
      <w:pPr>
        <w:adjustRightInd w:val="0"/>
        <w:snapToGrid w:val="0"/>
        <w:spacing w:before="156" w:beforeLines="50" w:after="156" w:afterLines="50" w:line="360" w:lineRule="auto"/>
        <w:jc w:val="center"/>
        <w:rPr>
          <w:rFonts w:ascii="宋体"/>
          <w:b/>
          <w:color w:val="auto"/>
          <w:sz w:val="30"/>
          <w:highlight w:val="none"/>
        </w:rPr>
      </w:pPr>
    </w:p>
    <w:p>
      <w:pPr>
        <w:adjustRightInd w:val="0"/>
        <w:snapToGrid w:val="0"/>
        <w:spacing w:before="156" w:beforeLines="50" w:after="156" w:afterLines="50" w:line="360" w:lineRule="auto"/>
        <w:ind w:firstLine="1807" w:firstLineChars="600"/>
        <w:rPr>
          <w:rFonts w:hint="eastAsia" w:ascii="宋体" w:hAnsi="宋体"/>
          <w:b/>
          <w:color w:val="auto"/>
          <w:sz w:val="30"/>
          <w:highlight w:val="none"/>
          <w:u w:val="single"/>
        </w:rPr>
      </w:pPr>
      <w:r>
        <w:rPr>
          <w:rFonts w:hint="eastAsia" w:ascii="宋体" w:hAnsi="宋体"/>
          <w:b/>
          <w:color w:val="auto"/>
          <w:sz w:val="30"/>
          <w:highlight w:val="none"/>
        </w:rPr>
        <w:t>项目名称:</w:t>
      </w:r>
      <w:r>
        <w:rPr>
          <w:rFonts w:hint="eastAsia" w:ascii="宋体" w:hAnsi="宋体"/>
          <w:b/>
          <w:color w:val="auto"/>
          <w:sz w:val="30"/>
          <w:highlight w:val="none"/>
          <w:u w:val="single"/>
        </w:rPr>
        <w:t xml:space="preserve">                      </w:t>
      </w:r>
    </w:p>
    <w:p>
      <w:pPr>
        <w:adjustRightInd w:val="0"/>
        <w:snapToGrid w:val="0"/>
        <w:spacing w:before="156" w:beforeLines="50" w:after="156" w:afterLines="50" w:line="360" w:lineRule="auto"/>
        <w:ind w:firstLine="1807" w:firstLineChars="600"/>
        <w:jc w:val="left"/>
        <w:rPr>
          <w:rFonts w:hint="eastAsia" w:ascii="宋体" w:hAnsi="宋体"/>
          <w:b/>
          <w:color w:val="auto"/>
          <w:sz w:val="30"/>
          <w:highlight w:val="none"/>
          <w:u w:val="single"/>
          <w:lang w:eastAsia="zh-CN"/>
        </w:rPr>
      </w:pPr>
      <w:r>
        <w:rPr>
          <w:rFonts w:ascii="宋体"/>
          <w:b/>
          <w:color w:val="auto"/>
          <w:sz w:val="30"/>
          <w:highlight w:val="none"/>
        </w:rPr>
        <w:t>项目地点</w:t>
      </w:r>
      <w:r>
        <w:rPr>
          <w:rFonts w:hint="eastAsia" w:ascii="宋体"/>
          <w:b/>
          <w:color w:val="auto"/>
          <w:sz w:val="30"/>
          <w:highlight w:val="none"/>
        </w:rPr>
        <w:t>:</w:t>
      </w:r>
      <w:r>
        <w:rPr>
          <w:rFonts w:hint="eastAsia" w:ascii="宋体" w:hAnsi="宋体"/>
          <w:b/>
          <w:color w:val="auto"/>
          <w:sz w:val="30"/>
          <w:highlight w:val="none"/>
          <w:u w:val="single"/>
          <w:lang w:eastAsia="zh-CN"/>
        </w:rPr>
        <w:t>湖南长沙市岳麓区学士路336号湖南省检验</w:t>
      </w:r>
    </w:p>
    <w:p>
      <w:pPr>
        <w:adjustRightInd w:val="0"/>
        <w:snapToGrid w:val="0"/>
        <w:spacing w:before="156" w:beforeLines="50" w:after="156" w:afterLines="50" w:line="360" w:lineRule="auto"/>
        <w:ind w:firstLine="3313" w:firstLineChars="1100"/>
        <w:jc w:val="left"/>
        <w:rPr>
          <w:rFonts w:hint="eastAsia" w:ascii="宋体" w:hAnsi="宋体"/>
          <w:color w:val="auto"/>
          <w:sz w:val="48"/>
          <w:szCs w:val="48"/>
          <w:highlight w:val="none"/>
        </w:rPr>
      </w:pPr>
      <w:r>
        <w:rPr>
          <w:rFonts w:hint="eastAsia" w:ascii="宋体" w:hAnsi="宋体"/>
          <w:b/>
          <w:color w:val="auto"/>
          <w:sz w:val="30"/>
          <w:highlight w:val="none"/>
          <w:u w:val="single"/>
          <w:lang w:eastAsia="zh-CN"/>
        </w:rPr>
        <w:t>检测特色产业园A1栋23楼</w:t>
      </w:r>
    </w:p>
    <w:p>
      <w:pPr>
        <w:adjustRightInd w:val="0"/>
        <w:snapToGrid w:val="0"/>
        <w:spacing w:before="156" w:beforeLines="50" w:after="156" w:afterLines="50" w:line="360" w:lineRule="auto"/>
        <w:rPr>
          <w:rFonts w:ascii="宋体" w:hAnsi="宋体"/>
          <w:color w:val="auto"/>
          <w:sz w:val="48"/>
          <w:szCs w:val="48"/>
          <w:highlight w:val="none"/>
        </w:rPr>
      </w:pPr>
    </w:p>
    <w:p>
      <w:pPr>
        <w:adjustRightInd w:val="0"/>
        <w:snapToGrid w:val="0"/>
        <w:spacing w:before="156" w:beforeLines="50" w:after="156" w:afterLines="50" w:line="360" w:lineRule="auto"/>
        <w:jc w:val="center"/>
        <w:rPr>
          <w:rFonts w:ascii="宋体" w:hAnsi="宋体" w:cs="宋体"/>
          <w:color w:val="auto"/>
          <w:szCs w:val="28"/>
          <w:highlight w:val="none"/>
        </w:rPr>
      </w:pPr>
      <w:r>
        <w:rPr>
          <w:rFonts w:hint="eastAsia" w:ascii="宋体" w:hAnsi="宋体" w:cs="宋体"/>
          <w:color w:val="auto"/>
          <w:szCs w:val="28"/>
          <w:highlight w:val="none"/>
        </w:rPr>
        <w:t>20</w:t>
      </w:r>
      <w:r>
        <w:rPr>
          <w:rFonts w:hint="eastAsia" w:ascii="宋体" w:hAnsi="宋体" w:cs="宋体"/>
          <w:color w:val="auto"/>
          <w:szCs w:val="28"/>
          <w:highlight w:val="none"/>
          <w:u w:val="single"/>
        </w:rPr>
        <w:t xml:space="preserve">   </w:t>
      </w:r>
      <w:r>
        <w:rPr>
          <w:rFonts w:hint="eastAsia" w:ascii="宋体" w:hAnsi="宋体" w:cs="宋体"/>
          <w:color w:val="auto"/>
          <w:szCs w:val="28"/>
          <w:highlight w:val="none"/>
        </w:rPr>
        <w:t>年</w:t>
      </w:r>
      <w:r>
        <w:rPr>
          <w:rFonts w:hint="eastAsia" w:ascii="宋体" w:hAnsi="宋体" w:cs="宋体"/>
          <w:color w:val="auto"/>
          <w:szCs w:val="28"/>
          <w:highlight w:val="none"/>
          <w:u w:val="single"/>
        </w:rPr>
        <w:t xml:space="preserve">   </w:t>
      </w:r>
      <w:r>
        <w:rPr>
          <w:rFonts w:hint="eastAsia" w:ascii="宋体" w:hAnsi="宋体" w:cs="宋体"/>
          <w:color w:val="auto"/>
          <w:szCs w:val="28"/>
          <w:highlight w:val="none"/>
        </w:rPr>
        <w:t>月</w:t>
      </w:r>
      <w:r>
        <w:rPr>
          <w:rFonts w:hint="eastAsia" w:ascii="宋体" w:hAnsi="宋体" w:cs="宋体"/>
          <w:color w:val="auto"/>
          <w:szCs w:val="28"/>
          <w:highlight w:val="none"/>
          <w:u w:val="single"/>
        </w:rPr>
        <w:t xml:space="preserve">   </w:t>
      </w:r>
      <w:r>
        <w:rPr>
          <w:rFonts w:hint="eastAsia" w:ascii="宋体" w:hAnsi="宋体" w:cs="宋体"/>
          <w:color w:val="auto"/>
          <w:szCs w:val="28"/>
          <w:highlight w:val="none"/>
        </w:rPr>
        <w:t>日</w:t>
      </w:r>
    </w:p>
    <w:p>
      <w:pPr>
        <w:adjustRightInd w:val="0"/>
        <w:snapToGrid w:val="0"/>
        <w:spacing w:before="156" w:beforeLines="50" w:after="156" w:afterLines="50" w:line="360" w:lineRule="auto"/>
        <w:rPr>
          <w:rFonts w:ascii="宋体" w:hAnsi="宋体" w:cs="宋体"/>
          <w:color w:val="auto"/>
          <w:szCs w:val="28"/>
          <w:highlight w:val="none"/>
        </w:rPr>
      </w:pPr>
    </w:p>
    <w:p>
      <w:pPr>
        <w:pStyle w:val="5"/>
        <w:adjustRightInd w:val="0"/>
        <w:snapToGrid w:val="0"/>
        <w:rPr>
          <w:color w:val="auto"/>
          <w:spacing w:val="11"/>
          <w:highlight w:val="none"/>
        </w:rPr>
      </w:pPr>
      <w:r>
        <w:rPr>
          <w:color w:val="auto"/>
          <w:spacing w:val="11"/>
          <w:highlight w:val="none"/>
        </w:rPr>
        <w:br w:type="page"/>
      </w:r>
      <w:r>
        <w:rPr>
          <w:rFonts w:hint="eastAsia"/>
          <w:color w:val="auto"/>
          <w:spacing w:val="11"/>
          <w:highlight w:val="none"/>
        </w:rPr>
        <w:t>保洁服务合同</w:t>
      </w:r>
    </w:p>
    <w:p>
      <w:pPr>
        <w:keepNext/>
        <w:keepLines/>
        <w:widowControl/>
        <w:adjustRightInd w:val="0"/>
        <w:snapToGrid w:val="0"/>
        <w:spacing w:line="360" w:lineRule="auto"/>
        <w:ind w:firstLine="604" w:firstLineChars="200"/>
        <w:rPr>
          <w:bCs/>
          <w:color w:val="auto"/>
          <w:spacing w:val="11"/>
          <w:highlight w:val="none"/>
        </w:rPr>
      </w:pPr>
    </w:p>
    <w:p>
      <w:pPr>
        <w:spacing w:line="520" w:lineRule="exact"/>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委托人（甲方）：</w:t>
      </w:r>
      <w:r>
        <w:rPr>
          <w:rFonts w:hint="eastAsia" w:asciiTheme="minorEastAsia" w:hAnsiTheme="minorEastAsia" w:eastAsiaTheme="minorEastAsia" w:cstheme="minorEastAsia"/>
          <w:color w:val="auto"/>
          <w:kern w:val="0"/>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rPr>
        <w:t xml:space="preserve">    </w:t>
      </w:r>
    </w:p>
    <w:p>
      <w:pPr>
        <w:spacing w:line="520" w:lineRule="exact"/>
        <w:ind w:firstLine="420" w:firstLineChars="200"/>
        <w:jc w:val="left"/>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地址：</w:t>
      </w:r>
      <w:r>
        <w:rPr>
          <w:rFonts w:hint="eastAsia" w:asciiTheme="minorEastAsia" w:hAnsiTheme="minorEastAsia" w:eastAsiaTheme="minorEastAsia" w:cstheme="minorEastAsia"/>
          <w:color w:val="auto"/>
          <w:kern w:val="0"/>
          <w:sz w:val="21"/>
          <w:szCs w:val="21"/>
          <w:highlight w:val="none"/>
          <w:u w:val="single"/>
        </w:rPr>
        <w:t xml:space="preserve">                                        </w:t>
      </w:r>
    </w:p>
    <w:p>
      <w:pPr>
        <w:spacing w:line="520" w:lineRule="exact"/>
        <w:ind w:firstLine="420" w:firstLineChars="200"/>
        <w:jc w:val="left"/>
        <w:rPr>
          <w:rFonts w:hint="eastAsia" w:asciiTheme="minorEastAsia" w:hAnsiTheme="minorEastAsia" w:eastAsiaTheme="minorEastAsia" w:cstheme="minorEastAsia"/>
          <w:color w:val="auto"/>
          <w:kern w:val="0"/>
          <w:sz w:val="21"/>
          <w:szCs w:val="21"/>
          <w:highlight w:val="none"/>
          <w:u w:val="single"/>
        </w:rPr>
      </w:pPr>
      <w:r>
        <w:rPr>
          <w:rFonts w:hint="eastAsia" w:asciiTheme="minorEastAsia" w:hAnsiTheme="minorEastAsia" w:eastAsiaTheme="minorEastAsia" w:cstheme="minorEastAsia"/>
          <w:color w:val="auto"/>
          <w:kern w:val="0"/>
          <w:sz w:val="21"/>
          <w:szCs w:val="21"/>
          <w:highlight w:val="none"/>
        </w:rPr>
        <w:t xml:space="preserve">联系电话： </w:t>
      </w:r>
      <w:r>
        <w:rPr>
          <w:rFonts w:hint="eastAsia" w:asciiTheme="minorEastAsia" w:hAnsiTheme="minorEastAsia" w:eastAsiaTheme="minorEastAsia" w:cstheme="minorEastAsia"/>
          <w:color w:val="auto"/>
          <w:kern w:val="0"/>
          <w:sz w:val="21"/>
          <w:szCs w:val="21"/>
          <w:highlight w:val="none"/>
          <w:u w:val="single"/>
        </w:rPr>
        <w:t xml:space="preserve">                                 </w:t>
      </w:r>
    </w:p>
    <w:p>
      <w:pPr>
        <w:spacing w:line="520" w:lineRule="exact"/>
        <w:ind w:firstLine="420" w:firstLineChars="200"/>
        <w:jc w:val="left"/>
        <w:rPr>
          <w:rFonts w:hint="eastAsia" w:asciiTheme="minorEastAsia" w:hAnsiTheme="minorEastAsia" w:eastAsiaTheme="minorEastAsia" w:cstheme="minorEastAsia"/>
          <w:color w:val="auto"/>
          <w:kern w:val="0"/>
          <w:sz w:val="21"/>
          <w:szCs w:val="21"/>
          <w:highlight w:val="none"/>
          <w:u w:val="single"/>
        </w:rPr>
      </w:pPr>
      <w:r>
        <w:rPr>
          <w:rFonts w:hint="eastAsia" w:asciiTheme="minorEastAsia" w:hAnsiTheme="minorEastAsia" w:eastAsiaTheme="minorEastAsia" w:cstheme="minorEastAsia"/>
          <w:color w:val="auto"/>
          <w:kern w:val="0"/>
          <w:sz w:val="21"/>
          <w:szCs w:val="21"/>
          <w:highlight w:val="none"/>
        </w:rPr>
        <w:t>法定代表人：</w:t>
      </w:r>
      <w:r>
        <w:rPr>
          <w:rFonts w:hint="eastAsia" w:asciiTheme="minorEastAsia" w:hAnsiTheme="minorEastAsia" w:eastAsiaTheme="minorEastAsia" w:cstheme="minorEastAsia"/>
          <w:color w:val="auto"/>
          <w:kern w:val="0"/>
          <w:sz w:val="21"/>
          <w:szCs w:val="21"/>
          <w:highlight w:val="none"/>
          <w:u w:val="single"/>
        </w:rPr>
        <w:t xml:space="preserve">                           </w:t>
      </w:r>
    </w:p>
    <w:p>
      <w:pPr>
        <w:keepNext/>
        <w:keepLines/>
        <w:widowControl/>
        <w:adjustRightInd w:val="0"/>
        <w:snapToGrid w:val="0"/>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u w:val="single"/>
        </w:rPr>
      </w:pPr>
      <w:r>
        <w:rPr>
          <w:rFonts w:hint="eastAsia" w:asciiTheme="minorEastAsia" w:hAnsiTheme="minorEastAsia" w:eastAsiaTheme="minorEastAsia" w:cstheme="minorEastAsia"/>
          <w:bCs/>
          <w:color w:val="auto"/>
          <w:spacing w:val="11"/>
          <w:sz w:val="21"/>
          <w:szCs w:val="21"/>
          <w:highlight w:val="none"/>
        </w:rPr>
        <w:t>乙方(受托人)：</w:t>
      </w:r>
      <w:r>
        <w:rPr>
          <w:rFonts w:hint="eastAsia" w:asciiTheme="minorEastAsia" w:hAnsiTheme="minorEastAsia" w:eastAsiaTheme="minorEastAsia" w:cstheme="minorEastAsia"/>
          <w:bCs/>
          <w:color w:val="auto"/>
          <w:spacing w:val="11"/>
          <w:sz w:val="21"/>
          <w:szCs w:val="21"/>
          <w:highlight w:val="none"/>
          <w:u w:val="single"/>
        </w:rPr>
        <w:t xml:space="preserve">                              </w:t>
      </w:r>
    </w:p>
    <w:p>
      <w:pPr>
        <w:keepNext/>
        <w:keepLines/>
        <w:widowControl/>
        <w:adjustRightInd w:val="0"/>
        <w:snapToGrid w:val="0"/>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u w:val="single"/>
        </w:rPr>
      </w:pPr>
      <w:r>
        <w:rPr>
          <w:rFonts w:hint="eastAsia" w:asciiTheme="minorEastAsia" w:hAnsiTheme="minorEastAsia" w:eastAsiaTheme="minorEastAsia" w:cstheme="minorEastAsia"/>
          <w:bCs/>
          <w:color w:val="auto"/>
          <w:spacing w:val="11"/>
          <w:sz w:val="21"/>
          <w:szCs w:val="21"/>
          <w:highlight w:val="none"/>
        </w:rPr>
        <w:t>公司地址：</w:t>
      </w:r>
      <w:r>
        <w:rPr>
          <w:rFonts w:hint="eastAsia" w:asciiTheme="minorEastAsia" w:hAnsiTheme="minorEastAsia" w:eastAsiaTheme="minorEastAsia" w:cstheme="minorEastAsia"/>
          <w:bCs/>
          <w:color w:val="auto"/>
          <w:spacing w:val="11"/>
          <w:sz w:val="21"/>
          <w:szCs w:val="21"/>
          <w:highlight w:val="none"/>
          <w:u w:val="single"/>
        </w:rPr>
        <w:t xml:space="preserve">                               </w:t>
      </w:r>
    </w:p>
    <w:p>
      <w:pPr>
        <w:keepNext/>
        <w:keepLines/>
        <w:widowControl/>
        <w:adjustRightInd w:val="0"/>
        <w:snapToGrid w:val="0"/>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联系电话：</w:t>
      </w:r>
      <w:r>
        <w:rPr>
          <w:rFonts w:hint="eastAsia" w:asciiTheme="minorEastAsia" w:hAnsiTheme="minorEastAsia" w:eastAsiaTheme="minorEastAsia" w:cstheme="minorEastAsia"/>
          <w:bCs/>
          <w:color w:val="auto"/>
          <w:spacing w:val="11"/>
          <w:sz w:val="21"/>
          <w:szCs w:val="21"/>
          <w:highlight w:val="none"/>
          <w:u w:val="single"/>
        </w:rPr>
        <w:t xml:space="preserve">                                 </w:t>
      </w:r>
    </w:p>
    <w:p>
      <w:pPr>
        <w:keepNext/>
        <w:keepLines/>
        <w:widowControl/>
        <w:adjustRightInd w:val="0"/>
        <w:snapToGrid w:val="0"/>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u w:val="single"/>
        </w:rPr>
      </w:pPr>
      <w:r>
        <w:rPr>
          <w:rFonts w:hint="eastAsia" w:asciiTheme="minorEastAsia" w:hAnsiTheme="minorEastAsia" w:eastAsiaTheme="minorEastAsia" w:cstheme="minorEastAsia"/>
          <w:bCs/>
          <w:color w:val="auto"/>
          <w:spacing w:val="11"/>
          <w:sz w:val="21"/>
          <w:szCs w:val="21"/>
          <w:highlight w:val="none"/>
        </w:rPr>
        <w:t>法定代表人：</w:t>
      </w:r>
      <w:r>
        <w:rPr>
          <w:rFonts w:hint="eastAsia" w:asciiTheme="minorEastAsia" w:hAnsiTheme="minorEastAsia" w:eastAsiaTheme="minorEastAsia" w:cstheme="minorEastAsia"/>
          <w:bCs/>
          <w:color w:val="auto"/>
          <w:spacing w:val="11"/>
          <w:sz w:val="21"/>
          <w:szCs w:val="21"/>
          <w:highlight w:val="none"/>
          <w:u w:val="single"/>
        </w:rPr>
        <w:t xml:space="preserve">                     </w:t>
      </w:r>
    </w:p>
    <w:p>
      <w:pPr>
        <w:keepNext/>
        <w:keepLines/>
        <w:widowControl/>
        <w:adjustRightInd w:val="0"/>
        <w:snapToGrid w:val="0"/>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 xml:space="preserve">本合同经双方友好协商，本着平等互利、双方自愿的原则，就乙方向甲方提供日常保洁服务，协商如下： </w:t>
      </w:r>
    </w:p>
    <w:p>
      <w:pPr>
        <w:keepNext/>
        <w:keepLines/>
        <w:widowControl/>
        <w:adjustRightInd w:val="0"/>
        <w:snapToGrid w:val="0"/>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第一条 服务项目</w:t>
      </w:r>
    </w:p>
    <w:p>
      <w:pPr>
        <w:adjustRightInd w:val="0"/>
        <w:snapToGrid w:val="0"/>
        <w:spacing w:line="360" w:lineRule="auto"/>
        <w:ind w:firstLine="420" w:firstLineChars="200"/>
        <w:rPr>
          <w:rFonts w:hint="eastAsia" w:asciiTheme="minorEastAsia" w:hAnsiTheme="minorEastAsia" w:eastAsiaTheme="minorEastAsia" w:cstheme="minorEastAsia"/>
          <w:b/>
          <w:bCs/>
          <w:color w:val="auto"/>
          <w:sz w:val="21"/>
          <w:szCs w:val="21"/>
          <w:highlight w:val="none"/>
        </w:rPr>
      </w:pPr>
      <w:r>
        <w:rPr>
          <w:rFonts w:hint="eastAsia" w:asciiTheme="minorEastAsia" w:hAnsiTheme="minorEastAsia" w:eastAsiaTheme="minorEastAsia" w:cstheme="minorEastAsia"/>
          <w:color w:val="auto"/>
          <w:sz w:val="21"/>
          <w:szCs w:val="21"/>
          <w:highlight w:val="none"/>
        </w:rPr>
        <w:t>名    称：</w:t>
      </w:r>
      <w:r>
        <w:rPr>
          <w:rFonts w:hint="eastAsia" w:asciiTheme="minorEastAsia" w:hAnsiTheme="minorEastAsia" w:eastAsiaTheme="minorEastAsia" w:cstheme="minorEastAsia"/>
          <w:color w:val="auto"/>
          <w:kern w:val="0"/>
          <w:sz w:val="21"/>
          <w:szCs w:val="21"/>
          <w:highlight w:val="none"/>
          <w:u w:val="single"/>
        </w:rPr>
        <w:t xml:space="preserve">                                           </w:t>
      </w:r>
    </w:p>
    <w:p>
      <w:pPr>
        <w:adjustRightInd w:val="0"/>
        <w:snapToGrid w:val="0"/>
        <w:spacing w:line="360" w:lineRule="auto"/>
        <w:ind w:firstLine="420" w:firstLineChars="200"/>
        <w:rPr>
          <w:rFonts w:hint="eastAsia" w:asciiTheme="minorEastAsia" w:hAnsiTheme="minorEastAsia" w:eastAsiaTheme="minorEastAsia" w:cstheme="minorEastAsia"/>
          <w:color w:val="auto"/>
          <w:kern w:val="0"/>
          <w:sz w:val="21"/>
          <w:szCs w:val="21"/>
          <w:highlight w:val="none"/>
          <w:u w:val="single"/>
        </w:rPr>
      </w:pPr>
      <w:r>
        <w:rPr>
          <w:rFonts w:hint="eastAsia" w:asciiTheme="minorEastAsia" w:hAnsiTheme="minorEastAsia" w:eastAsiaTheme="minorEastAsia" w:cstheme="minorEastAsia"/>
          <w:color w:val="auto"/>
          <w:kern w:val="0"/>
          <w:sz w:val="21"/>
          <w:szCs w:val="21"/>
          <w:highlight w:val="none"/>
        </w:rPr>
        <w:t>项目类别：</w:t>
      </w:r>
      <w:r>
        <w:rPr>
          <w:rFonts w:hint="eastAsia" w:asciiTheme="minorEastAsia" w:hAnsiTheme="minorEastAsia" w:eastAsiaTheme="minorEastAsia" w:cstheme="minorEastAsia"/>
          <w:color w:val="auto"/>
          <w:kern w:val="0"/>
          <w:sz w:val="21"/>
          <w:szCs w:val="21"/>
          <w:highlight w:val="none"/>
          <w:u w:val="single"/>
        </w:rPr>
        <w:t xml:space="preserve">                                            </w:t>
      </w:r>
    </w:p>
    <w:p>
      <w:pPr>
        <w:adjustRightInd w:val="0"/>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坐落位置：</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u w:val="single"/>
        </w:rPr>
        <w:t xml:space="preserve">                                   </w:t>
      </w:r>
    </w:p>
    <w:p>
      <w:pPr>
        <w:adjustRightInd w:val="0"/>
        <w:snapToGrid w:val="0"/>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占地面积：</w:t>
      </w:r>
      <w:r>
        <w:rPr>
          <w:rFonts w:hint="eastAsia" w:asciiTheme="minorEastAsia" w:hAnsiTheme="minorEastAsia" w:eastAsiaTheme="minorEastAsia" w:cstheme="minorEastAsia"/>
          <w:color w:val="auto"/>
          <w:kern w:val="0"/>
          <w:sz w:val="21"/>
          <w:szCs w:val="21"/>
          <w:highlight w:val="none"/>
          <w:u w:val="single"/>
        </w:rPr>
        <w:t xml:space="preserve">                                   </w:t>
      </w:r>
    </w:p>
    <w:p>
      <w:pPr>
        <w:numPr>
          <w:ilvl w:val="0"/>
          <w:numId w:val="2"/>
        </w:numPr>
        <w:spacing w:line="360" w:lineRule="auto"/>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保洁服务内容</w:t>
      </w:r>
    </w:p>
    <w:p>
      <w:pPr>
        <w:widowControl/>
        <w:spacing w:line="360" w:lineRule="auto"/>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1.机关办公楼项目规划红线范围内所有的日常保洁服务，具体包括</w:t>
      </w:r>
      <w:r>
        <w:rPr>
          <w:rFonts w:hint="eastAsia" w:asciiTheme="minorEastAsia" w:hAnsiTheme="minorEastAsia" w:eastAsiaTheme="minorEastAsia" w:cstheme="minorEastAsia"/>
          <w:bCs/>
          <w:color w:val="auto"/>
          <w:spacing w:val="11"/>
          <w:sz w:val="21"/>
          <w:szCs w:val="21"/>
          <w:highlight w:val="none"/>
          <w:u w:val="single"/>
        </w:rPr>
        <w:t>园区道路、配套建筑、及楼宇办公区、会议室、大堂、茶水间、楼层公共区域、地下车库及所有外围广场、公共洗手间、天台、天沟、公共设备设施及绿化带的清洁卫生，垃圾的收集、清运，排水沟、雨水井疏通清理等</w:t>
      </w:r>
      <w:r>
        <w:rPr>
          <w:rFonts w:hint="eastAsia" w:asciiTheme="minorEastAsia" w:hAnsiTheme="minorEastAsia" w:eastAsiaTheme="minorEastAsia" w:cstheme="minorEastAsia"/>
          <w:bCs/>
          <w:color w:val="auto"/>
          <w:spacing w:val="11"/>
          <w:sz w:val="21"/>
          <w:szCs w:val="21"/>
          <w:highlight w:val="none"/>
        </w:rPr>
        <w:t>。</w:t>
      </w:r>
    </w:p>
    <w:p>
      <w:pPr>
        <w:keepNext/>
        <w:keepLines/>
        <w:widowControl/>
        <w:adjustRightInd w:val="0"/>
        <w:snapToGrid w:val="0"/>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2.重大接待参观等活动及临时紧急保洁服务。</w:t>
      </w:r>
    </w:p>
    <w:p>
      <w:pPr>
        <w:keepNext/>
        <w:keepLines/>
        <w:widowControl/>
        <w:adjustRightInd w:val="0"/>
        <w:snapToGrid w:val="0"/>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第三条  人员配置</w:t>
      </w:r>
    </w:p>
    <w:p>
      <w:pPr>
        <w:wordWrap w:val="0"/>
        <w:adjustRightInd w:val="0"/>
        <w:snapToGrid w:val="0"/>
        <w:spacing w:line="560" w:lineRule="exact"/>
        <w:ind w:left="629" w:leftChars="187" w:hanging="105" w:hangingChars="5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color w:val="auto"/>
          <w:sz w:val="21"/>
          <w:szCs w:val="21"/>
          <w:highlight w:val="none"/>
        </w:rPr>
        <w:t>乙方按照甲方要求和岗位设置，暂定派驻现场保洁服务人数</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人，其中包括管理人员</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人。乙方指定保洁服务项目负责人：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，联系方式：</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，管理人员同时提供保洁服务，服务费用与其他保洁人员相同。根据项目实际情况，届时需增加或减少现场保洁服务人数以甲方实际书面通知为准。</w:t>
      </w:r>
    </w:p>
    <w:p>
      <w:pPr>
        <w:keepNext/>
        <w:keepLines/>
        <w:widowControl/>
        <w:adjustRightInd w:val="0"/>
        <w:snapToGrid w:val="0"/>
        <w:spacing w:line="520" w:lineRule="exact"/>
        <w:ind w:firstLine="464"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pacing w:val="11"/>
          <w:sz w:val="21"/>
          <w:szCs w:val="21"/>
          <w:highlight w:val="none"/>
        </w:rPr>
        <w:t>第四条  考核标准</w:t>
      </w:r>
    </w:p>
    <w:p>
      <w:pPr>
        <w:spacing w:line="52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1.甲方对乙方执行百分制月度考核标准，考评总分为</w:t>
      </w:r>
      <w:r>
        <w:rPr>
          <w:rFonts w:hint="eastAsia" w:asciiTheme="minorEastAsia" w:hAnsiTheme="minorEastAsia" w:eastAsiaTheme="minorEastAsia" w:cstheme="minorEastAsia"/>
          <w:color w:val="auto"/>
          <w:sz w:val="21"/>
          <w:szCs w:val="21"/>
          <w:highlight w:val="none"/>
          <w:u w:val="single"/>
        </w:rPr>
        <w:t>100</w:t>
      </w:r>
      <w:r>
        <w:rPr>
          <w:rFonts w:hint="eastAsia" w:asciiTheme="minorEastAsia" w:hAnsiTheme="minorEastAsia" w:eastAsiaTheme="minorEastAsia" w:cstheme="minorEastAsia"/>
          <w:color w:val="auto"/>
          <w:sz w:val="21"/>
          <w:szCs w:val="21"/>
          <w:highlight w:val="none"/>
        </w:rPr>
        <w:t>分。月度考核结果为合同月度付款依据。</w:t>
      </w:r>
    </w:p>
    <w:p>
      <w:pPr>
        <w:spacing w:line="52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2.甲方对乙方月度考核标准详见附件一：外包服务合同服务质量及人员考核标准（保洁类）。</w:t>
      </w:r>
    </w:p>
    <w:p>
      <w:pPr>
        <w:spacing w:line="52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3.甲方对乙方的考核实行日、周、月检查相结合方式进行考核，标准依据甲方《</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保洁工作考核标准》（见附件二）执行，日、周、月检查根据标准进行累计扣分并每月统计，作为月度考核的依据；周、月检查由甲方现场管理人员参加。</w:t>
      </w:r>
    </w:p>
    <w:p>
      <w:pPr>
        <w:spacing w:line="520" w:lineRule="exact"/>
        <w:ind w:firstLine="420"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color w:val="auto"/>
          <w:sz w:val="21"/>
          <w:szCs w:val="21"/>
          <w:highlight w:val="none"/>
        </w:rPr>
        <w:t>4.乙方信赖甲方的考核评价工作，同意无条件接受甲方的最终考评结果。</w:t>
      </w:r>
      <w:r>
        <w:rPr>
          <w:rFonts w:hint="eastAsia" w:asciiTheme="minorEastAsia" w:hAnsiTheme="minorEastAsia" w:eastAsiaTheme="minorEastAsia" w:cstheme="minorEastAsia"/>
          <w:bCs/>
          <w:color w:val="auto"/>
          <w:spacing w:val="11"/>
          <w:sz w:val="21"/>
          <w:szCs w:val="21"/>
          <w:highlight w:val="none"/>
        </w:rPr>
        <w:t>　</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5.保洁人员每月工作天数为26天，每日工作时间为8小时，应接待等特殊情况需增加工作时长的，乙方应予以配合并不再加收额外费用。</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第五条　合同履行期限 　　</w:t>
      </w:r>
    </w:p>
    <w:p>
      <w:pPr>
        <w:keepNext/>
        <w:keepLines/>
        <w:widowControl/>
        <w:adjustRightInd w:val="0"/>
        <w:snapToGrid w:val="0"/>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本合同有效期限为</w:t>
      </w:r>
      <w:r>
        <w:rPr>
          <w:rFonts w:hint="eastAsia" w:asciiTheme="minorEastAsia" w:hAnsiTheme="minorEastAsia" w:eastAsiaTheme="minorEastAsia" w:cstheme="minorEastAsia"/>
          <w:bCs/>
          <w:color w:val="auto"/>
          <w:spacing w:val="11"/>
          <w:sz w:val="21"/>
          <w:szCs w:val="21"/>
          <w:highlight w:val="none"/>
          <w:u w:val="single"/>
        </w:rPr>
        <w:t xml:space="preserve"> 壹 </w:t>
      </w:r>
      <w:r>
        <w:rPr>
          <w:rFonts w:hint="eastAsia" w:asciiTheme="minorEastAsia" w:hAnsiTheme="minorEastAsia" w:eastAsiaTheme="minorEastAsia" w:cstheme="minorEastAsia"/>
          <w:bCs/>
          <w:color w:val="auto"/>
          <w:spacing w:val="11"/>
          <w:sz w:val="21"/>
          <w:szCs w:val="21"/>
          <w:highlight w:val="none"/>
        </w:rPr>
        <w:t>年，从</w:t>
      </w:r>
      <w:r>
        <w:rPr>
          <w:rFonts w:hint="eastAsia" w:asciiTheme="minorEastAsia" w:hAnsiTheme="minorEastAsia" w:eastAsiaTheme="minorEastAsia" w:cstheme="minorEastAsia"/>
          <w:bCs/>
          <w:color w:val="auto"/>
          <w:spacing w:val="11"/>
          <w:sz w:val="21"/>
          <w:szCs w:val="21"/>
          <w:highlight w:val="none"/>
          <w:u w:val="single"/>
        </w:rPr>
        <w:t xml:space="preserve">      </w:t>
      </w:r>
      <w:r>
        <w:rPr>
          <w:rFonts w:hint="eastAsia" w:asciiTheme="minorEastAsia" w:hAnsiTheme="minorEastAsia" w:eastAsiaTheme="minorEastAsia" w:cstheme="minorEastAsia"/>
          <w:bCs/>
          <w:color w:val="auto"/>
          <w:spacing w:val="11"/>
          <w:sz w:val="21"/>
          <w:szCs w:val="21"/>
          <w:highlight w:val="none"/>
        </w:rPr>
        <w:t>年</w:t>
      </w:r>
      <w:r>
        <w:rPr>
          <w:rFonts w:hint="eastAsia" w:asciiTheme="minorEastAsia" w:hAnsiTheme="minorEastAsia" w:eastAsiaTheme="minorEastAsia" w:cstheme="minorEastAsia"/>
          <w:bCs/>
          <w:color w:val="auto"/>
          <w:spacing w:val="11"/>
          <w:sz w:val="21"/>
          <w:szCs w:val="21"/>
          <w:highlight w:val="none"/>
          <w:u w:val="single"/>
        </w:rPr>
        <w:t xml:space="preserve">      </w:t>
      </w:r>
      <w:r>
        <w:rPr>
          <w:rFonts w:hint="eastAsia" w:asciiTheme="minorEastAsia" w:hAnsiTheme="minorEastAsia" w:eastAsiaTheme="minorEastAsia" w:cstheme="minorEastAsia"/>
          <w:bCs/>
          <w:color w:val="auto"/>
          <w:spacing w:val="11"/>
          <w:sz w:val="21"/>
          <w:szCs w:val="21"/>
          <w:highlight w:val="none"/>
        </w:rPr>
        <w:t>月</w:t>
      </w:r>
      <w:r>
        <w:rPr>
          <w:rFonts w:hint="eastAsia" w:asciiTheme="minorEastAsia" w:hAnsiTheme="minorEastAsia" w:eastAsiaTheme="minorEastAsia" w:cstheme="minorEastAsia"/>
          <w:bCs/>
          <w:color w:val="auto"/>
          <w:spacing w:val="11"/>
          <w:sz w:val="21"/>
          <w:szCs w:val="21"/>
          <w:highlight w:val="none"/>
          <w:u w:val="single"/>
        </w:rPr>
        <w:t xml:space="preserve">     </w:t>
      </w:r>
      <w:r>
        <w:rPr>
          <w:rFonts w:hint="eastAsia" w:asciiTheme="minorEastAsia" w:hAnsiTheme="minorEastAsia" w:eastAsiaTheme="minorEastAsia" w:cstheme="minorEastAsia"/>
          <w:bCs/>
          <w:color w:val="auto"/>
          <w:spacing w:val="11"/>
          <w:sz w:val="21"/>
          <w:szCs w:val="21"/>
          <w:highlight w:val="none"/>
        </w:rPr>
        <w:t>日起至</w:t>
      </w:r>
    </w:p>
    <w:p>
      <w:pPr>
        <w:keepNext/>
        <w:keepLines/>
        <w:widowControl/>
        <w:adjustRightInd w:val="0"/>
        <w:snapToGrid w:val="0"/>
        <w:spacing w:line="520" w:lineRule="exac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u w:val="single"/>
        </w:rPr>
        <w:t xml:space="preserve">       </w:t>
      </w:r>
      <w:r>
        <w:rPr>
          <w:rFonts w:hint="eastAsia" w:asciiTheme="minorEastAsia" w:hAnsiTheme="minorEastAsia" w:eastAsiaTheme="minorEastAsia" w:cstheme="minorEastAsia"/>
          <w:bCs/>
          <w:color w:val="auto"/>
          <w:spacing w:val="11"/>
          <w:sz w:val="21"/>
          <w:szCs w:val="21"/>
          <w:highlight w:val="none"/>
        </w:rPr>
        <w:t>年</w:t>
      </w:r>
      <w:r>
        <w:rPr>
          <w:rFonts w:hint="eastAsia" w:asciiTheme="minorEastAsia" w:hAnsiTheme="minorEastAsia" w:eastAsiaTheme="minorEastAsia" w:cstheme="minorEastAsia"/>
          <w:bCs/>
          <w:color w:val="auto"/>
          <w:spacing w:val="11"/>
          <w:sz w:val="21"/>
          <w:szCs w:val="21"/>
          <w:highlight w:val="none"/>
          <w:u w:val="single"/>
        </w:rPr>
        <w:t xml:space="preserve">    </w:t>
      </w:r>
      <w:r>
        <w:rPr>
          <w:rFonts w:hint="eastAsia" w:asciiTheme="minorEastAsia" w:hAnsiTheme="minorEastAsia" w:eastAsiaTheme="minorEastAsia" w:cstheme="minorEastAsia"/>
          <w:bCs/>
          <w:color w:val="auto"/>
          <w:spacing w:val="11"/>
          <w:sz w:val="21"/>
          <w:szCs w:val="21"/>
          <w:highlight w:val="none"/>
        </w:rPr>
        <w:t>月</w:t>
      </w:r>
      <w:r>
        <w:rPr>
          <w:rFonts w:hint="eastAsia" w:asciiTheme="minorEastAsia" w:hAnsiTheme="minorEastAsia" w:eastAsiaTheme="minorEastAsia" w:cstheme="minorEastAsia"/>
          <w:bCs/>
          <w:color w:val="auto"/>
          <w:spacing w:val="11"/>
          <w:sz w:val="21"/>
          <w:szCs w:val="21"/>
          <w:highlight w:val="none"/>
          <w:u w:val="single"/>
        </w:rPr>
        <w:t xml:space="preserve">      </w:t>
      </w:r>
      <w:r>
        <w:rPr>
          <w:rFonts w:hint="eastAsia" w:asciiTheme="minorEastAsia" w:hAnsiTheme="minorEastAsia" w:eastAsiaTheme="minorEastAsia" w:cstheme="minorEastAsia"/>
          <w:bCs/>
          <w:color w:val="auto"/>
          <w:spacing w:val="11"/>
          <w:sz w:val="21"/>
          <w:szCs w:val="21"/>
          <w:highlight w:val="none"/>
        </w:rPr>
        <w:t>日止。</w:t>
      </w:r>
    </w:p>
    <w:p>
      <w:pPr>
        <w:keepNext/>
        <w:keepLines/>
        <w:widowControl/>
        <w:adjustRightInd w:val="0"/>
        <w:snapToGrid w:val="0"/>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第六条  保洁服务费用、结算及付款方式</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1.服务费用：</w:t>
      </w:r>
    </w:p>
    <w:p>
      <w:pPr>
        <w:spacing w:line="520" w:lineRule="exact"/>
        <w:ind w:firstLine="464" w:firstLineChars="200"/>
        <w:jc w:val="left"/>
        <w:rPr>
          <w:rFonts w:hint="eastAsia" w:asciiTheme="minorEastAsia" w:hAnsiTheme="minorEastAsia" w:eastAsiaTheme="minorEastAsia" w:cstheme="minorEastAsia"/>
          <w:color w:val="auto"/>
          <w:kern w:val="0"/>
          <w:sz w:val="21"/>
          <w:szCs w:val="21"/>
          <w:highlight w:val="none"/>
          <w:shd w:val="clear" w:color="FFFFFF" w:fill="FFFFFF"/>
        </w:rPr>
      </w:pPr>
      <w:r>
        <w:rPr>
          <w:rFonts w:hint="eastAsia" w:asciiTheme="minorEastAsia" w:hAnsiTheme="minorEastAsia" w:eastAsiaTheme="minorEastAsia" w:cstheme="minorEastAsia"/>
          <w:bCs/>
          <w:color w:val="auto"/>
          <w:spacing w:val="11"/>
          <w:sz w:val="21"/>
          <w:szCs w:val="21"/>
          <w:highlight w:val="none"/>
        </w:rPr>
        <w:t>服务费用标准为：</w:t>
      </w:r>
      <w:r>
        <w:rPr>
          <w:rFonts w:hint="eastAsia" w:asciiTheme="minorEastAsia" w:hAnsiTheme="minorEastAsia" w:eastAsiaTheme="minorEastAsia" w:cstheme="minorEastAsia"/>
          <w:bCs/>
          <w:color w:val="auto"/>
          <w:spacing w:val="11"/>
          <w:sz w:val="21"/>
          <w:szCs w:val="21"/>
          <w:highlight w:val="none"/>
          <w:u w:val="single"/>
        </w:rPr>
        <w:t xml:space="preserve">     </w:t>
      </w:r>
      <w:r>
        <w:rPr>
          <w:rFonts w:hint="eastAsia" w:asciiTheme="minorEastAsia" w:hAnsiTheme="minorEastAsia" w:eastAsiaTheme="minorEastAsia" w:cstheme="minorEastAsia"/>
          <w:bCs/>
          <w:color w:val="auto"/>
          <w:spacing w:val="11"/>
          <w:sz w:val="21"/>
          <w:szCs w:val="21"/>
          <w:highlight w:val="none"/>
        </w:rPr>
        <w:t>元/月/</w:t>
      </w:r>
      <w:r>
        <w:rPr>
          <w:rFonts w:hint="eastAsia" w:asciiTheme="minorEastAsia" w:hAnsiTheme="minorEastAsia" w:eastAsiaTheme="minorEastAsia" w:cstheme="minorEastAsia"/>
          <w:color w:val="auto"/>
          <w:sz w:val="21"/>
          <w:szCs w:val="21"/>
          <w:highlight w:val="none"/>
        </w:rPr>
        <w:t>人，合同预估总金额（含增值税）为人民币¥</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元（保洁服务人数按</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人估计）,大写：</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。最终价格已实际到岗人数及考核评定等级为准。</w:t>
      </w:r>
    </w:p>
    <w:p>
      <w:pPr>
        <w:spacing w:line="520" w:lineRule="exact"/>
        <w:ind w:firstLine="420" w:firstLineChars="200"/>
        <w:jc w:val="left"/>
        <w:rPr>
          <w:rFonts w:hint="eastAsia" w:asciiTheme="minorEastAsia" w:hAnsiTheme="minorEastAsia" w:eastAsiaTheme="minorEastAsia" w:cstheme="minorEastAsia"/>
          <w:color w:val="auto"/>
          <w:kern w:val="0"/>
          <w:sz w:val="21"/>
          <w:szCs w:val="21"/>
          <w:highlight w:val="none"/>
          <w:shd w:val="clear" w:color="FFFFFF" w:fill="FFFFFF"/>
        </w:rPr>
      </w:pPr>
      <w:r>
        <w:rPr>
          <w:rFonts w:hint="eastAsia" w:asciiTheme="minorEastAsia" w:hAnsiTheme="minorEastAsia" w:eastAsiaTheme="minorEastAsia" w:cstheme="minorEastAsia"/>
          <w:color w:val="auto"/>
          <w:kern w:val="0"/>
          <w:sz w:val="21"/>
          <w:szCs w:val="21"/>
          <w:highlight w:val="none"/>
          <w:shd w:val="clear" w:color="FFFFFF" w:fill="FFFFFF"/>
        </w:rPr>
        <w:t>该费用包括但不限于履行本合同所有服务内容所需的人员工资、工作服装、服务工具、耗材（设备，厕所内的纸巾、洗手液由甲方自行购买）以及税费（税率为6%）、利润、管理成本等费用。除非甲乙双方另有明确约定，甲方无需再向乙方或第三方支付任何其他费用。</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2.结算方式：</w:t>
      </w:r>
    </w:p>
    <w:p>
      <w:pPr>
        <w:spacing w:line="360" w:lineRule="auto"/>
        <w:ind w:firstLine="48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（1）每月以实际到岗保洁人数以及考核评定进行费用结算。</w:t>
      </w:r>
    </w:p>
    <w:p>
      <w:pPr>
        <w:spacing w:line="360" w:lineRule="auto"/>
        <w:ind w:firstLine="48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color w:val="auto"/>
          <w:sz w:val="21"/>
          <w:szCs w:val="21"/>
          <w:highlight w:val="none"/>
        </w:rPr>
        <w:t>（2）保洁服务费以月为单位结算支付，非整月的月份以实际天数与当月天数比例核算（当月天数按30天减去4天休假的26天计算，时间不足5天的，不结算服务费）。</w:t>
      </w:r>
    </w:p>
    <w:p>
      <w:pPr>
        <w:spacing w:line="360" w:lineRule="auto"/>
        <w:ind w:firstLine="48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（3）乙方按标准收取保洁服务费用，并按本合同约定的服务内容和质量提供服务，盈余或亏损均由乙方享有或承担；乙方不得以亏损为由要求甲方增加费用、降低服务标准或减少服务人员。</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（4）合同生效后，甲方根据《外包服务合同服务质量及人员考核标准（保洁类）》《</w:t>
      </w:r>
      <w:r>
        <w:rPr>
          <w:rFonts w:hint="eastAsia" w:asciiTheme="minorEastAsia" w:hAnsiTheme="minorEastAsia" w:eastAsiaTheme="minorEastAsia" w:cstheme="minorEastAsia"/>
          <w:bCs/>
          <w:color w:val="auto"/>
          <w:spacing w:val="11"/>
          <w:sz w:val="21"/>
          <w:szCs w:val="21"/>
          <w:highlight w:val="none"/>
          <w:u w:val="single"/>
        </w:rPr>
        <w:t xml:space="preserve">          </w:t>
      </w:r>
      <w:r>
        <w:rPr>
          <w:rFonts w:hint="eastAsia" w:asciiTheme="minorEastAsia" w:hAnsiTheme="minorEastAsia" w:eastAsiaTheme="minorEastAsia" w:cstheme="minorEastAsia"/>
          <w:bCs/>
          <w:color w:val="auto"/>
          <w:spacing w:val="11"/>
          <w:sz w:val="21"/>
          <w:szCs w:val="21"/>
          <w:highlight w:val="none"/>
        </w:rPr>
        <w:t>项目保洁工作考核标准》向乙方出具《保洁月度考核报告》，确定每月最终合同结算金额。</w:t>
      </w:r>
    </w:p>
    <w:p>
      <w:pPr>
        <w:pStyle w:val="20"/>
        <w:keepNext w:val="0"/>
        <w:keepLines w:val="0"/>
        <w:pageBreakBefore w:val="0"/>
        <w:widowControl w:val="0"/>
        <w:kinsoku/>
        <w:wordWrap/>
        <w:overflowPunct/>
        <w:topLinePunct w:val="0"/>
        <w:autoSpaceDE/>
        <w:autoSpaceDN/>
        <w:bidi w:val="0"/>
        <w:adjustRightInd/>
        <w:snapToGrid/>
        <w:ind w:firstLine="464" w:firstLineChars="200"/>
        <w:textAlignment w:val="auto"/>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bCs/>
          <w:color w:val="auto"/>
          <w:spacing w:val="11"/>
          <w:sz w:val="21"/>
          <w:szCs w:val="21"/>
          <w:highlight w:val="none"/>
          <w:lang w:eastAsia="zh-CN"/>
        </w:rPr>
        <w:t>（</w:t>
      </w:r>
      <w:r>
        <w:rPr>
          <w:rFonts w:hint="eastAsia" w:asciiTheme="minorEastAsia" w:hAnsiTheme="minorEastAsia" w:eastAsiaTheme="minorEastAsia" w:cstheme="minorEastAsia"/>
          <w:bCs/>
          <w:color w:val="auto"/>
          <w:spacing w:val="11"/>
          <w:sz w:val="21"/>
          <w:szCs w:val="21"/>
          <w:highlight w:val="none"/>
          <w:lang w:val="en-US" w:eastAsia="zh-CN"/>
        </w:rPr>
        <w:t>5</w:t>
      </w:r>
      <w:r>
        <w:rPr>
          <w:rFonts w:hint="eastAsia" w:asciiTheme="minorEastAsia" w:hAnsiTheme="minorEastAsia" w:eastAsiaTheme="minorEastAsia" w:cstheme="minorEastAsia"/>
          <w:bCs/>
          <w:color w:val="auto"/>
          <w:spacing w:val="11"/>
          <w:sz w:val="21"/>
          <w:szCs w:val="21"/>
          <w:highlight w:val="none"/>
          <w:lang w:eastAsia="zh-CN"/>
        </w:rPr>
        <w:t>）外包服务费用根据实际到岗人数，由项目服务中心每月根据服务质量考核标准，综合评估后按月支付。考核标准详见第三点，“项目具体实施要求”。</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3.付款方式</w:t>
      </w:r>
    </w:p>
    <w:p>
      <w:pPr>
        <w:spacing w:line="520" w:lineRule="exact"/>
        <w:ind w:firstLine="630" w:firstLineChars="3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color w:val="auto"/>
          <w:sz w:val="21"/>
          <w:highlight w:val="none"/>
        </w:rPr>
        <w:t>采取按月支付方式，由乙方向甲方报请支付，支付费用根据结算方式经甲方确认后，凭乙方开具的发票，</w:t>
      </w:r>
      <w:r>
        <w:rPr>
          <w:rFonts w:hint="eastAsia" w:ascii="宋体" w:hAnsi="宋体" w:cs="宋体"/>
          <w:bCs/>
          <w:color w:val="auto"/>
          <w:sz w:val="21"/>
          <w:szCs w:val="21"/>
          <w:highlight w:val="none"/>
          <w:lang w:val="en-US" w:eastAsia="zh-CN"/>
        </w:rPr>
        <w:t>每月前15个工作日内支付上个月服务费用</w:t>
      </w:r>
      <w:r>
        <w:rPr>
          <w:rFonts w:hint="eastAsia" w:asciiTheme="minorEastAsia" w:hAnsiTheme="minorEastAsia" w:eastAsiaTheme="minorEastAsia" w:cstheme="minorEastAsia"/>
          <w:bCs/>
          <w:color w:val="auto"/>
          <w:spacing w:val="11"/>
          <w:sz w:val="21"/>
          <w:szCs w:val="21"/>
          <w:highlight w:val="none"/>
        </w:rPr>
        <w:t>；因乙方自身原因逾期提供发票或票面信息错误导致付款延期的，所有责任由乙方自行承担。</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乙方账户信息</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u w:val="single"/>
        </w:rPr>
      </w:pPr>
      <w:r>
        <w:rPr>
          <w:rFonts w:hint="eastAsia" w:asciiTheme="minorEastAsia" w:hAnsiTheme="minorEastAsia" w:eastAsiaTheme="minorEastAsia" w:cstheme="minorEastAsia"/>
          <w:bCs/>
          <w:color w:val="auto"/>
          <w:spacing w:val="11"/>
          <w:sz w:val="21"/>
          <w:szCs w:val="21"/>
          <w:highlight w:val="none"/>
        </w:rPr>
        <w:t>开户行：</w:t>
      </w:r>
      <w:r>
        <w:rPr>
          <w:rFonts w:hint="eastAsia" w:asciiTheme="minorEastAsia" w:hAnsiTheme="minorEastAsia" w:eastAsiaTheme="minorEastAsia" w:cstheme="minorEastAsia"/>
          <w:bCs/>
          <w:color w:val="auto"/>
          <w:spacing w:val="11"/>
          <w:sz w:val="21"/>
          <w:szCs w:val="21"/>
          <w:highlight w:val="none"/>
          <w:u w:val="single"/>
        </w:rPr>
        <w:t xml:space="preserve">           </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账户名：</w:t>
      </w:r>
      <w:r>
        <w:rPr>
          <w:rFonts w:hint="eastAsia" w:asciiTheme="minorEastAsia" w:hAnsiTheme="minorEastAsia" w:eastAsiaTheme="minorEastAsia" w:cstheme="minorEastAsia"/>
          <w:bCs/>
          <w:color w:val="auto"/>
          <w:spacing w:val="11"/>
          <w:sz w:val="21"/>
          <w:szCs w:val="21"/>
          <w:highlight w:val="none"/>
          <w:u w:val="single"/>
        </w:rPr>
        <w:t xml:space="preserve">           </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u w:val="single"/>
        </w:rPr>
      </w:pPr>
      <w:r>
        <w:rPr>
          <w:rFonts w:hint="eastAsia" w:asciiTheme="minorEastAsia" w:hAnsiTheme="minorEastAsia" w:eastAsiaTheme="minorEastAsia" w:cstheme="minorEastAsia"/>
          <w:bCs/>
          <w:color w:val="auto"/>
          <w:spacing w:val="11"/>
          <w:sz w:val="21"/>
          <w:szCs w:val="21"/>
          <w:highlight w:val="none"/>
        </w:rPr>
        <w:t>账  号：</w:t>
      </w:r>
      <w:r>
        <w:rPr>
          <w:rFonts w:hint="eastAsia" w:asciiTheme="minorEastAsia" w:hAnsiTheme="minorEastAsia" w:eastAsiaTheme="minorEastAsia" w:cstheme="minorEastAsia"/>
          <w:bCs/>
          <w:color w:val="auto"/>
          <w:spacing w:val="11"/>
          <w:sz w:val="21"/>
          <w:szCs w:val="21"/>
          <w:highlight w:val="none"/>
          <w:u w:val="single"/>
        </w:rPr>
        <w:t xml:space="preserve">           </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如有变更，乙方应立即书面通知甲方，否则，由乙方自行承担全部责任。</w:t>
      </w:r>
    </w:p>
    <w:p>
      <w:pPr>
        <w:keepNext/>
        <w:keepLines/>
        <w:widowControl/>
        <w:adjustRightInd w:val="0"/>
        <w:snapToGrid w:val="0"/>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第七条 双方的权利和义务</w:t>
      </w:r>
    </w:p>
    <w:p>
      <w:pPr>
        <w:adjustRightInd w:val="0"/>
        <w:snapToGrid w:val="0"/>
        <w:spacing w:line="520" w:lineRule="exact"/>
        <w:ind w:firstLine="466" w:firstLineChars="200"/>
        <w:rPr>
          <w:rFonts w:hint="eastAsia" w:asciiTheme="minorEastAsia" w:hAnsiTheme="minorEastAsia" w:eastAsiaTheme="minorEastAsia" w:cstheme="minorEastAsia"/>
          <w:b/>
          <w:color w:val="auto"/>
          <w:spacing w:val="11"/>
          <w:sz w:val="21"/>
          <w:szCs w:val="21"/>
          <w:highlight w:val="none"/>
        </w:rPr>
      </w:pPr>
      <w:r>
        <w:rPr>
          <w:rFonts w:hint="eastAsia" w:asciiTheme="minorEastAsia" w:hAnsiTheme="minorEastAsia" w:eastAsiaTheme="minorEastAsia" w:cstheme="minorEastAsia"/>
          <w:b/>
          <w:color w:val="auto"/>
          <w:spacing w:val="11"/>
          <w:sz w:val="21"/>
          <w:szCs w:val="21"/>
          <w:highlight w:val="none"/>
        </w:rPr>
        <w:t>1.甲方的权利和义务</w:t>
      </w:r>
    </w:p>
    <w:p>
      <w:pPr>
        <w:adjustRightInd w:val="0"/>
        <w:snapToGrid w:val="0"/>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（1）甲方有权监督乙方保洁服务工作，审定乙方的年、月度工作计划与方案。</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（2）甲方有权根据本合同再行制定保洁服务工作的考核细则等相关制度，乙方应当自觉遵守（如有）。</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（3）甲方有权对乙方的保洁服务工作进行现场检查与考评，对服务质量不达标的，有权要求乙方在规定期限内进行整改。甲方有权按《</w:t>
      </w:r>
      <w:r>
        <w:rPr>
          <w:rFonts w:hint="eastAsia" w:asciiTheme="minorEastAsia" w:hAnsiTheme="minorEastAsia" w:eastAsiaTheme="minorEastAsia" w:cstheme="minorEastAsia"/>
          <w:bCs/>
          <w:color w:val="auto"/>
          <w:spacing w:val="11"/>
          <w:sz w:val="21"/>
          <w:szCs w:val="21"/>
          <w:highlight w:val="none"/>
          <w:u w:val="single"/>
        </w:rPr>
        <w:t xml:space="preserve">             </w:t>
      </w:r>
      <w:r>
        <w:rPr>
          <w:rFonts w:hint="eastAsia" w:asciiTheme="minorEastAsia" w:hAnsiTheme="minorEastAsia" w:eastAsiaTheme="minorEastAsia" w:cstheme="minorEastAsia"/>
          <w:bCs/>
          <w:color w:val="auto"/>
          <w:spacing w:val="11"/>
          <w:sz w:val="21"/>
          <w:szCs w:val="21"/>
          <w:highlight w:val="none"/>
        </w:rPr>
        <w:t>项目保洁工作考核标准》的规定扣除服务费用，并要求乙方对因服务质量不达标给甲方造成的损失进行赔偿。</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（4）甲方有权对乙方服务工作进行督导，对于乙方不履行、不正确履行、不完全履行合同义务等行为，甲方有权要求乙方立即更正，并采取其他补救措施。</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（5）遇重大活动或紧急事件时，甲方对乙方保洁人员有直接调度权，乙方应根据甲方要求积极配合，且乙方保洁人员应服从甲方现场管理人员的调度。</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（6）乙方应保证按合同要求安排保洁人员进驻甲方现场，甲方有权随时检查乙方保洁人员的在岗情况与岗位配置情况，对缺岗和擅自调整岗位配置情况按</w:t>
      </w:r>
      <w:r>
        <w:rPr>
          <w:rFonts w:hint="eastAsia" w:asciiTheme="minorEastAsia" w:hAnsiTheme="minorEastAsia" w:eastAsiaTheme="minorEastAsia" w:cstheme="minorEastAsia"/>
          <w:bCs/>
          <w:color w:val="auto"/>
          <w:spacing w:val="11"/>
          <w:sz w:val="21"/>
          <w:szCs w:val="21"/>
          <w:highlight w:val="none"/>
          <w:u w:val="single"/>
        </w:rPr>
        <w:t>100</w:t>
      </w:r>
      <w:r>
        <w:rPr>
          <w:rFonts w:hint="eastAsia" w:asciiTheme="minorEastAsia" w:hAnsiTheme="minorEastAsia" w:eastAsiaTheme="minorEastAsia" w:cstheme="minorEastAsia"/>
          <w:bCs/>
          <w:color w:val="auto"/>
          <w:spacing w:val="11"/>
          <w:sz w:val="21"/>
          <w:szCs w:val="21"/>
          <w:highlight w:val="none"/>
        </w:rPr>
        <w:t>元/人/班次进行扣款（直接在每月考核后的服务费用中扣除）。</w:t>
      </w:r>
      <w:r>
        <w:rPr>
          <w:rFonts w:hint="eastAsia" w:asciiTheme="minorEastAsia" w:hAnsiTheme="minorEastAsia" w:eastAsiaTheme="minorEastAsia" w:cstheme="minorEastAsia"/>
          <w:color w:val="auto"/>
          <w:sz w:val="21"/>
          <w:szCs w:val="21"/>
          <w:highlight w:val="none"/>
        </w:rPr>
        <w:t>因乙方人员缺岗和擅自调整岗位等原因造成甲方损失和重大影响的，甲方可随时终止合同并要求乙方赔偿损失。</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（7）甲方对不符合现场需求的工作人员提出更换要求，乙方应无条件执行。</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（8）</w:t>
      </w:r>
      <w:r>
        <w:rPr>
          <w:rFonts w:hint="eastAsia" w:asciiTheme="minorEastAsia" w:hAnsiTheme="minorEastAsia" w:eastAsiaTheme="minorEastAsia" w:cstheme="minorEastAsia"/>
          <w:color w:val="auto"/>
          <w:sz w:val="21"/>
          <w:szCs w:val="21"/>
          <w:highlight w:val="none"/>
        </w:rPr>
        <w:t>甲方对乙方为甲方提供保洁服务相关的重要岗位的设置、人员录用及管理等决策有直接参与权与否决权。</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（9）甲方有权要求乙方遵守甲方制定的管理措施、监督标准等，以确保乙方按照合同及其它议定的要求操作。</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（10）甲方有权监督和考核乙方用水用电的情况，制定节能环保相关要求和规定，乙方同意按甲方要求执行。</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（11）甲方负责协调本项目业主/客户与乙方的关系。</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（12）法律、法规及政策规定的由甲方承担的其他责任。</w:t>
      </w:r>
    </w:p>
    <w:p>
      <w:pPr>
        <w:spacing w:line="520" w:lineRule="exact"/>
        <w:ind w:firstLine="466" w:firstLineChars="200"/>
        <w:jc w:val="left"/>
        <w:rPr>
          <w:rFonts w:hint="eastAsia" w:asciiTheme="minorEastAsia" w:hAnsiTheme="minorEastAsia" w:eastAsiaTheme="minorEastAsia" w:cstheme="minorEastAsia"/>
          <w:b/>
          <w:color w:val="auto"/>
          <w:spacing w:val="11"/>
          <w:sz w:val="21"/>
          <w:szCs w:val="21"/>
          <w:highlight w:val="none"/>
        </w:rPr>
      </w:pPr>
      <w:r>
        <w:rPr>
          <w:rFonts w:hint="eastAsia" w:asciiTheme="minorEastAsia" w:hAnsiTheme="minorEastAsia" w:eastAsiaTheme="minorEastAsia" w:cstheme="minorEastAsia"/>
          <w:b/>
          <w:color w:val="auto"/>
          <w:spacing w:val="11"/>
          <w:sz w:val="21"/>
          <w:szCs w:val="21"/>
          <w:highlight w:val="none"/>
        </w:rPr>
        <w:t>2.乙方的权利和义务</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（1）根据有关法律法规及本合同的约定，制订年度、月度工作计划与方案，经甲方审定后按要求提供保洁服务。</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（2）每年</w:t>
      </w:r>
      <w:r>
        <w:rPr>
          <w:rFonts w:hint="eastAsia" w:asciiTheme="minorEastAsia" w:hAnsiTheme="minorEastAsia" w:eastAsiaTheme="minorEastAsia" w:cstheme="minorEastAsia"/>
          <w:bCs/>
          <w:color w:val="auto"/>
          <w:spacing w:val="11"/>
          <w:sz w:val="21"/>
          <w:szCs w:val="21"/>
          <w:highlight w:val="none"/>
          <w:u w:val="single"/>
        </w:rPr>
        <w:t xml:space="preserve"> 6 </w:t>
      </w:r>
      <w:r>
        <w:rPr>
          <w:rFonts w:hint="eastAsia" w:asciiTheme="minorEastAsia" w:hAnsiTheme="minorEastAsia" w:eastAsiaTheme="minorEastAsia" w:cstheme="minorEastAsia"/>
          <w:bCs/>
          <w:color w:val="auto"/>
          <w:spacing w:val="11"/>
          <w:sz w:val="21"/>
          <w:szCs w:val="21"/>
          <w:highlight w:val="none"/>
        </w:rPr>
        <w:t>月</w:t>
      </w:r>
      <w:r>
        <w:rPr>
          <w:rFonts w:hint="eastAsia" w:asciiTheme="minorEastAsia" w:hAnsiTheme="minorEastAsia" w:eastAsiaTheme="minorEastAsia" w:cstheme="minorEastAsia"/>
          <w:bCs/>
          <w:color w:val="auto"/>
          <w:spacing w:val="11"/>
          <w:sz w:val="21"/>
          <w:szCs w:val="21"/>
          <w:highlight w:val="none"/>
          <w:u w:val="single"/>
        </w:rPr>
        <w:t xml:space="preserve"> 1 </w:t>
      </w:r>
      <w:r>
        <w:rPr>
          <w:rFonts w:hint="eastAsia" w:asciiTheme="minorEastAsia" w:hAnsiTheme="minorEastAsia" w:eastAsiaTheme="minorEastAsia" w:cstheme="minorEastAsia"/>
          <w:bCs/>
          <w:color w:val="auto"/>
          <w:spacing w:val="11"/>
          <w:sz w:val="21"/>
          <w:szCs w:val="21"/>
          <w:highlight w:val="none"/>
        </w:rPr>
        <w:t>日前、每月</w:t>
      </w:r>
      <w:r>
        <w:rPr>
          <w:rFonts w:hint="eastAsia" w:asciiTheme="minorEastAsia" w:hAnsiTheme="minorEastAsia" w:eastAsiaTheme="minorEastAsia" w:cstheme="minorEastAsia"/>
          <w:bCs/>
          <w:color w:val="auto"/>
          <w:spacing w:val="11"/>
          <w:sz w:val="21"/>
          <w:szCs w:val="21"/>
          <w:highlight w:val="none"/>
          <w:u w:val="single"/>
        </w:rPr>
        <w:t xml:space="preserve"> 25 </w:t>
      </w:r>
      <w:r>
        <w:rPr>
          <w:rFonts w:hint="eastAsia" w:asciiTheme="minorEastAsia" w:hAnsiTheme="minorEastAsia" w:eastAsiaTheme="minorEastAsia" w:cstheme="minorEastAsia"/>
          <w:bCs/>
          <w:color w:val="auto"/>
          <w:spacing w:val="11"/>
          <w:sz w:val="21"/>
          <w:szCs w:val="21"/>
          <w:highlight w:val="none"/>
        </w:rPr>
        <w:t>日前提供本项目下年/月工作计划、培训计划以及本年/月工作总结给甲方审定。</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（3）根据本合同约定向甲方收取清洁服务费用，并提供相应的符合甲方要求的增值税专用发票。</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（4）接受甲方的考评和监督，接受业主单位、区域城管部门及其他有关政府部门的监督、指导，按照本合同及补充协议（如有）的承诺实现管理和服务目标。</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（5）根据本合同约定对各项目保洁岗位进行相应的人员配备，招聘员工的年龄要求在</w:t>
      </w:r>
      <w:r>
        <w:rPr>
          <w:rFonts w:hint="eastAsia" w:asciiTheme="minorEastAsia" w:hAnsiTheme="minorEastAsia" w:eastAsiaTheme="minorEastAsia" w:cstheme="minorEastAsia"/>
          <w:bCs/>
          <w:color w:val="auto"/>
          <w:spacing w:val="11"/>
          <w:sz w:val="21"/>
          <w:szCs w:val="21"/>
          <w:highlight w:val="none"/>
          <w:u w:val="single"/>
        </w:rPr>
        <w:t>5</w:t>
      </w:r>
      <w:r>
        <w:rPr>
          <w:rFonts w:hint="eastAsia" w:asciiTheme="minorEastAsia" w:hAnsiTheme="minorEastAsia" w:eastAsiaTheme="minorEastAsia" w:cstheme="minorEastAsia"/>
          <w:bCs/>
          <w:color w:val="auto"/>
          <w:spacing w:val="11"/>
          <w:sz w:val="21"/>
          <w:szCs w:val="21"/>
          <w:highlight w:val="none"/>
          <w:u w:val="single"/>
          <w:lang w:val="en-US" w:eastAsia="zh-CN"/>
        </w:rPr>
        <w:t>0</w:t>
      </w:r>
      <w:r>
        <w:rPr>
          <w:rFonts w:hint="eastAsia" w:asciiTheme="minorEastAsia" w:hAnsiTheme="minorEastAsia" w:eastAsiaTheme="minorEastAsia" w:cstheme="minorEastAsia"/>
          <w:bCs/>
          <w:color w:val="auto"/>
          <w:spacing w:val="11"/>
          <w:sz w:val="21"/>
          <w:szCs w:val="21"/>
          <w:highlight w:val="none"/>
        </w:rPr>
        <w:t>周岁（含）以下（以相关人员的身份证年龄为准），且身体健康。乙方与派驻到甲方处的工作人员需签订劳动协议，并依法办理劳动用工手续。派驻甲方的保洁人员，必须将其有效身份证、照片等相关复印件报甲方备案。如因乙方用工风险导致甲方承担相应责任的，甲方有权向乙方追偿。</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6）乙方保洁人员在工作期间应严格按照项目现场作业标准作业（包括但不限于本合同要求），严格遵守有关安全作业规定；清洁区域如因工作需要等原因可能存在不安全隐患的，乙方应及时排除相关障碍，并根据需要摆放相应提示标志，否则由此引起的任何人员伤亡或财产损失赔偿责任，全部由乙方自行承担。如甲方因此遭受任何损失的，乙方应予以赔偿。</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（7）在合同约定的服务范围内，如因乙方保洁工作未达到保洁质量标准，被有关业主单位、政府职能部门（环卫、城管等）处罚，该罚款由乙方承担。甲方因此而遭受任何损失的，乙方应予以赔偿。</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8）如遇节假日等人员流动增长的情况，乙方需增派值班人员，搞好现场卫生；如遇有关部门的工作检查或甲方的重大活动接待需突击卫生时，乙方需服从甲方的统一工作安排，并根据甲方活动方案，详细制定保洁方案报甲方审核同意。如甲方活动致乙方成本大幅增加，乙方应在保洁方案中提出，并提交相应材料由甲方进行审核。未在保洁方案中提出并经甲方审核同意的，甲方不予增加。</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（9）乙方不得将其承包的全部工作转包给第三人，或将其承包的全部工作肢解后以分包的名义转包给第三人，乙方不得将关键性工作分包给第三人。</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（10）未经甲方书面许可，乙方现场保洁人员不能在工作期间向甲方以外的任何单位和个人提供保洁服务。</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11）乙方应加强派驻甲方保洁人员的教育、培训和管理，统一着装，言行举止得体，乙方保洁人员必须学习、遵守甲方的各项规章制度，维护甲方的正常工作秩序，不私自进入无关场所，不准在工作区域内就餐、吸烟等，注重自身的言行，并在工作时遵循“适时回避”的原则。</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12）乙方在接到甲方或业主（客户）的有效投诉时应立即进行处理和解决，乙方并应承担因此而造成的全部责任。乙方未及时处理和解决的，甲方有权提出警告，警告后仍未处理的，甲方有权根据情节轻重扣除乙方服务费用</w:t>
      </w:r>
      <w:r>
        <w:rPr>
          <w:rFonts w:hint="eastAsia" w:asciiTheme="minorEastAsia" w:hAnsiTheme="minorEastAsia" w:eastAsiaTheme="minorEastAsia" w:cstheme="minorEastAsia"/>
          <w:bCs/>
          <w:color w:val="auto"/>
          <w:spacing w:val="11"/>
          <w:sz w:val="21"/>
          <w:szCs w:val="21"/>
          <w:highlight w:val="none"/>
          <w:u w:val="single"/>
        </w:rPr>
        <w:t>200</w:t>
      </w:r>
      <w:r>
        <w:rPr>
          <w:rFonts w:hint="eastAsia" w:asciiTheme="minorEastAsia" w:hAnsiTheme="minorEastAsia" w:eastAsiaTheme="minorEastAsia" w:cstheme="minorEastAsia"/>
          <w:bCs/>
          <w:color w:val="auto"/>
          <w:spacing w:val="11"/>
          <w:sz w:val="21"/>
          <w:szCs w:val="21"/>
          <w:highlight w:val="none"/>
        </w:rPr>
        <w:t>元/次，情节严重甲方有权解除合同。</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（13）乙方应严格要求派驻甲方保洁人员按规定时间上下班，当甲方因工作需要提出对乙方员工工作时间和岗位进行调整时，乙方应及时落实甲方的要求。</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（14）乙方保洁人员工作时应爱护甲方财物，如造成损失或损坏，乙方需及时予以恢复原状，不能恢复原状的需照价赔偿。</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15）乙方承担乙方保洁人员的工资、保险、福利及其他一切费用和人身安全责任，杜绝安全事故的发生。按照法律、法规规定，在乙方保洁人员进驻项目前为其购买各类社会保险。若乙方保洁人员发生安全事故（含突发性疾病伤亡、工伤、意外伤害等），责任由乙方自行承担，甲方不承担任何责任和费用。如甲方因此遭受任何损失的，乙方应予以赔偿。</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（16）如因乙方原因导致第三方（包括但不限于甲方的客户）的人身、财产损害的，全部责任由乙方承担。如甲方因此遭受任何损失的，乙方应予以赔偿。</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17）乙方按甲方要求及时调整不符合要求的人员，期限为接到甲方通知后3日内；除工作不合格或违反甲方工作标准和要求的人员外，乙方不得擅自更换派驻的保洁人员。如因特殊原因需要更换现场管理人员的，乙方应提前10日书面通知甲方，经甲方批准后方可更换。</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（18）遇台风、水浸、火灾等突发事件时，乙方应在甲方的统一指挥下参加应急工作，甲方不另行支付费用。</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（19）</w:t>
      </w:r>
      <w:r>
        <w:rPr>
          <w:rFonts w:hint="eastAsia" w:asciiTheme="minorEastAsia" w:hAnsiTheme="minorEastAsia" w:eastAsiaTheme="minorEastAsia" w:cstheme="minorEastAsia"/>
          <w:color w:val="auto"/>
          <w:sz w:val="21"/>
          <w:szCs w:val="21"/>
          <w:highlight w:val="none"/>
        </w:rPr>
        <w:t>乙方保洁人员</w:t>
      </w:r>
      <w:r>
        <w:rPr>
          <w:rFonts w:hint="eastAsia" w:asciiTheme="minorEastAsia" w:hAnsiTheme="minorEastAsia" w:eastAsiaTheme="minorEastAsia" w:cstheme="minorEastAsia"/>
          <w:bCs/>
          <w:color w:val="auto"/>
          <w:spacing w:val="11"/>
          <w:sz w:val="21"/>
          <w:szCs w:val="21"/>
          <w:highlight w:val="none"/>
        </w:rPr>
        <w:t>发现建筑物有破损或发现形迹可疑人员等情形时，应立即向甲方相关管理人员报告，</w:t>
      </w:r>
      <w:r>
        <w:rPr>
          <w:rFonts w:hint="eastAsia" w:asciiTheme="minorEastAsia" w:hAnsiTheme="minorEastAsia" w:eastAsiaTheme="minorEastAsia" w:cstheme="minorEastAsia"/>
          <w:color w:val="auto"/>
          <w:sz w:val="21"/>
          <w:szCs w:val="21"/>
          <w:highlight w:val="none"/>
        </w:rPr>
        <w:t>有义务对管理过程中发现或了解的违法、违规行为及时采取批评、规劝、警告、制止等措施，对不听批评、规劝、警告、制止的或存在现实危险性等情节严重情形的，应迅速通知甲方及公安机关等有关部门处理，不得隐情不报或拖延不报。</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（20）清洁工具与清洁物资材料均由乙方自备与保管，工具应整齐摆放在甲方规定位置。</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（21）法律、法规及政策规定的由乙方承担的其它责任。</w:t>
      </w:r>
    </w:p>
    <w:p>
      <w:pPr>
        <w:keepNext/>
        <w:keepLines/>
        <w:widowControl/>
        <w:adjustRightInd w:val="0"/>
        <w:snapToGrid w:val="0"/>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第八条  保证金</w:t>
      </w:r>
    </w:p>
    <w:p>
      <w:pPr>
        <w:keepNext/>
        <w:keepLines/>
        <w:widowControl/>
        <w:adjustRightInd w:val="0"/>
        <w:snapToGrid w:val="0"/>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1.双方同意，以甲方应支付给乙方的首月服务费用（以最终考核金额为准）作为保证金，并由甲方保留。</w:t>
      </w:r>
    </w:p>
    <w:p>
      <w:pPr>
        <w:tabs>
          <w:tab w:val="left" w:pos="312"/>
        </w:tabs>
        <w:spacing w:line="520" w:lineRule="exact"/>
        <w:ind w:left="604"/>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2.出现下列情形，甲方有权直接扣除保证金用于补偿甲方损失：</w:t>
      </w:r>
    </w:p>
    <w:p>
      <w:pPr>
        <w:numPr>
          <w:ilvl w:val="0"/>
          <w:numId w:val="3"/>
        </w:numPr>
        <w:spacing w:line="520" w:lineRule="exact"/>
        <w:ind w:firstLine="241" w:firstLineChars="104"/>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因乙方过错，造成甲方门窗、玻璃、灯具、空调、电脑、车辆、水管、电线等办公设备和机械设备损坏、丢失等损失；</w:t>
      </w:r>
    </w:p>
    <w:p>
      <w:pPr>
        <w:numPr>
          <w:ilvl w:val="0"/>
          <w:numId w:val="3"/>
        </w:numPr>
        <w:spacing w:line="520" w:lineRule="exact"/>
        <w:ind w:firstLine="241" w:firstLineChars="104"/>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因乙方过错，造成外来人员车辆、物品损坏、丢失，导致甲方支付、赔偿、垫付费用；</w:t>
      </w:r>
    </w:p>
    <w:p>
      <w:pPr>
        <w:numPr>
          <w:ilvl w:val="0"/>
          <w:numId w:val="3"/>
        </w:numPr>
        <w:spacing w:line="520" w:lineRule="exact"/>
        <w:ind w:firstLine="241" w:firstLineChars="104"/>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因乙方保洁人员发生工伤，或乙方保洁人员造成甲方职工、外来人员身体伤害，乙方未及时承担责任，导致甲方支付、赔偿、垫付费用；</w:t>
      </w:r>
    </w:p>
    <w:p>
      <w:pPr>
        <w:numPr>
          <w:ilvl w:val="0"/>
          <w:numId w:val="3"/>
        </w:numPr>
        <w:spacing w:line="520" w:lineRule="exact"/>
        <w:ind w:firstLine="241" w:firstLineChars="104"/>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因乙方或保洁人员违法、违规、违纪，而被处罚、起诉、或与第三人发生纠纷，导致甲方支付、赔偿、垫付费用；</w:t>
      </w:r>
    </w:p>
    <w:p>
      <w:pPr>
        <w:numPr>
          <w:ilvl w:val="0"/>
          <w:numId w:val="3"/>
        </w:numPr>
        <w:spacing w:line="520" w:lineRule="exact"/>
        <w:ind w:firstLine="241" w:firstLineChars="104"/>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因乙方不履行本合同义务，或履行本合同义务不符合约定，导致甲方委托第三人完成保洁工作而产生额外费用。</w:t>
      </w:r>
    </w:p>
    <w:p>
      <w:pPr>
        <w:numPr>
          <w:ilvl w:val="0"/>
          <w:numId w:val="4"/>
        </w:numPr>
        <w:spacing w:line="520" w:lineRule="exact"/>
        <w:ind w:firstLine="401" w:firstLineChars="173"/>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保证金不足以弥补甲方替乙方支付、赔偿、垫付的费用时，乙方应当补足甲方支付、赔偿、垫付费用的不足部分或由甲方在服务费用中扣除。保证金被扣除后，乙方应在5个工作日内补足。</w:t>
      </w:r>
    </w:p>
    <w:p>
      <w:pPr>
        <w:numPr>
          <w:ilvl w:val="0"/>
          <w:numId w:val="4"/>
        </w:numPr>
        <w:spacing w:line="520" w:lineRule="exact"/>
        <w:ind w:firstLine="401" w:firstLineChars="173"/>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合同到期后，如乙方全面履行本合同，无违约行为，甲方无息退还乙方保证金。</w:t>
      </w:r>
    </w:p>
    <w:p>
      <w:pPr>
        <w:keepNext/>
        <w:keepLines/>
        <w:widowControl/>
        <w:adjustRightInd w:val="0"/>
        <w:snapToGrid w:val="0"/>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第九条  特别约定</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1.甲方拥有各项目管理区域内包括场地出租、广告植入及经营性资产等的所有经营权；双方履行合同过程中产生的一切知识产权归甲方所有，包括但不限于乙方提供服务过程中经甲方同意制定的相关规范性文件、标识标志产生的商标权益（如有）等。</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2.未经甲方书面同意，乙方不得利用甲方项目对乙方单位进行品牌宣传、推广等；未经甲方书面同意不得邀请无关人员、单位进入项目参观、交流等。</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3.乙方在本合同保洁工作范围内提供服务时所需的标识标牌，包括但不限于其员工服装、所需工具、设施设备等，须经甲方书面同意后方可制作并组织实施，费用由乙方承担。</w:t>
      </w:r>
    </w:p>
    <w:p>
      <w:pPr>
        <w:keepNext/>
        <w:keepLines/>
        <w:widowControl/>
        <w:adjustRightInd w:val="0"/>
        <w:snapToGrid w:val="0"/>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第十条  违约责任 　</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1.甲方违反合同约定未向乙方及时支付保洁服务费用的，乙方有权要求甲方在90日内解决（因乙方原因造成的延期支付除外），逾期未解决的，乙方有权终止合同；造成乙方经济损失的，甲方应给予乙方经济补偿。</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2.乙方违反本合同约定，未能达到约定的管理和服务目标及要求，逾期未整改的，甲方有权单方解除合同并无需承担违约责任，乙方需按照合同预估总额的</w:t>
      </w:r>
      <w:r>
        <w:rPr>
          <w:rFonts w:hint="eastAsia" w:asciiTheme="minorEastAsia" w:hAnsiTheme="minorEastAsia" w:eastAsiaTheme="minorEastAsia" w:cstheme="minorEastAsia"/>
          <w:bCs/>
          <w:color w:val="auto"/>
          <w:spacing w:val="11"/>
          <w:sz w:val="21"/>
          <w:szCs w:val="21"/>
          <w:highlight w:val="none"/>
          <w:u w:val="single"/>
        </w:rPr>
        <w:t xml:space="preserve"> 1 </w:t>
      </w:r>
      <w:r>
        <w:rPr>
          <w:rFonts w:hint="eastAsia" w:asciiTheme="minorEastAsia" w:hAnsiTheme="minorEastAsia" w:eastAsiaTheme="minorEastAsia" w:cstheme="minorEastAsia"/>
          <w:bCs/>
          <w:color w:val="auto"/>
          <w:spacing w:val="11"/>
          <w:sz w:val="21"/>
          <w:szCs w:val="21"/>
          <w:highlight w:val="none"/>
        </w:rPr>
        <w:t>%向甲方支付违约金。</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3.未经甲方书面同意，乙方擅自将本合同涉及项目保洁服务事宜分包或转包给第三人，甲方可随时终止合同而无须承担任何责任，并有权要求乙方按照合同预估总额的</w:t>
      </w:r>
      <w:r>
        <w:rPr>
          <w:rFonts w:hint="eastAsia" w:asciiTheme="minorEastAsia" w:hAnsiTheme="minorEastAsia" w:eastAsiaTheme="minorEastAsia" w:cstheme="minorEastAsia"/>
          <w:bCs/>
          <w:color w:val="auto"/>
          <w:spacing w:val="11"/>
          <w:sz w:val="21"/>
          <w:szCs w:val="21"/>
          <w:highlight w:val="none"/>
          <w:u w:val="single"/>
        </w:rPr>
        <w:t xml:space="preserve"> 1 </w:t>
      </w:r>
      <w:r>
        <w:rPr>
          <w:rFonts w:hint="eastAsia" w:asciiTheme="minorEastAsia" w:hAnsiTheme="minorEastAsia" w:eastAsiaTheme="minorEastAsia" w:cstheme="minorEastAsia"/>
          <w:bCs/>
          <w:color w:val="auto"/>
          <w:spacing w:val="11"/>
          <w:sz w:val="21"/>
          <w:szCs w:val="21"/>
          <w:highlight w:val="none"/>
        </w:rPr>
        <w:t>%向甲方支付违约金。</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4. 除本合同另有约定外，甲乙任何一方无正当理由提前终止合同的，应向对方支付合同预估总额的</w:t>
      </w:r>
      <w:r>
        <w:rPr>
          <w:rFonts w:hint="eastAsia" w:asciiTheme="minorEastAsia" w:hAnsiTheme="minorEastAsia" w:eastAsiaTheme="minorEastAsia" w:cstheme="minorEastAsia"/>
          <w:bCs/>
          <w:color w:val="auto"/>
          <w:spacing w:val="11"/>
          <w:sz w:val="21"/>
          <w:szCs w:val="21"/>
          <w:highlight w:val="none"/>
          <w:u w:val="single"/>
        </w:rPr>
        <w:t xml:space="preserve"> 1 </w:t>
      </w:r>
      <w:r>
        <w:rPr>
          <w:rFonts w:hint="eastAsia" w:asciiTheme="minorEastAsia" w:hAnsiTheme="minorEastAsia" w:eastAsiaTheme="minorEastAsia" w:cstheme="minorEastAsia"/>
          <w:bCs/>
          <w:color w:val="auto"/>
          <w:spacing w:val="11"/>
          <w:sz w:val="21"/>
          <w:szCs w:val="21"/>
          <w:highlight w:val="none"/>
        </w:rPr>
        <w:t>%作为违约金。</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5.乙方按合同约定应支付的违约金低于给甲方造成的损失的，应就差额部分向甲方进行赔偿，且乙方承担的赔偿金额不以乙方应得的保洁服务费酬金为限。</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6.乙方违约应承担相应违约责任外，甲方向乙方主张权利所产生的费用（包括但不限于诉讼费、保全费、公证费、律师费）亦由乙方承担。</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7.合同内容变更、提前终止必须提前一个月书面通知对方，否则违约方按1个月服务费的标准向守约方承担违约责任，其中1个月服务费的金额按甲方已支付给乙方的月平均服务费计算确定。</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8、其他违约责任见附件三《廉洁协议》。</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第十一条  合同变更与终止 　　</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1.合同的变更与终止须双方协商，并采用书面形式。 　　</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2.本合同规定的履行期限届满，合同自动终止。 　　　</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第十二条  合同解除</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1.乙方严重失职造成甲方物业管理的重大损失，甲方可以解除合同，乙方应按本合同第十条第3款、第5款、第6款的约定向甲方承担违约责任。</w:t>
      </w:r>
    </w:p>
    <w:p>
      <w:pPr>
        <w:spacing w:line="520" w:lineRule="exact"/>
        <w:ind w:firstLine="464"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pacing w:val="11"/>
          <w:sz w:val="21"/>
          <w:szCs w:val="21"/>
          <w:highlight w:val="none"/>
        </w:rPr>
        <w:t>2.</w:t>
      </w:r>
      <w:r>
        <w:rPr>
          <w:rFonts w:hint="eastAsia" w:asciiTheme="minorEastAsia" w:hAnsiTheme="minorEastAsia" w:eastAsiaTheme="minorEastAsia" w:cstheme="minorEastAsia"/>
          <w:color w:val="auto"/>
          <w:sz w:val="21"/>
          <w:szCs w:val="21"/>
          <w:highlight w:val="none"/>
        </w:rPr>
        <w:t>乙方委派的项目管理人员或项目保洁人员不符合甲方要求且不予更换的，或乙方累计</w:t>
      </w:r>
      <w:r>
        <w:rPr>
          <w:rFonts w:hint="eastAsia" w:asciiTheme="minorEastAsia" w:hAnsiTheme="minorEastAsia" w:eastAsiaTheme="minorEastAsia" w:cstheme="minorEastAsia"/>
          <w:color w:val="auto"/>
          <w:sz w:val="21"/>
          <w:szCs w:val="21"/>
          <w:highlight w:val="none"/>
          <w:u w:val="single"/>
        </w:rPr>
        <w:t xml:space="preserve"> 3 </w:t>
      </w:r>
      <w:r>
        <w:rPr>
          <w:rFonts w:hint="eastAsia" w:asciiTheme="minorEastAsia" w:hAnsiTheme="minorEastAsia" w:eastAsiaTheme="minorEastAsia" w:cstheme="minorEastAsia"/>
          <w:color w:val="auto"/>
          <w:sz w:val="21"/>
          <w:szCs w:val="21"/>
          <w:highlight w:val="none"/>
        </w:rPr>
        <w:t>次委派的项目管理人员或项目保洁人员均不符合甲方要求的，甲方有权解除本合同，乙方应按本合同第十条第3款、第5款、第6款的约定向甲方承担违约责任。</w:t>
      </w:r>
    </w:p>
    <w:p>
      <w:pPr>
        <w:spacing w:line="520" w:lineRule="exact"/>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3.合同期限内出现未能达到约定的管理和服务目标及要求超过3次的，甲方除要求乙方按合同预估总额的 1 %支付违约金外，有权单方面终止本合同。</w:t>
      </w:r>
    </w:p>
    <w:p>
      <w:pPr>
        <w:spacing w:line="520" w:lineRule="exact"/>
        <w:ind w:firstLine="464"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pacing w:val="11"/>
          <w:sz w:val="21"/>
          <w:szCs w:val="21"/>
          <w:highlight w:val="none"/>
        </w:rPr>
        <w:t>4.乙方发生其他违约情形后，在收到甲方书面通知</w:t>
      </w:r>
      <w:r>
        <w:rPr>
          <w:rFonts w:hint="eastAsia" w:asciiTheme="minorEastAsia" w:hAnsiTheme="minorEastAsia" w:eastAsiaTheme="minorEastAsia" w:cstheme="minorEastAsia"/>
          <w:bCs/>
          <w:color w:val="auto"/>
          <w:spacing w:val="11"/>
          <w:sz w:val="21"/>
          <w:szCs w:val="21"/>
          <w:highlight w:val="none"/>
          <w:u w:val="single"/>
        </w:rPr>
        <w:t xml:space="preserve"> 5 </w:t>
      </w:r>
      <w:r>
        <w:rPr>
          <w:rFonts w:hint="eastAsia" w:asciiTheme="minorEastAsia" w:hAnsiTheme="minorEastAsia" w:eastAsiaTheme="minorEastAsia" w:cstheme="minorEastAsia"/>
          <w:bCs/>
          <w:color w:val="auto"/>
          <w:spacing w:val="11"/>
          <w:sz w:val="21"/>
          <w:szCs w:val="21"/>
          <w:highlight w:val="none"/>
        </w:rPr>
        <w:t>日内仍不能采取补救措施及行动，甲方可以解除合同，并要求乙方按本合同第十条第3款、第5款、第6款的约定向甲方承担违约责任。</w:t>
      </w:r>
    </w:p>
    <w:p>
      <w:pPr>
        <w:spacing w:line="360" w:lineRule="auto"/>
        <w:ind w:firstLine="48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5.本合同终止时，乙方须在终止前</w:t>
      </w:r>
      <w:r>
        <w:rPr>
          <w:rFonts w:hint="eastAsia" w:asciiTheme="minorEastAsia" w:hAnsiTheme="minorEastAsia" w:eastAsiaTheme="minorEastAsia" w:cstheme="minorEastAsia"/>
          <w:color w:val="auto"/>
          <w:sz w:val="21"/>
          <w:szCs w:val="21"/>
          <w:highlight w:val="none"/>
          <w:u w:val="single"/>
        </w:rPr>
        <w:t xml:space="preserve"> 10 </w:t>
      </w:r>
      <w:r>
        <w:rPr>
          <w:rFonts w:hint="eastAsia" w:asciiTheme="minorEastAsia" w:hAnsiTheme="minorEastAsia" w:eastAsiaTheme="minorEastAsia" w:cstheme="minorEastAsia"/>
          <w:color w:val="auto"/>
          <w:sz w:val="21"/>
          <w:szCs w:val="21"/>
          <w:highlight w:val="none"/>
        </w:rPr>
        <w:t>天内向甲方移交项目全部管理区域（如管理用房、员工宿舍等）及管理的全部档案资料。否则，需按照第八条第6款、第7款、第8款的约定承担违约责任。</w:t>
      </w:r>
    </w:p>
    <w:p>
      <w:pPr>
        <w:spacing w:line="520" w:lineRule="exact"/>
        <w:ind w:firstLine="420" w:firstLineChars="20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6、其他合同解除情形见附件一，按照第八条第6款、第7款、第8款的约定承担违约责任。</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第十三条  不可抗力　</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本合同所称不可抗力是指不能预见、不能克服、不能避免并对乙方当事人造成重大影响的客观事件，包括但不限于自然灾害如洪水、地震、火灾和风暴等以及社会事件如战争、动乱、政府行为等。</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如因不可抗力事件的发生导致合同无法履行时，遇不可抗力的一方应立即将事故情况书面告知另一方，并应在</w:t>
      </w:r>
      <w:r>
        <w:rPr>
          <w:rFonts w:hint="eastAsia" w:asciiTheme="minorEastAsia" w:hAnsiTheme="minorEastAsia" w:eastAsiaTheme="minorEastAsia" w:cstheme="minorEastAsia"/>
          <w:bCs/>
          <w:color w:val="auto"/>
          <w:spacing w:val="11"/>
          <w:sz w:val="21"/>
          <w:szCs w:val="21"/>
          <w:highlight w:val="none"/>
          <w:u w:val="single"/>
        </w:rPr>
        <w:t xml:space="preserve">  5  </w:t>
      </w:r>
      <w:r>
        <w:rPr>
          <w:rFonts w:hint="eastAsia" w:asciiTheme="minorEastAsia" w:hAnsiTheme="minorEastAsia" w:eastAsiaTheme="minorEastAsia" w:cstheme="minorEastAsia"/>
          <w:bCs/>
          <w:color w:val="auto"/>
          <w:spacing w:val="11"/>
          <w:sz w:val="21"/>
          <w:szCs w:val="21"/>
          <w:highlight w:val="none"/>
        </w:rPr>
        <w:t>天内，提供事故详情及合同不能履行或者需要延期履行的书面资料，双方认可后协商终止合同或暂时延迟合同的履行。</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 xml:space="preserve">第十四条  保密 </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双方保证对从另一方取得且无法自公开渠道获得的商业秘密和信息(技术信息、经营信息及其他商业秘密)予以保密。未经该商业秘密和信息的原提供方同意，一方不得向任何第三方泄露该商业秘密和信息的全部或部分内容。但法律、法规另有规定或双方另有约定的除外。保密期限为长期，不受本合同中止、解除和终止等的影响。一方违反上述保密义务的，应承担支付合同预估总额的    %违约金的违约责任并赔偿由此造成的损失。</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第十五条  合同的转让</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除合同中另有规定外或经双方协商同意外，本合同所规定双方的任何权利和义务，任何一方在未经征得另一方书面同意之前，不得转让给第三者。任何转让未经另一方书面明确同意，均属无效。</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第十六条  争议的处理</w:t>
      </w:r>
    </w:p>
    <w:p>
      <w:pPr>
        <w:spacing w:line="520" w:lineRule="exact"/>
        <w:ind w:firstLine="420"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z w:val="21"/>
          <w:szCs w:val="21"/>
          <w:highlight w:val="none"/>
        </w:rPr>
        <w:t>通过双方协商解决，协商解决不成，任何一方可向甲方所在地人民法院提起诉讼。</w:t>
      </w:r>
      <w:r>
        <w:rPr>
          <w:rFonts w:hint="eastAsia" w:asciiTheme="minorEastAsia" w:hAnsiTheme="minorEastAsia" w:eastAsiaTheme="minorEastAsia" w:cstheme="minorEastAsia"/>
          <w:bCs/>
          <w:color w:val="auto"/>
          <w:spacing w:val="11"/>
          <w:sz w:val="21"/>
          <w:szCs w:val="21"/>
          <w:highlight w:val="none"/>
        </w:rPr>
        <w:t xml:space="preserve"> 　</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第十七条  补充与附件</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本合同未尽事宜，依照有关法律、法规执行，法律、法规未作规定的，甲乙双方可以达成书面补充协议。本合同的附件和补充协议均为本合同不可分割的组成部分，与本合同具有同等的法律效力。</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第十八条  其他 　　</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1.双方承诺在合同履行过程中保持廉洁自律的工作作风，防止各种不正当行为的发生，共同遵守《廉洁协议》（详见附件三）。</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2.本合同自双方法定代表人或其授权代表人签字并加盖公章（合同专用章）之日起生效。</w:t>
      </w:r>
    </w:p>
    <w:p>
      <w:pPr>
        <w:spacing w:line="520" w:lineRule="exact"/>
        <w:ind w:firstLine="464" w:firstLineChars="200"/>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3.本合同首部甲乙双方的通讯地址为双方联系的唯一固定通讯地址，若在履行本合同中双方有任何争议，甚至涉及诉讼时，该地址为双方法定地址。若其中一方通讯地址发生变化，应立即书面通知另一方，否则，造成双方联系障碍，由有过错的一方负责。</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4.本合同一式</w:t>
      </w:r>
      <w:r>
        <w:rPr>
          <w:rFonts w:hint="eastAsia" w:asciiTheme="minorEastAsia" w:hAnsiTheme="minorEastAsia" w:eastAsiaTheme="minorEastAsia" w:cstheme="minorEastAsia"/>
          <w:bCs/>
          <w:color w:val="auto"/>
          <w:spacing w:val="11"/>
          <w:sz w:val="21"/>
          <w:szCs w:val="21"/>
          <w:highlight w:val="none"/>
          <w:u w:val="single"/>
        </w:rPr>
        <w:t xml:space="preserve"> 肆 </w:t>
      </w:r>
      <w:r>
        <w:rPr>
          <w:rFonts w:hint="eastAsia" w:asciiTheme="minorEastAsia" w:hAnsiTheme="minorEastAsia" w:eastAsiaTheme="minorEastAsia" w:cstheme="minorEastAsia"/>
          <w:bCs/>
          <w:color w:val="auto"/>
          <w:spacing w:val="11"/>
          <w:sz w:val="21"/>
          <w:szCs w:val="21"/>
          <w:highlight w:val="none"/>
        </w:rPr>
        <w:t>份，甲方执</w:t>
      </w:r>
      <w:r>
        <w:rPr>
          <w:rFonts w:hint="eastAsia" w:asciiTheme="minorEastAsia" w:hAnsiTheme="minorEastAsia" w:eastAsiaTheme="minorEastAsia" w:cstheme="minorEastAsia"/>
          <w:bCs/>
          <w:color w:val="auto"/>
          <w:spacing w:val="11"/>
          <w:sz w:val="21"/>
          <w:szCs w:val="21"/>
          <w:highlight w:val="none"/>
          <w:u w:val="single"/>
        </w:rPr>
        <w:t xml:space="preserve"> 贰 </w:t>
      </w:r>
      <w:r>
        <w:rPr>
          <w:rFonts w:hint="eastAsia" w:asciiTheme="minorEastAsia" w:hAnsiTheme="minorEastAsia" w:eastAsiaTheme="minorEastAsia" w:cstheme="minorEastAsia"/>
          <w:bCs/>
          <w:color w:val="auto"/>
          <w:spacing w:val="11"/>
          <w:sz w:val="21"/>
          <w:szCs w:val="21"/>
          <w:highlight w:val="none"/>
        </w:rPr>
        <w:t>份、乙方执</w:t>
      </w:r>
      <w:r>
        <w:rPr>
          <w:rFonts w:hint="eastAsia" w:asciiTheme="minorEastAsia" w:hAnsiTheme="minorEastAsia" w:eastAsiaTheme="minorEastAsia" w:cstheme="minorEastAsia"/>
          <w:bCs/>
          <w:color w:val="auto"/>
          <w:spacing w:val="11"/>
          <w:sz w:val="21"/>
          <w:szCs w:val="21"/>
          <w:highlight w:val="none"/>
          <w:u w:val="single"/>
        </w:rPr>
        <w:t xml:space="preserve"> 贰 </w:t>
      </w:r>
      <w:r>
        <w:rPr>
          <w:rFonts w:hint="eastAsia" w:asciiTheme="minorEastAsia" w:hAnsiTheme="minorEastAsia" w:eastAsiaTheme="minorEastAsia" w:cstheme="minorEastAsia"/>
          <w:bCs/>
          <w:color w:val="auto"/>
          <w:spacing w:val="11"/>
          <w:sz w:val="21"/>
          <w:szCs w:val="21"/>
          <w:highlight w:val="none"/>
        </w:rPr>
        <w:t xml:space="preserve">份，具有同等法律效力。 </w:t>
      </w:r>
    </w:p>
    <w:p>
      <w:pPr>
        <w:spacing w:line="520" w:lineRule="exact"/>
        <w:ind w:firstLine="464" w:firstLineChars="200"/>
        <w:jc w:val="left"/>
        <w:rPr>
          <w:rFonts w:hint="eastAsia" w:asciiTheme="minorEastAsia" w:hAnsiTheme="minorEastAsia" w:eastAsiaTheme="minorEastAsia" w:cstheme="minorEastAsia"/>
          <w:bCs/>
          <w:color w:val="auto"/>
          <w:spacing w:val="11"/>
          <w:sz w:val="21"/>
          <w:szCs w:val="21"/>
          <w:highlight w:val="none"/>
        </w:rPr>
      </w:pPr>
      <w:r>
        <w:rPr>
          <w:rFonts w:hint="eastAsia" w:asciiTheme="minorEastAsia" w:hAnsiTheme="minorEastAsia" w:eastAsiaTheme="minorEastAsia" w:cstheme="minorEastAsia"/>
          <w:bCs/>
          <w:color w:val="auto"/>
          <w:spacing w:val="11"/>
          <w:sz w:val="21"/>
          <w:szCs w:val="21"/>
          <w:highlight w:val="none"/>
        </w:rPr>
        <w:t>5.本合同附件作为主合同不可分割的部分，与本合同具有同等法律效力。　</w:t>
      </w:r>
    </w:p>
    <w:p>
      <w:pPr>
        <w:spacing w:line="520" w:lineRule="exact"/>
        <w:jc w:val="left"/>
        <w:rPr>
          <w:rFonts w:hint="eastAsia" w:asciiTheme="minorEastAsia" w:hAnsiTheme="minorEastAsia" w:eastAsiaTheme="minorEastAsia" w:cstheme="minorEastAsia"/>
          <w:bCs/>
          <w:color w:val="auto"/>
          <w:spacing w:val="11"/>
          <w:sz w:val="21"/>
          <w:szCs w:val="21"/>
          <w:highlight w:val="none"/>
        </w:rPr>
      </w:pPr>
    </w:p>
    <w:p>
      <w:pPr>
        <w:spacing w:line="520" w:lineRule="exact"/>
        <w:jc w:val="left"/>
        <w:rPr>
          <w:rFonts w:hint="eastAsia" w:asciiTheme="minorEastAsia" w:hAnsiTheme="minorEastAsia" w:eastAsiaTheme="minorEastAsia" w:cstheme="minorEastAsia"/>
          <w:bCs/>
          <w:color w:val="auto"/>
          <w:spacing w:val="11"/>
          <w:sz w:val="21"/>
          <w:szCs w:val="21"/>
          <w:highlight w:val="none"/>
        </w:rPr>
      </w:pP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甲方：（签章）                       乙方：（签章）</w:t>
      </w:r>
    </w:p>
    <w:p>
      <w:pPr>
        <w:spacing w:line="360" w:lineRule="auto"/>
        <w:rPr>
          <w:rFonts w:hint="eastAsia" w:asciiTheme="minorEastAsia" w:hAnsiTheme="minorEastAsia" w:eastAsiaTheme="minorEastAsia" w:cstheme="minorEastAsia"/>
          <w:color w:val="auto"/>
          <w:sz w:val="21"/>
          <w:szCs w:val="21"/>
          <w:highlight w:val="none"/>
        </w:rPr>
      </w:pPr>
    </w:p>
    <w:p>
      <w:pPr>
        <w:spacing w:line="360" w:lineRule="auto"/>
        <w:rPr>
          <w:rFonts w:hint="eastAsia" w:asciiTheme="minorEastAsia" w:hAnsiTheme="minorEastAsia" w:eastAsiaTheme="minorEastAsia" w:cstheme="minorEastAsia"/>
          <w:color w:val="auto"/>
          <w:sz w:val="21"/>
          <w:szCs w:val="21"/>
          <w:highlight w:val="none"/>
        </w:rPr>
      </w:pP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法定代表人（委托代理人）：          法定代表人（委托代理人）：</w:t>
      </w:r>
    </w:p>
    <w:p>
      <w:pPr>
        <w:spacing w:line="560" w:lineRule="exact"/>
        <w:ind w:firstLine="420" w:firstLineChars="200"/>
        <w:rPr>
          <w:rFonts w:hint="eastAsia" w:asciiTheme="minorEastAsia" w:hAnsiTheme="minorEastAsia" w:eastAsiaTheme="minorEastAsia" w:cstheme="minorEastAsia"/>
          <w:color w:val="auto"/>
          <w:sz w:val="21"/>
          <w:szCs w:val="21"/>
          <w:highlight w:val="none"/>
        </w:rPr>
        <w:sectPr>
          <w:headerReference r:id="rId12" w:type="default"/>
          <w:footerReference r:id="rId14" w:type="default"/>
          <w:headerReference r:id="rId13" w:type="even"/>
          <w:footerReference r:id="rId15" w:type="even"/>
          <w:pgSz w:w="11906" w:h="16838"/>
          <w:pgMar w:top="1440" w:right="1474" w:bottom="1440" w:left="1474" w:header="851" w:footer="964" w:gutter="0"/>
          <w:pgNumType w:fmt="decimal"/>
          <w:cols w:space="720" w:num="1"/>
          <w:docGrid w:type="lines" w:linePitch="312" w:charSpace="0"/>
        </w:sectPr>
      </w:pPr>
      <w:r>
        <w:rPr>
          <w:rFonts w:hint="eastAsia" w:asciiTheme="minorEastAsia" w:hAnsiTheme="minorEastAsia" w:eastAsiaTheme="minorEastAsia" w:cstheme="minorEastAsia"/>
          <w:color w:val="auto"/>
          <w:sz w:val="21"/>
          <w:szCs w:val="21"/>
          <w:highlight w:val="none"/>
        </w:rPr>
        <w:t xml:space="preserve">年   月   日                       年   月   日       </w:t>
      </w:r>
    </w:p>
    <w:p>
      <w:pPr>
        <w:pStyle w:val="6"/>
        <w:spacing w:before="240" w:beforeLines="100" w:line="240" w:lineRule="auto"/>
        <w:rPr>
          <w:rFonts w:hint="eastAsia" w:asciiTheme="minorEastAsia" w:hAnsiTheme="minorEastAsia" w:eastAsiaTheme="minorEastAsia" w:cstheme="minorEastAsia"/>
          <w:b w:val="0"/>
          <w:color w:val="auto"/>
          <w:highlight w:val="none"/>
        </w:rPr>
      </w:pPr>
      <w:r>
        <w:rPr>
          <w:rFonts w:hint="eastAsia" w:asciiTheme="minorEastAsia" w:hAnsiTheme="minorEastAsia" w:eastAsiaTheme="minorEastAsia" w:cstheme="minorEastAsia"/>
          <w:b/>
          <w:bCs/>
          <w:color w:val="auto"/>
          <w:sz w:val="24"/>
          <w:szCs w:val="24"/>
          <w:highlight w:val="none"/>
          <w:lang w:val="en-US" w:eastAsia="zh-CN"/>
        </w:rPr>
        <w:t>附件一：</w:t>
      </w:r>
      <w:r>
        <w:rPr>
          <w:rFonts w:hint="eastAsia" w:asciiTheme="minorEastAsia" w:hAnsiTheme="minorEastAsia" w:eastAsiaTheme="minorEastAsia" w:cstheme="minorEastAsia"/>
          <w:b/>
          <w:bCs/>
          <w:color w:val="auto"/>
          <w:sz w:val="24"/>
          <w:szCs w:val="24"/>
          <w:highlight w:val="none"/>
        </w:rPr>
        <w:t>外包服务合同服务质量及人员考核标准（保洁类）</w:t>
      </w:r>
    </w:p>
    <w:tbl>
      <w:tblPr>
        <w:tblStyle w:val="44"/>
        <w:tblpPr w:leftFromText="180" w:rightFromText="180" w:vertAnchor="text" w:tblpXSpec="center" w:tblpY="1"/>
        <w:tblOverlap w:val="never"/>
        <w:tblW w:w="15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1527"/>
        <w:gridCol w:w="1221"/>
        <w:gridCol w:w="1201"/>
        <w:gridCol w:w="991"/>
        <w:gridCol w:w="1312"/>
        <w:gridCol w:w="7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91" w:type="dxa"/>
            <w:vMerge w:val="restart"/>
            <w:tcBorders>
              <w:top w:val="single" w:color="auto" w:sz="8" w:space="0"/>
              <w:left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类 别</w:t>
            </w:r>
          </w:p>
        </w:tc>
        <w:tc>
          <w:tcPr>
            <w:tcW w:w="6252" w:type="dxa"/>
            <w:gridSpan w:val="5"/>
            <w:tcBorders>
              <w:top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服务质量考核标准</w:t>
            </w:r>
          </w:p>
        </w:tc>
        <w:tc>
          <w:tcPr>
            <w:tcW w:w="7956" w:type="dxa"/>
            <w:tcBorders>
              <w:top w:val="single" w:color="auto" w:sz="8" w:space="0"/>
              <w:right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人员考核标准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291" w:type="dxa"/>
            <w:vMerge w:val="continue"/>
            <w:tcBorders>
              <w:left w:val="single" w:color="auto" w:sz="8" w:space="0"/>
            </w:tcBorders>
            <w:noWrap w:val="0"/>
            <w:vAlign w:val="center"/>
          </w:tcPr>
          <w:p>
            <w:pPr>
              <w:jc w:val="center"/>
              <w:rPr>
                <w:rFonts w:ascii="宋体" w:hAnsi="宋体" w:cs="宋体"/>
                <w:color w:val="auto"/>
                <w:sz w:val="21"/>
                <w:szCs w:val="21"/>
                <w:highlight w:val="none"/>
              </w:rPr>
            </w:pPr>
          </w:p>
        </w:tc>
        <w:tc>
          <w:tcPr>
            <w:tcW w:w="1527" w:type="dxa"/>
            <w:vMerge w:val="restart"/>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合格</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（a级）</w:t>
            </w:r>
          </w:p>
        </w:tc>
        <w:tc>
          <w:tcPr>
            <w:tcW w:w="4725" w:type="dxa"/>
            <w:gridSpan w:val="4"/>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不合格</w:t>
            </w:r>
          </w:p>
        </w:tc>
        <w:tc>
          <w:tcPr>
            <w:tcW w:w="7956" w:type="dxa"/>
            <w:vMerge w:val="restart"/>
            <w:tcBorders>
              <w:right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人员到岗及时性\人员稳定性</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\缺编考核标准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291" w:type="dxa"/>
            <w:vMerge w:val="continue"/>
            <w:tcBorders>
              <w:left w:val="single" w:color="auto" w:sz="8" w:space="0"/>
            </w:tcBorders>
            <w:noWrap w:val="0"/>
            <w:vAlign w:val="center"/>
          </w:tcPr>
          <w:p>
            <w:pPr>
              <w:jc w:val="center"/>
              <w:rPr>
                <w:rFonts w:ascii="宋体" w:hAnsi="宋体" w:cs="宋体"/>
                <w:color w:val="auto"/>
                <w:sz w:val="21"/>
                <w:szCs w:val="21"/>
                <w:highlight w:val="none"/>
              </w:rPr>
            </w:pPr>
          </w:p>
        </w:tc>
        <w:tc>
          <w:tcPr>
            <w:tcW w:w="1527" w:type="dxa"/>
            <w:vMerge w:val="continue"/>
            <w:noWrap w:val="0"/>
            <w:vAlign w:val="center"/>
          </w:tcPr>
          <w:p>
            <w:pPr>
              <w:jc w:val="center"/>
              <w:rPr>
                <w:rFonts w:ascii="宋体" w:hAnsi="宋体" w:cs="宋体"/>
                <w:color w:val="auto"/>
                <w:sz w:val="21"/>
                <w:szCs w:val="21"/>
                <w:highlight w:val="none"/>
              </w:rPr>
            </w:pPr>
          </w:p>
        </w:tc>
        <w:tc>
          <w:tcPr>
            <w:tcW w:w="1221" w:type="dxa"/>
            <w:vMerge w:val="restart"/>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85分以上90分以下</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（b级）</w:t>
            </w:r>
          </w:p>
        </w:tc>
        <w:tc>
          <w:tcPr>
            <w:tcW w:w="1201" w:type="dxa"/>
            <w:vMerge w:val="restart"/>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80分以上85分（含）以下</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（c级）</w:t>
            </w:r>
          </w:p>
        </w:tc>
        <w:tc>
          <w:tcPr>
            <w:tcW w:w="991" w:type="dxa"/>
            <w:vMerge w:val="restart"/>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80分以下</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（d级）</w:t>
            </w:r>
          </w:p>
        </w:tc>
        <w:tc>
          <w:tcPr>
            <w:tcW w:w="1312" w:type="dxa"/>
            <w:vMerge w:val="restart"/>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年累计不合格</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两次</w:t>
            </w:r>
          </w:p>
        </w:tc>
        <w:tc>
          <w:tcPr>
            <w:tcW w:w="7956" w:type="dxa"/>
            <w:vMerge w:val="continue"/>
            <w:tcBorders>
              <w:right w:val="single" w:color="auto" w:sz="8" w:space="0"/>
            </w:tcBorders>
            <w:noWrap w:val="0"/>
            <w:vAlign w:val="center"/>
          </w:tcPr>
          <w:p>
            <w:pPr>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291" w:type="dxa"/>
            <w:vMerge w:val="continue"/>
            <w:tcBorders>
              <w:left w:val="single" w:color="auto" w:sz="8" w:space="0"/>
            </w:tcBorders>
            <w:noWrap w:val="0"/>
            <w:vAlign w:val="center"/>
          </w:tcPr>
          <w:p>
            <w:pPr>
              <w:jc w:val="center"/>
              <w:rPr>
                <w:rFonts w:ascii="宋体" w:hAnsi="宋体" w:cs="宋体"/>
                <w:color w:val="auto"/>
                <w:sz w:val="21"/>
                <w:szCs w:val="21"/>
                <w:highlight w:val="none"/>
              </w:rPr>
            </w:pPr>
          </w:p>
        </w:tc>
        <w:tc>
          <w:tcPr>
            <w:tcW w:w="1527" w:type="dxa"/>
            <w:vMerge w:val="continue"/>
            <w:noWrap w:val="0"/>
            <w:vAlign w:val="center"/>
          </w:tcPr>
          <w:p>
            <w:pPr>
              <w:jc w:val="center"/>
              <w:rPr>
                <w:rFonts w:ascii="宋体" w:hAnsi="宋体" w:cs="宋体"/>
                <w:color w:val="auto"/>
                <w:sz w:val="21"/>
                <w:szCs w:val="21"/>
                <w:highlight w:val="none"/>
              </w:rPr>
            </w:pPr>
          </w:p>
        </w:tc>
        <w:tc>
          <w:tcPr>
            <w:tcW w:w="1221" w:type="dxa"/>
            <w:vMerge w:val="continue"/>
            <w:noWrap w:val="0"/>
            <w:vAlign w:val="center"/>
          </w:tcPr>
          <w:p>
            <w:pPr>
              <w:jc w:val="center"/>
              <w:rPr>
                <w:rFonts w:ascii="宋体" w:hAnsi="宋体" w:cs="宋体"/>
                <w:color w:val="auto"/>
                <w:sz w:val="21"/>
                <w:szCs w:val="21"/>
                <w:highlight w:val="none"/>
              </w:rPr>
            </w:pPr>
          </w:p>
        </w:tc>
        <w:tc>
          <w:tcPr>
            <w:tcW w:w="1201" w:type="dxa"/>
            <w:vMerge w:val="continue"/>
            <w:noWrap w:val="0"/>
            <w:vAlign w:val="center"/>
          </w:tcPr>
          <w:p>
            <w:pPr>
              <w:jc w:val="center"/>
              <w:rPr>
                <w:rFonts w:ascii="宋体" w:hAnsi="宋体" w:cs="宋体"/>
                <w:color w:val="auto"/>
                <w:sz w:val="21"/>
                <w:szCs w:val="21"/>
                <w:highlight w:val="none"/>
              </w:rPr>
            </w:pPr>
          </w:p>
        </w:tc>
        <w:tc>
          <w:tcPr>
            <w:tcW w:w="991" w:type="dxa"/>
            <w:vMerge w:val="continue"/>
            <w:noWrap w:val="0"/>
            <w:vAlign w:val="center"/>
          </w:tcPr>
          <w:p>
            <w:pPr>
              <w:jc w:val="center"/>
              <w:rPr>
                <w:rFonts w:ascii="宋体" w:hAnsi="宋体" w:cs="宋体"/>
                <w:color w:val="auto"/>
                <w:sz w:val="21"/>
                <w:szCs w:val="21"/>
                <w:highlight w:val="none"/>
              </w:rPr>
            </w:pPr>
          </w:p>
        </w:tc>
        <w:tc>
          <w:tcPr>
            <w:tcW w:w="1312" w:type="dxa"/>
            <w:vMerge w:val="continue"/>
            <w:noWrap w:val="0"/>
            <w:vAlign w:val="center"/>
          </w:tcPr>
          <w:p>
            <w:pPr>
              <w:jc w:val="center"/>
              <w:rPr>
                <w:rFonts w:ascii="宋体" w:hAnsi="宋体" w:cs="宋体"/>
                <w:color w:val="auto"/>
                <w:sz w:val="21"/>
                <w:szCs w:val="21"/>
                <w:highlight w:val="none"/>
              </w:rPr>
            </w:pPr>
          </w:p>
        </w:tc>
        <w:tc>
          <w:tcPr>
            <w:tcW w:w="7956" w:type="dxa"/>
            <w:vMerge w:val="restart"/>
            <w:tcBorders>
              <w:right w:val="single" w:color="auto" w:sz="8" w:space="0"/>
            </w:tcBorders>
            <w:noWrap w:val="0"/>
            <w:vAlign w:val="center"/>
          </w:tcPr>
          <w:p>
            <w:pPr>
              <w:spacing w:line="28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1.自接到甲方用人需求书面通知之日起15天内乙方需派驻符合甲方要求的人员到岗，人员满编率（实际到岗人数/需求总人数）达到甲方需求总人数的80%，自第一个月起人员满编率达到100%。</w:t>
            </w:r>
          </w:p>
          <w:p>
            <w:pPr>
              <w:spacing w:line="28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2.合同履行过程中，乙方若有人员流失，需在人员离职前3天前以书面形式告知甲方，并在人员正式离职之日起7天内对缺编人员进行补足。每天考勤、每周五核算、每月30日进行统计周平均人员满编率，月度考核人员满编率累计2次低于80%，无条件解除合同。</w:t>
            </w:r>
          </w:p>
          <w:p>
            <w:pPr>
              <w:spacing w:line="28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3.若当月服务质量考核标准达到合格（a级）分数线，且人员满编率达到于100%，按实结算。</w:t>
            </w:r>
          </w:p>
          <w:p>
            <w:pPr>
              <w:spacing w:line="28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4.若当月服务质量考核标准达到合格（a级）分数线，人员满编率在90%以上（含）-100%以下，月度实付款总额=月度应付款总额-人员满编率扣除费用*100%。</w:t>
            </w:r>
          </w:p>
          <w:p>
            <w:pPr>
              <w:jc w:val="left"/>
              <w:rPr>
                <w:rFonts w:ascii="宋体" w:hAns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fldChar w:fldCharType="begin"/>
            </w:r>
            <w:r>
              <w:rPr>
                <w:rFonts w:ascii="宋体" w:hAnsi="宋体" w:cs="宋体"/>
                <w:color w:val="auto"/>
                <w:sz w:val="21"/>
                <w:szCs w:val="21"/>
                <w:highlight w:val="none"/>
              </w:rPr>
              <w:instrText xml:space="preserve"> QUOTE </w:instrText>
            </w:r>
            <w:r>
              <w:rPr>
                <w:rFonts w:hint="eastAsia" w:ascii="Times New Roman" w:hAnsi="Times New Roman"/>
                <w:color w:val="auto"/>
                <w:position w:val="-24"/>
                <w:highlight w:val="none"/>
              </w:rPr>
              <w:pict>
                <v:shape id="_x0000_i1025" o:spt="75" type="#_x0000_t75" style="height:31.5pt;width:207.7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gutterAtTop/&gt;&lt;w:stylePaneFormatFilter w:val=&quot;3F01&quot;/&gt;&lt;w:defaultTabStop w:val=&quot;420&quot;/&gt;&lt;w:drawingGridHorizontalSpacing w:val=&quot;105&quot;/&gt;&lt;w:drawingGridVerticalSpacing w:val=&quot;156&quot;/&gt;&lt;w:doNotShadeFormData/&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endnotePr&gt;&lt;w:numFmt w:val=&quot;decimal&quot;/&gt;&lt;/w:endnotePr&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172A27&quot;/&gt;&lt;wsp:rsid wsp:val=&quot;00032287&quot;/&gt;&lt;wsp:rsid wsp:val=&quot;000854B1&quot;/&gt;&lt;wsp:rsid wsp:val=&quot;0010337E&quot;/&gt;&lt;wsp:rsid wsp:val=&quot;00287793&quot;/&gt;&lt;wsp:rsid wsp:val=&quot;003020EA&quot;/&gt;&lt;wsp:rsid wsp:val=&quot;005100DD&quot;/&gt;&lt;wsp:rsid wsp:val=&quot;00960B69&quot;/&gt;&lt;wsp:rsid wsp:val=&quot;009978C3&quot;/&gt;&lt;wsp:rsid wsp:val=&quot;009D6CFF&quot;/&gt;&lt;wsp:rsid wsp:val=&quot;00A65602&quot;/&gt;&lt;wsp:rsid wsp:val=&quot;00AD2EE4&quot;/&gt;&lt;wsp:rsid wsp:val=&quot;00BB2932&quot;/&gt;&lt;wsp:rsid wsp:val=&quot;00BF0635&quot;/&gt;&lt;wsp:rsid wsp:val=&quot;00C03417&quot;/&gt;&lt;wsp:rsid wsp:val=&quot;00C228E3&quot;/&gt;&lt;wsp:rsid wsp:val=&quot;00C3747A&quot;/&gt;&lt;wsp:rsid wsp:val=&quot;00CF5FF4&quot;/&gt;&lt;wsp:rsid wsp:val=&quot;00D20966&quot;/&gt;&lt;wsp:rsid wsp:val=&quot;00F172E6&quot;/&gt;&lt;wsp:rsid wsp:val=&quot;00FE7F5D&quot;/&gt;&lt;wsp:rsid wsp:val=&quot;062C5206&quot;/&gt;&lt;wsp:rsid wsp:val=&quot;1A86783D&quot;/&gt;&lt;wsp:rsid wsp:val=&quot;2D4A0B45&quot;/&gt;&lt;wsp:rsid wsp:val=&quot;3C974EDC&quot;/&gt;&lt;wsp:rsid wsp:val=&quot;4991624D&quot;/&gt;&lt;wsp:rsid wsp:val=&quot;4B2D0900&quot;/&gt;&lt;wsp:rsid wsp:val=&quot;532C4719&quot;/&gt;&lt;wsp:rsid wsp:val=&quot;77E477A5&quot;/&gt;&lt;wsp:rsid wsp:val=&quot;7A5E3D53&quot;/&gt;&lt;/wsp:rsids&gt;&lt;/w:docPr&gt;&lt;w:body&gt;&lt;wx:sect&gt;&lt;w:p wsp:rsidR=&quot;00000000&quot; wsp:rsidRDefault=&quot;00287793&quot; wsp:rsidP=&quot;00287793&quot;&gt;&lt;m:oMathPara&gt;&lt;m:oMath&gt;&lt;m:r&gt;&lt;m:rPr&gt;&lt;m:sty m:val=&quot;p&quot;/&gt;&lt;/m:rPr&gt;&lt;w:rPr&gt;&lt;w:rFonts w:ascii=&quot;Cambria Math&quot; w:fareast=&quot;仿宋_GB2312&quot; w:h-ansi=&quot;Cambria Math&quot; w:hint=&quot;fareast&quot;/&gt;&lt;wx:font wx:val=&quot;仿宋_GB2312&quot;/&gt;&lt;w:sz w:val=&quot;18&quot;/&gt;&lt;w:sz-cs w:val=&quot;18&quot;/&gt;&lt;/w:rPr&gt;&lt;m:t&gt;人员满编率&lt;/m:t&gt;&lt;/m:r&gt;&lt;m:r&gt;&lt;m:rPr&gt;&lt;m:sty m:val=&quot;p&quot;/&gt;&lt;/m:rPr&gt;&lt;w:rPr&gt;&lt;w:rFonts w:ascii=&quot;Cambria Math&quot; w:fareast=&quot;仿宋_GB2312&quot; w:h-ansi=&quot;Cambria Math&quot;/&gt;&lt;wx:font wx:val=&quot;仿宋_GB2312&quot;/&gt;&lt;w:sz w:val=&quot;18&quot;/&gt;&lt;w:sz-cs w:val=&quot;18&quot;/&gt;&lt;/w:rPr&gt;&lt;m:t&gt;扣除费用&lt;/m:t&gt;&lt;/m:r&gt;&lt;m:r&gt;&lt;m:rPr&gt;&lt;m:sty m:val=&quot;p&quot;/&gt;&lt;/m:rPr&gt;&lt;w:rPr&gt;&lt;w:rFonts w:ascii=&quot;Cambria Math&quot; w:fareast=&quot;仿宋_GB2312&quot; w:h-ansi=&quot;Cambria Math&quot;/&gt;&lt;wx:font wx:val=&quot;Cambria Math&quot;/&gt;&lt;w:sz w:val=&quot;18&quot;/&gt;&lt;w:sz-cs w:val=&quot;18&quot;/&gt;&lt;/w:rPr&gt;&lt;m:t&gt;=&lt;/m:t&gt;&lt;/m:r&gt;&lt;m:r&gt;&lt;m:rPr&gt;&lt;m:sty m:val=&quot;p&quot;/&gt;&lt;/m:rPr&gt;&lt;w:rPr&gt;&lt;w:rFonts w:ascii=&quot;Cambria Math&quot; w:fareast=&quot;仿宋_GB2312&quot; w:h-ansi=&quot;Cambria Math&quot;/&gt;&lt;wx:font wx:val=&quot;仿宋_GB2312&quot;/&gt;&lt;w:sz w:val=&quot;18&quot;/&gt;&lt;w:sz-cs w:val=&quot;18&quot;/&gt;&lt;/w:rPr&gt;&lt;m:t&gt;缺编人数&lt;/m:t&gt;&lt;/m:r&gt;&lt;m:r&gt;&lt;m:rPr&gt;&lt;m:sty m:val=&quot;p&quot;/&gt;&lt;/m:rPr&gt;&lt;w:rPr&gt;&lt;w:rFonts w:ascii=&quot;仿宋_GB2312&quot; w:fareast=&quot;仿宋_GB2312&quot; w:h-ansi=&quot;仿宋&quot; w:hint=&quot;fareast&quot;/&gt;&lt;wx:font wx:val=&quot;仿宋_GB2312&quot;/&gt;&lt;w:sz w:val=&quot;18&quot;/&gt;&lt;w:sz-cs w:val=&quot;18&quot;/&gt;&lt;/w:rPr&gt;&lt;m:t&gt;*&lt;/m:t&gt;&lt;/m:r&gt;&lt;m:r&gt;&lt;m:rPr&gt;&lt;m:sty m:val=&quot;p&quot;/&gt;&lt;/m:rPr&gt;&lt;w:rPr&gt;&lt;w:rFonts w:ascii=&quot;Cambria Math&quot; w:fareast=&quot;仿宋_GB2312&quot; w:h-ansi=&quot;仿宋&quot;/&gt;&lt;wx:font wx:val=&quot;仿宋_GB2312&quot;/&gt;&lt;w:sz w:val=&quot;18&quot;/&gt;&lt;w:sz-cs w:val=&quot;18&quot;/&gt;&lt;/w:rPr&gt;&lt;m:t&gt;缺编&lt;/m:t&gt;&lt;/m:r&gt;&lt;m:r&gt;&lt;m:rPr&gt;&lt;m:sty m:val=&quot;p&quot;/&gt;&lt;/m:rPr&gt;&lt;w:rPr&gt;&lt;w:rFonts w:ascii=&quot;Cambria Math&quot; w:fareast=&quot;仿宋_GB2312&quot; w:h-ansi=&quot;Cambria Math&quot; w:hint=&quot;fareast&quot;/&gt;&lt;wx:font wx:val=&quot;仿宋_GB2312&quot;/&gt;&lt;w:sz w:val=&quot;18&quot;/&gt;&lt;w:sz-cs w:val=&quot;18&quot;/&gt;&lt;/w:rPr&gt;&lt;m:t&gt;天&lt;/m:t&gt;&lt;/m:r&gt;&lt;m:r&gt;&lt;m:rPr&gt;&lt;m:sty m:val=&quot;p&quot;/&gt;&lt;/m:rPr&gt;&lt;w:rPr&gt;&lt;w:rFonts w:ascii=&quot;Cambria Math&quot; w:fareast=&quot;仿宋_GB2312&quot; w:h-ansi=&quot;Cambria Math&quot;/&gt;&lt;wx:font wx:val=&quot;仿宋_GB2312&quot;/&gt;&lt;w:sz w:val=&quot;18&quot;/&gt;&lt;w:sz-cs w:val=&quot;18&quot;/&gt;&lt;/w:rPr&gt;&lt;m:t&gt;数&lt;/m:t&gt;&lt;/m:r&gt;&lt;m:r&gt;&lt;m:rPr&gt;&lt;m:sty m:val=&quot;p&quot;/&gt;&lt;/m:rPr&gt;&lt;w:rPr&gt;&lt;w:rFonts w:ascii=&quot;仿宋_GB2312&quot; w:fareast=&quot;仿宋_GB2312&quot; w:h-ansi=&quot;仿宋&quot; w:hint=&quot;fareast&quot;/&gt;&lt;wx:font wx:val=&quot;仿宋_GB2312&quot;/&gt;&lt;w:sz w:val=&quot;18&quot;/&gt;&lt;w:sz-cs w:val=&quot;18&quot;/&gt;&lt;/w:rPr&gt;&lt;m:t&gt;*&lt;/m:t&gt;&lt;/m:r&gt;&lt;m:f&gt;&lt;m:fPr&gt;&lt;m:ctrlPr&gt;&lt;w:rPr&gt;&lt;w:rFonts w:ascii=&quot;Cambria Math&quot; w:fareast=&quot;仿宋_GB2312&quot; w:h-ansi=&quot;Cambria Math&quot;/&gt;&lt;wx:font wx:val=&quot;Cambria Math&quot;/&gt;&lt;w:sz w:val=&quot;18&quot;/&gt;&lt;w:sz-cs w:val=&quot;18&quot;/&gt;&lt;/w:rPr&gt;&lt;/m:ctrlPr&gt;&lt;/m:fPr&gt;&lt;m:num&gt;&lt;m:r&gt;&lt;m:rPr&gt;&lt;m:sty m:val=&quot;p&quot;/&gt;&lt;/m:rPr&gt;&lt;w:rPr&gt;&lt;w:rFonts w:ascii=&quot;Cambria Math&quot; w:fareast=&quot;仿宋_GB2312&quot; w:h-ansi=&quot;Cambria Math&quot;/&gt;&lt;wx:font wx:val=&quot;仿宋_GB2312&quot;/&gt;&lt;w:sz w:val=&quot;18&quot;/&gt;&lt;w:sz-cs w:val=&quot;18&quot;/&gt;&lt;/w:rPr&gt;&lt;m:t&gt;人员单价&lt;/m:t&gt;&lt;/m:r&gt;&lt;/m:num&gt;&lt;m:den&gt;&lt;m:r&gt;&lt;m:rPr&gt;&lt;m:sty m:val=&quot;p&quot;/&gt;&lt;/m:rPr&gt;&lt;w:rPr&gt;&lt;w:rFonts w:ascii=&quot;Cambria Math&quot; w:fareast=&quot;仿宋_GB2312&quot; w:h-ansi=&quot;Cambria Math&quot; w:hint=&quot;fareast&quot;/&gt;&lt;wx:font wx:val=&quot;Cambria Math&quot;/&gt;&lt;w:sz w:val=&quot;18&quot;/&gt;&lt;w:sz-cs w:val=&quot;18&quot;/&gt;&lt;/w:rPr&gt;&lt;m:t&gt;26&lt;/m:t&gt;&lt;/m:r&gt;&lt;m:r&gt;&lt;m:rPr&gt;&lt;m:sty m:val=&quot;p&quot;/&gt;&lt;/m:rPr&gt;&lt;w:rPr&gt;&lt;w:rFonts w:ascii=&quot;Cambria Math&quot; w:fareast=&quot;仿宋_GB2312&quot; w:h-ansi=&quot;Cambria Math&quot; w:hint=&quot;fareast&quot;/&gt;&lt;wx:font wx:val=&quot;仿宋_GB2312&quot;/&gt;&lt;w:sz w:val=&quot;18&quot;/&gt;&lt;w:sz-cs w:val=&quot;18&quot;/&gt;&lt;/w:rPr&gt;&lt;m:t&gt;天&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22" chromakey="#FFFFFF" o:title=""/>
                  <o:lock v:ext="edit" aspectratio="t"/>
                  <w10:wrap type="none"/>
                  <w10:anchorlock/>
                </v:shape>
              </w:pict>
            </w:r>
            <w:r>
              <w:rPr>
                <w:rFonts w:ascii="宋体" w:hAnsi="宋体" w:cs="宋体"/>
                <w:color w:val="auto"/>
                <w:sz w:val="21"/>
                <w:szCs w:val="21"/>
                <w:highlight w:val="none"/>
              </w:rPr>
              <w:instrText xml:space="preserve"> </w:instrText>
            </w:r>
            <w:r>
              <w:rPr>
                <w:rFonts w:ascii="宋体" w:hAnsi="宋体" w:cs="宋体"/>
                <w:color w:val="auto"/>
                <w:sz w:val="21"/>
                <w:szCs w:val="21"/>
                <w:highlight w:val="none"/>
              </w:rPr>
              <w:fldChar w:fldCharType="separate"/>
            </w:r>
            <w:r>
              <w:rPr>
                <w:rFonts w:hint="eastAsia" w:ascii="Times New Roman" w:hAnsi="Times New Roman"/>
                <w:color w:val="auto"/>
                <w:position w:val="-24"/>
                <w:highlight w:val="none"/>
              </w:rPr>
              <w:pict>
                <v:shape id="_x0000_i1026" o:spt="75" type="#_x0000_t75" style="height:31.5pt;width:207.7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gutterAtTop/&gt;&lt;w:stylePaneFormatFilter w:val=&quot;3F01&quot;/&gt;&lt;w:defaultTabStop w:val=&quot;420&quot;/&gt;&lt;w:drawingGridHorizontalSpacing w:val=&quot;105&quot;/&gt;&lt;w:drawingGridVerticalSpacing w:val=&quot;156&quot;/&gt;&lt;w:doNotShadeFormData/&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endnotePr&gt;&lt;w:numFmt w:val=&quot;decimal&quot;/&gt;&lt;/w:endnotePr&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172A27&quot;/&gt;&lt;wsp:rsid wsp:val=&quot;00032287&quot;/&gt;&lt;wsp:rsid wsp:val=&quot;000854B1&quot;/&gt;&lt;wsp:rsid wsp:val=&quot;0010337E&quot;/&gt;&lt;wsp:rsid wsp:val=&quot;00287793&quot;/&gt;&lt;wsp:rsid wsp:val=&quot;003020EA&quot;/&gt;&lt;wsp:rsid wsp:val=&quot;005100DD&quot;/&gt;&lt;wsp:rsid wsp:val=&quot;00960B69&quot;/&gt;&lt;wsp:rsid wsp:val=&quot;009978C3&quot;/&gt;&lt;wsp:rsid wsp:val=&quot;009D6CFF&quot;/&gt;&lt;wsp:rsid wsp:val=&quot;00A65602&quot;/&gt;&lt;wsp:rsid wsp:val=&quot;00AD2EE4&quot;/&gt;&lt;wsp:rsid wsp:val=&quot;00BB2932&quot;/&gt;&lt;wsp:rsid wsp:val=&quot;00BF0635&quot;/&gt;&lt;wsp:rsid wsp:val=&quot;00C03417&quot;/&gt;&lt;wsp:rsid wsp:val=&quot;00C228E3&quot;/&gt;&lt;wsp:rsid wsp:val=&quot;00C3747A&quot;/&gt;&lt;wsp:rsid wsp:val=&quot;00CF5FF4&quot;/&gt;&lt;wsp:rsid wsp:val=&quot;00D20966&quot;/&gt;&lt;wsp:rsid wsp:val=&quot;00F172E6&quot;/&gt;&lt;wsp:rsid wsp:val=&quot;00FE7F5D&quot;/&gt;&lt;wsp:rsid wsp:val=&quot;062C5206&quot;/&gt;&lt;wsp:rsid wsp:val=&quot;1A86783D&quot;/&gt;&lt;wsp:rsid wsp:val=&quot;2D4A0B45&quot;/&gt;&lt;wsp:rsid wsp:val=&quot;3C974EDC&quot;/&gt;&lt;wsp:rsid wsp:val=&quot;4991624D&quot;/&gt;&lt;wsp:rsid wsp:val=&quot;4B2D0900&quot;/&gt;&lt;wsp:rsid wsp:val=&quot;532C4719&quot;/&gt;&lt;wsp:rsid wsp:val=&quot;77E477A5&quot;/&gt;&lt;wsp:rsid wsp:val=&quot;7A5E3D53&quot;/&gt;&lt;/wsp:rsids&gt;&lt;/w:docPr&gt;&lt;w:body&gt;&lt;wx:sect&gt;&lt;w:p wsp:rsidR=&quot;00000000&quot; wsp:rsidRDefault=&quot;00287793&quot; wsp:rsidP=&quot;00287793&quot;&gt;&lt;m:oMathPara&gt;&lt;m:oMath&gt;&lt;m:r&gt;&lt;m:rPr&gt;&lt;m:sty m:val=&quot;p&quot;/&gt;&lt;/m:rPr&gt;&lt;w:rPr&gt;&lt;w:rFonts w:ascii=&quot;Cambria Math&quot; w:fareast=&quot;仿宋_GB2312&quot; w:h-ansi=&quot;Cambria Math&quot; w:hint=&quot;fareast&quot;/&gt;&lt;wx:font wx:val=&quot;仿宋_GB2312&quot;/&gt;&lt;w:sz w:val=&quot;18&quot;/&gt;&lt;w:sz-cs w:val=&quot;18&quot;/&gt;&lt;/w:rPr&gt;&lt;m:t&gt;人员满编率&lt;/m:t&gt;&lt;/m:r&gt;&lt;m:r&gt;&lt;m:rPr&gt;&lt;m:sty m:val=&quot;p&quot;/&gt;&lt;/m:rPr&gt;&lt;w:rPr&gt;&lt;w:rFonts w:ascii=&quot;Cambria Math&quot; w:fareast=&quot;仿宋_GB2312&quot; w:h-ansi=&quot;Cambria Math&quot;/&gt;&lt;wx:font wx:val=&quot;仿宋_GB2312&quot;/&gt;&lt;w:sz w:val=&quot;18&quot;/&gt;&lt;w:sz-cs w:val=&quot;18&quot;/&gt;&lt;/w:rPr&gt;&lt;m:t&gt;扣除费用&lt;/m:t&gt;&lt;/m:r&gt;&lt;m:r&gt;&lt;m:rPr&gt;&lt;m:sty m:val=&quot;p&quot;/&gt;&lt;/m:rPr&gt;&lt;w:rPr&gt;&lt;w:rFonts w:ascii=&quot;Cambria Math&quot; w:fareast=&quot;仿宋_GB2312&quot; w:h-ansi=&quot;Cambria Math&quot;/&gt;&lt;wx:font wx:val=&quot;Cambria Math&quot;/&gt;&lt;w:sz w:val=&quot;18&quot;/&gt;&lt;w:sz-cs w:val=&quot;18&quot;/&gt;&lt;/w:rPr&gt;&lt;m:t&gt;=&lt;/m:t&gt;&lt;/m:r&gt;&lt;m:r&gt;&lt;m:rPr&gt;&lt;m:sty m:val=&quot;p&quot;/&gt;&lt;/m:rPr&gt;&lt;w:rPr&gt;&lt;w:rFonts w:ascii=&quot;Cambria Math&quot; w:fareast=&quot;仿宋_GB2312&quot; w:h-ansi=&quot;Cambria Math&quot;/&gt;&lt;wx:font wx:val=&quot;仿宋_GB2312&quot;/&gt;&lt;w:sz w:val=&quot;18&quot;/&gt;&lt;w:sz-cs w:val=&quot;18&quot;/&gt;&lt;/w:rPr&gt;&lt;m:t&gt;缺编人数&lt;/m:t&gt;&lt;/m:r&gt;&lt;m:r&gt;&lt;m:rPr&gt;&lt;m:sty m:val=&quot;p&quot;/&gt;&lt;/m:rPr&gt;&lt;w:rPr&gt;&lt;w:rFonts w:ascii=&quot;仿宋_GB2312&quot; w:fareast=&quot;仿宋_GB2312&quot; w:h-ansi=&quot;仿宋&quot; w:hint=&quot;fareast&quot;/&gt;&lt;wx:font wx:val=&quot;仿宋_GB2312&quot;/&gt;&lt;w:sz w:val=&quot;18&quot;/&gt;&lt;w:sz-cs w:val=&quot;18&quot;/&gt;&lt;/w:rPr&gt;&lt;m:t&gt;*&lt;/m:t&gt;&lt;/m:r&gt;&lt;m:r&gt;&lt;m:rPr&gt;&lt;m:sty m:val=&quot;p&quot;/&gt;&lt;/m:rPr&gt;&lt;w:rPr&gt;&lt;w:rFonts w:ascii=&quot;Cambria Math&quot; w:fareast=&quot;仿宋_GB2312&quot; w:h-ansi=&quot;仿宋&quot;/&gt;&lt;wx:font wx:val=&quot;仿宋_GB2312&quot;/&gt;&lt;w:sz w:val=&quot;18&quot;/&gt;&lt;w:sz-cs w:val=&quot;18&quot;/&gt;&lt;/w:rPr&gt;&lt;m:t&gt;缺编&lt;/m:t&gt;&lt;/m:r&gt;&lt;m:r&gt;&lt;m:rPr&gt;&lt;m:sty m:val=&quot;p&quot;/&gt;&lt;/m:rPr&gt;&lt;w:rPr&gt;&lt;w:rFonts w:ascii=&quot;Cambria Math&quot; w:fareast=&quot;仿宋_GB2312&quot; w:h-ansi=&quot;Cambria Math&quot; w:hint=&quot;fareast&quot;/&gt;&lt;wx:font wx:val=&quot;仿宋_GB2312&quot;/&gt;&lt;w:sz w:val=&quot;18&quot;/&gt;&lt;w:sz-cs w:val=&quot;18&quot;/&gt;&lt;/w:rPr&gt;&lt;m:t&gt;天&lt;/m:t&gt;&lt;/m:r&gt;&lt;m:r&gt;&lt;m:rPr&gt;&lt;m:sty m:val=&quot;p&quot;/&gt;&lt;/m:rPr&gt;&lt;w:rPr&gt;&lt;w:rFonts w:ascii=&quot;Cambria Math&quot; w:fareast=&quot;仿宋_GB2312&quot; w:h-ansi=&quot;Cambria Math&quot;/&gt;&lt;wx:font wx:val=&quot;仿宋_GB2312&quot;/&gt;&lt;w:sz w:val=&quot;18&quot;/&gt;&lt;w:sz-cs w:val=&quot;18&quot;/&gt;&lt;/w:rPr&gt;&lt;m:t&gt;数&lt;/m:t&gt;&lt;/m:r&gt;&lt;m:r&gt;&lt;m:rPr&gt;&lt;m:sty m:val=&quot;p&quot;/&gt;&lt;/m:rPr&gt;&lt;w:rPr&gt;&lt;w:rFonts w:ascii=&quot;仿宋_GB2312&quot; w:fareast=&quot;仿宋_GB2312&quot; w:h-ansi=&quot;仿宋&quot; w:hint=&quot;fareast&quot;/&gt;&lt;wx:font wx:val=&quot;仿宋_GB2312&quot;/&gt;&lt;w:sz w:val=&quot;18&quot;/&gt;&lt;w:sz-cs w:val=&quot;18&quot;/&gt;&lt;/w:rPr&gt;&lt;m:t&gt;*&lt;/m:t&gt;&lt;/m:r&gt;&lt;m:f&gt;&lt;m:fPr&gt;&lt;m:ctrlPr&gt;&lt;w:rPr&gt;&lt;w:rFonts w:ascii=&quot;Cambria Math&quot; w:fareast=&quot;仿宋_GB2312&quot; w:h-ansi=&quot;Cambria Math&quot;/&gt;&lt;wx:font wx:val=&quot;Cambria Math&quot;/&gt;&lt;w:sz w:val=&quot;18&quot;/&gt;&lt;w:sz-cs w:val=&quot;18&quot;/&gt;&lt;/w:rPr&gt;&lt;/m:ctrlPr&gt;&lt;/m:fPr&gt;&lt;m:num&gt;&lt;m:r&gt;&lt;m:rPr&gt;&lt;m:sty m:val=&quot;p&quot;/&gt;&lt;/m:rPr&gt;&lt;w:rPr&gt;&lt;w:rFonts w:ascii=&quot;Cambria Math&quot; w:fareast=&quot;仿宋_GB2312&quot; w:h-ansi=&quot;Cambria Math&quot;/&gt;&lt;wx:font wx:val=&quot;仿宋_GB2312&quot;/&gt;&lt;w:sz w:val=&quot;18&quot;/&gt;&lt;w:sz-cs w:val=&quot;18&quot;/&gt;&lt;/w:rPr&gt;&lt;m:t&gt;人员单价&lt;/m:t&gt;&lt;/m:r&gt;&lt;/m:num&gt;&lt;m:den&gt;&lt;m:r&gt;&lt;m:rPr&gt;&lt;m:sty m:val=&quot;p&quot;/&gt;&lt;/m:rPr&gt;&lt;w:rPr&gt;&lt;w:rFonts w:ascii=&quot;Cambria Math&quot; w:fareast=&quot;仿宋_GB2312&quot; w:h-ansi=&quot;Cambria Math&quot; w:hint=&quot;fareast&quot;/&gt;&lt;wx:font wx:val=&quot;Cambria Math&quot;/&gt;&lt;w:sz w:val=&quot;18&quot;/&gt;&lt;w:sz-cs w:val=&quot;18&quot;/&gt;&lt;/w:rPr&gt;&lt;m:t&gt;26&lt;/m:t&gt;&lt;/m:r&gt;&lt;m:r&gt;&lt;m:rPr&gt;&lt;m:sty m:val=&quot;p&quot;/&gt;&lt;/m:rPr&gt;&lt;w:rPr&gt;&lt;w:rFonts w:ascii=&quot;Cambria Math&quot; w:fareast=&quot;仿宋_GB2312&quot; w:h-ansi=&quot;Cambria Math&quot; w:hint=&quot;fareast&quot;/&gt;&lt;wx:font wx:val=&quot;仿宋_GB2312&quot;/&gt;&lt;w:sz w:val=&quot;18&quot;/&gt;&lt;w:sz-cs w:val=&quot;18&quot;/&gt;&lt;/w:rPr&gt;&lt;m:t&gt;天&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22" chromakey="#FFFFFF" o:title=""/>
                  <o:lock v:ext="edit" aspectratio="t"/>
                  <w10:wrap type="none"/>
                  <w10:anchorlock/>
                </v:shape>
              </w:pict>
            </w:r>
            <w:r>
              <w:rPr>
                <w:rFonts w:ascii="宋体" w:hAnsi="宋体" w:cs="宋体"/>
                <w:color w:val="auto"/>
                <w:sz w:val="21"/>
                <w:szCs w:val="21"/>
                <w:highlight w:val="none"/>
              </w:rPr>
              <w:fldChar w:fldCharType="end"/>
            </w:r>
            <w:r>
              <w:rPr>
                <w:rFonts w:hint="eastAsia" w:ascii="宋体" w:hAnsi="宋体" w:cs="宋体"/>
                <w:color w:val="auto"/>
                <w:sz w:val="21"/>
                <w:szCs w:val="21"/>
                <w:highlight w:val="none"/>
              </w:rPr>
              <w:t xml:space="preserve"> ，下同)</w:t>
            </w:r>
          </w:p>
          <w:p>
            <w:pPr>
              <w:spacing w:line="28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5.当月服务质量考核标准达到合格（a级）分数线，人员满编率在90%以下，月度实付款总额=月度应付款总额-人员满编率扣除费用*200%。</w:t>
            </w:r>
          </w:p>
          <w:p>
            <w:pPr>
              <w:spacing w:line="28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6.当月服务质量考核标准为不合格（b、c、d级）分数线，人员满编率90%以上（含）-100%以下，月度实付款总额=月度应付款总额-服务质量考核扣除费用-人员满编率扣除费用*200%。</w:t>
            </w:r>
          </w:p>
          <w:p>
            <w:pPr>
              <w:spacing w:line="28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7.当月服务质量考核标准为不合格（b、c、d级）分数线，人员满编率90%以下，月度实付款总额=月度应付款总额-服务质量考核扣除费用-人员满编率扣除费用*300%。</w:t>
            </w:r>
          </w:p>
          <w:p>
            <w:pPr>
              <w:spacing w:line="28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8.保安、保洁服务人员（服务时间在1个月内）离职率（离职人数/总需求人数）&lt;20%(向上取整)。如超过20%评定为当月服务质量考核不合格b级进行结算。累计两个月的离职率超过20%，无条件解除合同。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1291" w:type="dxa"/>
            <w:tcBorders>
              <w:left w:val="single" w:color="auto" w:sz="8" w:space="0"/>
              <w:bottom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住宅类</w:t>
            </w:r>
          </w:p>
        </w:tc>
        <w:tc>
          <w:tcPr>
            <w:tcW w:w="1527" w:type="dxa"/>
            <w:tcBorders>
              <w:bottom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90分（含）以上（业主单位对甲方有考核要求的，以业主单位考核分值为准）</w:t>
            </w:r>
          </w:p>
        </w:tc>
        <w:tc>
          <w:tcPr>
            <w:tcW w:w="1221" w:type="dxa"/>
            <w:tcBorders>
              <w:bottom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按合同月度付款总额的5%扣除</w:t>
            </w:r>
          </w:p>
        </w:tc>
        <w:tc>
          <w:tcPr>
            <w:tcW w:w="1201" w:type="dxa"/>
            <w:tcBorders>
              <w:bottom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按合同月度付款总额的10%扣除</w:t>
            </w:r>
          </w:p>
        </w:tc>
        <w:tc>
          <w:tcPr>
            <w:tcW w:w="991" w:type="dxa"/>
            <w:tcBorders>
              <w:bottom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按合同月度付款总额的15%扣除</w:t>
            </w:r>
          </w:p>
        </w:tc>
        <w:tc>
          <w:tcPr>
            <w:tcW w:w="1312" w:type="dxa"/>
            <w:tcBorders>
              <w:bottom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甲方可以无条件解除合同</w:t>
            </w:r>
          </w:p>
        </w:tc>
        <w:tc>
          <w:tcPr>
            <w:tcW w:w="7956" w:type="dxa"/>
            <w:vMerge w:val="continue"/>
            <w:tcBorders>
              <w:right w:val="single" w:color="auto" w:sz="8" w:space="0"/>
            </w:tcBorders>
            <w:noWrap w:val="0"/>
            <w:vAlign w:val="center"/>
          </w:tcPr>
          <w:p>
            <w:pPr>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291" w:type="dxa"/>
            <w:vMerge w:val="restart"/>
            <w:tcBorders>
              <w:top w:val="single" w:color="auto" w:sz="8" w:space="0"/>
              <w:left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类 别</w:t>
            </w:r>
          </w:p>
        </w:tc>
        <w:tc>
          <w:tcPr>
            <w:tcW w:w="1527" w:type="dxa"/>
            <w:vMerge w:val="restart"/>
            <w:tcBorders>
              <w:top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合格</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（a级）</w:t>
            </w:r>
          </w:p>
        </w:tc>
        <w:tc>
          <w:tcPr>
            <w:tcW w:w="4725" w:type="dxa"/>
            <w:gridSpan w:val="4"/>
            <w:tcBorders>
              <w:top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不合格</w:t>
            </w:r>
          </w:p>
        </w:tc>
        <w:tc>
          <w:tcPr>
            <w:tcW w:w="7956" w:type="dxa"/>
            <w:vMerge w:val="continue"/>
            <w:tcBorders>
              <w:right w:val="single" w:color="auto" w:sz="8" w:space="0"/>
            </w:tcBorders>
            <w:noWrap w:val="0"/>
            <w:vAlign w:val="center"/>
          </w:tcPr>
          <w:p>
            <w:pPr>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1291" w:type="dxa"/>
            <w:vMerge w:val="continue"/>
            <w:tcBorders>
              <w:left w:val="single" w:color="auto" w:sz="8" w:space="0"/>
            </w:tcBorders>
            <w:noWrap w:val="0"/>
            <w:vAlign w:val="center"/>
          </w:tcPr>
          <w:p>
            <w:pPr>
              <w:jc w:val="center"/>
              <w:rPr>
                <w:rFonts w:ascii="宋体" w:hAnsi="宋体" w:cs="宋体"/>
                <w:color w:val="auto"/>
                <w:sz w:val="21"/>
                <w:szCs w:val="21"/>
                <w:highlight w:val="none"/>
              </w:rPr>
            </w:pPr>
          </w:p>
        </w:tc>
        <w:tc>
          <w:tcPr>
            <w:tcW w:w="1527" w:type="dxa"/>
            <w:vMerge w:val="continue"/>
            <w:noWrap w:val="0"/>
            <w:vAlign w:val="center"/>
          </w:tcPr>
          <w:p>
            <w:pPr>
              <w:jc w:val="center"/>
              <w:rPr>
                <w:rFonts w:ascii="宋体" w:hAnsi="宋体" w:cs="宋体"/>
                <w:color w:val="auto"/>
                <w:sz w:val="21"/>
                <w:szCs w:val="21"/>
                <w:highlight w:val="none"/>
              </w:rPr>
            </w:pPr>
          </w:p>
        </w:tc>
        <w:tc>
          <w:tcPr>
            <w:tcW w:w="1221" w:type="dxa"/>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90分以上95分以下</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（b级）</w:t>
            </w:r>
          </w:p>
        </w:tc>
        <w:tc>
          <w:tcPr>
            <w:tcW w:w="1201" w:type="dxa"/>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85分以上90分（含）以下</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（c级）</w:t>
            </w:r>
          </w:p>
        </w:tc>
        <w:tc>
          <w:tcPr>
            <w:tcW w:w="991" w:type="dxa"/>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85分以下</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（d级）</w:t>
            </w:r>
          </w:p>
        </w:tc>
        <w:tc>
          <w:tcPr>
            <w:tcW w:w="1312" w:type="dxa"/>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年累计不合格</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两次</w:t>
            </w:r>
          </w:p>
        </w:tc>
        <w:tc>
          <w:tcPr>
            <w:tcW w:w="7956" w:type="dxa"/>
            <w:vMerge w:val="continue"/>
            <w:tcBorders>
              <w:right w:val="single" w:color="auto" w:sz="8" w:space="0"/>
            </w:tcBorders>
            <w:noWrap w:val="0"/>
            <w:vAlign w:val="center"/>
          </w:tcPr>
          <w:p>
            <w:pPr>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1291" w:type="dxa"/>
            <w:tcBorders>
              <w:left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景区/场馆/市政道路/写字楼/其他类</w:t>
            </w:r>
          </w:p>
        </w:tc>
        <w:tc>
          <w:tcPr>
            <w:tcW w:w="1527" w:type="dxa"/>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95分（含）以上（业主单位对甲方有考核要求的，以业主单位考核分值为准）</w:t>
            </w:r>
          </w:p>
        </w:tc>
        <w:tc>
          <w:tcPr>
            <w:tcW w:w="1221" w:type="dxa"/>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按合同月度付款总额的5%扣除</w:t>
            </w:r>
          </w:p>
        </w:tc>
        <w:tc>
          <w:tcPr>
            <w:tcW w:w="1201" w:type="dxa"/>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 10%扣除</w:t>
            </w:r>
          </w:p>
        </w:tc>
        <w:tc>
          <w:tcPr>
            <w:tcW w:w="991" w:type="dxa"/>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按合同月度付款总额的15%扣除</w:t>
            </w:r>
          </w:p>
        </w:tc>
        <w:tc>
          <w:tcPr>
            <w:tcW w:w="1312" w:type="dxa"/>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甲方可以无条件解除合同</w:t>
            </w:r>
          </w:p>
        </w:tc>
        <w:tc>
          <w:tcPr>
            <w:tcW w:w="7956" w:type="dxa"/>
            <w:vMerge w:val="continue"/>
            <w:tcBorders>
              <w:right w:val="single" w:color="auto" w:sz="8" w:space="0"/>
            </w:tcBorders>
            <w:noWrap w:val="0"/>
            <w:vAlign w:val="center"/>
          </w:tcPr>
          <w:p>
            <w:pPr>
              <w:jc w:val="left"/>
              <w:rPr>
                <w:rFonts w:ascii="宋体" w:hAnsi="宋体" w:cs="宋体"/>
                <w:color w:val="auto"/>
                <w:sz w:val="21"/>
                <w:szCs w:val="21"/>
                <w:highlight w:val="none"/>
              </w:rPr>
            </w:pPr>
          </w:p>
        </w:tc>
      </w:tr>
    </w:tbl>
    <w:p>
      <w:pPr>
        <w:spacing w:line="560" w:lineRule="exact"/>
        <w:rPr>
          <w:rFonts w:ascii="仿宋" w:hAnsi="仿宋" w:eastAsia="仿宋"/>
          <w:color w:val="auto"/>
          <w:szCs w:val="28"/>
          <w:highlight w:val="none"/>
        </w:rPr>
        <w:sectPr>
          <w:pgSz w:w="16838" w:h="11906" w:orient="landscape"/>
          <w:pgMar w:top="1474" w:right="1440" w:bottom="1474" w:left="1440" w:header="851" w:footer="964" w:gutter="0"/>
          <w:pgNumType w:fmt="decimal"/>
          <w:cols w:space="720" w:num="1"/>
          <w:docGrid w:type="lines" w:linePitch="312" w:charSpace="0"/>
        </w:sectPr>
      </w:pPr>
    </w:p>
    <w:p>
      <w:pPr>
        <w:pStyle w:val="6"/>
        <w:spacing w:before="240" w:beforeLines="100"/>
        <w:rPr>
          <w:rFonts w:hint="eastAsia" w:ascii="宋体" w:hAnsi="宋体" w:cs="宋体"/>
          <w:color w:val="auto"/>
          <w:sz w:val="21"/>
          <w:szCs w:val="21"/>
          <w:highlight w:val="none"/>
        </w:rPr>
      </w:pPr>
      <w:r>
        <w:rPr>
          <w:rFonts w:hint="eastAsia" w:asciiTheme="minorEastAsia" w:hAnsiTheme="minorEastAsia" w:eastAsiaTheme="minorEastAsia" w:cstheme="minorEastAsia"/>
          <w:b/>
          <w:bCs/>
          <w:color w:val="auto"/>
          <w:kern w:val="2"/>
          <w:sz w:val="24"/>
          <w:szCs w:val="24"/>
          <w:highlight w:val="none"/>
          <w:lang w:val="en-US" w:eastAsia="zh-CN" w:bidi="ar-SA"/>
        </w:rPr>
        <w:t>附件二：保洁服务考核标准</w:t>
      </w:r>
    </w:p>
    <w:tbl>
      <w:tblPr>
        <w:tblStyle w:val="44"/>
        <w:tblpPr w:leftFromText="180" w:rightFromText="180" w:vertAnchor="text" w:horzAnchor="page" w:tblpX="929" w:tblpY="760"/>
        <w:tblOverlap w:val="never"/>
        <w:tblW w:w="10170" w:type="dxa"/>
        <w:tblInd w:w="0" w:type="dxa"/>
        <w:tblLayout w:type="fixed"/>
        <w:tblCellMar>
          <w:top w:w="15" w:type="dxa"/>
          <w:left w:w="15" w:type="dxa"/>
          <w:bottom w:w="15" w:type="dxa"/>
          <w:right w:w="15" w:type="dxa"/>
        </w:tblCellMar>
      </w:tblPr>
      <w:tblGrid>
        <w:gridCol w:w="1155"/>
        <w:gridCol w:w="4530"/>
        <w:gridCol w:w="2610"/>
        <w:gridCol w:w="1875"/>
      </w:tblGrid>
      <w:tr>
        <w:tblPrEx>
          <w:tblCellMar>
            <w:top w:w="15" w:type="dxa"/>
            <w:left w:w="15" w:type="dxa"/>
            <w:bottom w:w="15" w:type="dxa"/>
            <w:right w:w="15" w:type="dxa"/>
          </w:tblCellMar>
        </w:tblPrEx>
        <w:trPr>
          <w:trHeight w:val="6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ind w:left="369" w:hanging="369" w:hangingChars="175"/>
              <w:jc w:val="center"/>
              <w:textAlignment w:val="center"/>
              <w:rPr>
                <w:rFonts w:hint="eastAsia" w:ascii="宋体" w:hAnsi="宋体" w:cs="宋体"/>
                <w:b/>
                <w:color w:val="auto"/>
                <w:sz w:val="21"/>
                <w:szCs w:val="21"/>
                <w:highlight w:val="none"/>
              </w:rPr>
            </w:pPr>
            <w:r>
              <w:rPr>
                <w:rFonts w:hint="eastAsia" w:ascii="宋体" w:hAnsi="宋体" w:cs="宋体"/>
                <w:b/>
                <w:color w:val="auto"/>
                <w:kern w:val="0"/>
                <w:sz w:val="21"/>
                <w:szCs w:val="21"/>
                <w:highlight w:val="none"/>
                <w:lang w:bidi="ar"/>
              </w:rPr>
              <w:t>区域</w:t>
            </w:r>
          </w:p>
        </w:tc>
        <w:tc>
          <w:tcPr>
            <w:tcW w:w="4530"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jc w:val="center"/>
              <w:textAlignment w:val="center"/>
              <w:rPr>
                <w:rFonts w:hint="eastAsia" w:ascii="宋体" w:hAnsi="宋体" w:cs="宋体"/>
                <w:b/>
                <w:color w:val="auto"/>
                <w:sz w:val="21"/>
                <w:szCs w:val="21"/>
                <w:highlight w:val="none"/>
              </w:rPr>
            </w:pPr>
            <w:r>
              <w:rPr>
                <w:rFonts w:hint="eastAsia" w:ascii="宋体" w:hAnsi="宋体" w:cs="宋体"/>
                <w:b/>
                <w:color w:val="auto"/>
                <w:kern w:val="0"/>
                <w:sz w:val="21"/>
                <w:szCs w:val="21"/>
                <w:highlight w:val="none"/>
                <w:lang w:bidi="ar"/>
              </w:rPr>
              <w:t>质量要求</w:t>
            </w:r>
          </w:p>
        </w:tc>
        <w:tc>
          <w:tcPr>
            <w:tcW w:w="2610"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jc w:val="center"/>
              <w:textAlignment w:val="center"/>
              <w:rPr>
                <w:rFonts w:hint="eastAsia" w:ascii="宋体" w:hAnsi="宋体" w:cs="宋体"/>
                <w:b/>
                <w:color w:val="auto"/>
                <w:sz w:val="21"/>
                <w:szCs w:val="21"/>
                <w:highlight w:val="none"/>
              </w:rPr>
            </w:pPr>
            <w:r>
              <w:rPr>
                <w:rFonts w:hint="eastAsia" w:ascii="宋体" w:hAnsi="宋体" w:cs="宋体"/>
                <w:b/>
                <w:color w:val="auto"/>
                <w:kern w:val="0"/>
                <w:sz w:val="21"/>
                <w:szCs w:val="21"/>
                <w:highlight w:val="none"/>
                <w:lang w:bidi="ar"/>
              </w:rPr>
              <w:t>考核标准</w:t>
            </w:r>
          </w:p>
        </w:tc>
        <w:tc>
          <w:tcPr>
            <w:tcW w:w="1875"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jc w:val="center"/>
              <w:textAlignment w:val="center"/>
              <w:rPr>
                <w:rFonts w:hint="eastAsia" w:ascii="宋体" w:hAnsi="宋体" w:cs="宋体"/>
                <w:b/>
                <w:color w:val="auto"/>
                <w:sz w:val="21"/>
                <w:szCs w:val="21"/>
                <w:highlight w:val="none"/>
              </w:rPr>
            </w:pPr>
            <w:r>
              <w:rPr>
                <w:rFonts w:hint="eastAsia" w:ascii="宋体" w:hAnsi="宋体" w:cs="宋体"/>
                <w:b/>
                <w:color w:val="auto"/>
                <w:kern w:val="0"/>
                <w:sz w:val="21"/>
                <w:szCs w:val="21"/>
                <w:highlight w:val="none"/>
                <w:lang w:bidi="ar"/>
              </w:rPr>
              <w:t>扣分标准</w:t>
            </w:r>
          </w:p>
        </w:tc>
      </w:tr>
      <w:tr>
        <w:tblPrEx>
          <w:tblCellMar>
            <w:top w:w="15" w:type="dxa"/>
            <w:left w:w="15" w:type="dxa"/>
            <w:bottom w:w="15" w:type="dxa"/>
            <w:right w:w="15" w:type="dxa"/>
          </w:tblCellMar>
        </w:tblPrEx>
        <w:trPr>
          <w:trHeight w:val="1085" w:hRule="atLeast"/>
        </w:trPr>
        <w:tc>
          <w:tcPr>
            <w:tcW w:w="115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仪容仪表及行为举止</w:t>
            </w:r>
          </w:p>
        </w:tc>
        <w:tc>
          <w:tcPr>
            <w:tcW w:w="4530" w:type="dxa"/>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a)员工上班期间统一着工装，仪态自然，精神状态饱满</w:t>
            </w:r>
            <w:r>
              <w:rPr>
                <w:rStyle w:val="110"/>
                <w:rFonts w:hint="default"/>
                <w:color w:val="auto"/>
                <w:sz w:val="21"/>
                <w:szCs w:val="21"/>
                <w:highlight w:val="none"/>
                <w:lang w:bidi="ar"/>
              </w:rPr>
              <w:t>（女性统一盘发佩戴头花，男性不得留长胡须，头发前不过眉，侧不过耳，后不齐领）</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干净整洁无破损，无明显褶皱、污渍,正确佩戴工牌（图标字体清晰）</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799" w:hRule="atLeast"/>
        </w:trPr>
        <w:tc>
          <w:tcPr>
            <w:tcW w:w="11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b)不以任何理由与业主方、客户发生争吵、打架</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无与客户、业主方发生争吵、打架的现象</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1006" w:hRule="atLeast"/>
        </w:trPr>
        <w:tc>
          <w:tcPr>
            <w:tcW w:w="11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c)不得在工作场所大声喧哗，趴在工作台上休息，不打瞌睡或串岗聊天、吃零食</w:t>
            </w:r>
            <w:r>
              <w:rPr>
                <w:rStyle w:val="110"/>
                <w:rFonts w:hint="default"/>
                <w:color w:val="auto"/>
                <w:sz w:val="21"/>
                <w:szCs w:val="21"/>
                <w:highlight w:val="none"/>
                <w:lang w:bidi="ar"/>
              </w:rPr>
              <w:t>、玩手机等从事与工作无关的活动</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工作人员值班状态良好，未做与工作无关的事情</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每发现一处不合格扣0.5分（打瞌睡另行再扣200元/次）</w:t>
            </w:r>
          </w:p>
        </w:tc>
      </w:tr>
      <w:tr>
        <w:tblPrEx>
          <w:tblCellMar>
            <w:top w:w="15" w:type="dxa"/>
            <w:left w:w="15" w:type="dxa"/>
            <w:bottom w:w="15" w:type="dxa"/>
            <w:right w:w="15" w:type="dxa"/>
          </w:tblCellMar>
        </w:tblPrEx>
        <w:trPr>
          <w:trHeight w:val="666" w:hRule="atLeast"/>
        </w:trPr>
        <w:tc>
          <w:tcPr>
            <w:tcW w:w="11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d)不得以权牟私，侵害业主及他人的利益</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无侵害他人及业主方、客户利益的事情发生</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每发现一处不符合标准扣5分</w:t>
            </w:r>
          </w:p>
        </w:tc>
      </w:tr>
      <w:tr>
        <w:tblPrEx>
          <w:tblCellMar>
            <w:top w:w="15" w:type="dxa"/>
            <w:left w:w="15" w:type="dxa"/>
            <w:bottom w:w="15" w:type="dxa"/>
            <w:right w:w="15" w:type="dxa"/>
          </w:tblCellMar>
        </w:tblPrEx>
        <w:trPr>
          <w:trHeight w:val="900" w:hRule="atLeast"/>
        </w:trPr>
        <w:tc>
          <w:tcPr>
            <w:tcW w:w="1155" w:type="dxa"/>
            <w:vMerge w:val="continue"/>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000000" w:sz="4" w:space="0"/>
              <w:left w:val="single" w:color="000000" w:sz="4" w:space="0"/>
              <w:bottom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e)礼貌待人，微笑服务，不讲脏话、粗话，业主方及客户需要帮助时，</w:t>
            </w:r>
            <w:r>
              <w:rPr>
                <w:rStyle w:val="145"/>
                <w:rFonts w:hint="default"/>
                <w:color w:val="auto"/>
                <w:sz w:val="21"/>
                <w:szCs w:val="21"/>
                <w:highlight w:val="none"/>
                <w:lang w:bidi="ar"/>
              </w:rPr>
              <w:t>主</w:t>
            </w:r>
            <w:r>
              <w:rPr>
                <w:rStyle w:val="154"/>
                <w:rFonts w:hint="default"/>
                <w:color w:val="auto"/>
                <w:sz w:val="21"/>
                <w:szCs w:val="21"/>
                <w:highlight w:val="none"/>
                <w:lang w:bidi="ar"/>
              </w:rPr>
              <w:t>动及时提供服务</w:t>
            </w:r>
          </w:p>
        </w:tc>
        <w:tc>
          <w:tcPr>
            <w:tcW w:w="2610" w:type="dxa"/>
            <w:tcBorders>
              <w:top w:val="single" w:color="000000" w:sz="4" w:space="0"/>
              <w:left w:val="single" w:color="000000" w:sz="4" w:space="0"/>
              <w:bottom w:val="single" w:color="auto" w:sz="4" w:space="0"/>
              <w:right w:val="single" w:color="000000"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行为举止文明大方，能主动为客户提供帮助</w:t>
            </w:r>
          </w:p>
        </w:tc>
        <w:tc>
          <w:tcPr>
            <w:tcW w:w="1875"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87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楼层公共区域</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ａ)砖面及拼缝、边沿线等处应洁净，无积垢、灰尘、纸屑、食品残渣、水迹和胶粘物等，保持地面干燥清洁</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干净、光滑明亮、无杂物、无污渍、无水渍</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672"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b)内墙面、天花、顶角、转角及墙踢脚等处无积尘、霉斑和蜘蛛网</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干净无灰尘、无霉斑、蜘蛛网</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90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c) 玻璃门、玻璃窗、窗台、窗框及上下部位的缝隙处等表面应洁净、明亮，无水迹、无积尘、污迹、斑点、指印和张贴物</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洁净明亮、无水迹、无指纹、无张贴物，洁净明亮</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63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d)窗台及上下四周接缝处等应光洁，无灰尘</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干净无灰尘</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75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e) 门面、门框、门背等应无油迹和灰尘，金属门饰、门锁、门附件等应保持金属光亮，无锈斑、污迹</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干净光亮，无油迹灰尘、无锈斑污渍</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f)照明灯具消防排烟口、警铃、安全指示灯、各种标识标牌、消防栓箱、楼层分布牌等各类设施表面干净，无灰尘、水迹、斑点</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干净无灰尘，无污渍、积尘</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g)楼梯无痰迹、油污、纸屑和废弃垃圾;扶手栏杆应洁净，无污迹和灰尘</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干净、无纸屑，无痰迹污迹</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h)排风口无积灰、无污渍，空调进出风口网面无积灰</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无积灰、无污渍</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i)垃圾桶外表干净，无积垢、臭味；</w:t>
            </w:r>
            <w:r>
              <w:rPr>
                <w:rStyle w:val="110"/>
                <w:rFonts w:hint="default"/>
                <w:color w:val="auto"/>
                <w:sz w:val="21"/>
                <w:szCs w:val="21"/>
                <w:highlight w:val="none"/>
                <w:lang w:bidi="ar"/>
              </w:rPr>
              <w:t>垃圾不得超过桶底2/3</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干净，无积垢、臭味；</w:t>
            </w:r>
            <w:r>
              <w:rPr>
                <w:rStyle w:val="110"/>
                <w:rFonts w:hint="default"/>
                <w:color w:val="auto"/>
                <w:sz w:val="21"/>
                <w:szCs w:val="21"/>
                <w:highlight w:val="none"/>
                <w:lang w:bidi="ar"/>
              </w:rPr>
              <w:t>垃圾不超过桶底2/3</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每发现一处不符合标准扣5分</w:t>
            </w:r>
          </w:p>
        </w:tc>
      </w:tr>
      <w:tr>
        <w:tblPrEx>
          <w:tblCellMar>
            <w:top w:w="15" w:type="dxa"/>
            <w:left w:w="15" w:type="dxa"/>
            <w:bottom w:w="15" w:type="dxa"/>
            <w:right w:w="15" w:type="dxa"/>
          </w:tblCellMar>
        </w:tblPrEx>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j)电梯轿厢内干净、无杂物，小广告，门表面光亮，无污渍手印；轿厢四壁显示屏、召唤面板按钮干净、无污渍印迹；内壁顶部、门槽内无杂物、灰尘</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光亮、干净、无污渍印迹，杂物、灰尘</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50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地下车库</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a)车库地面无积水、积尘、油迹</w:t>
            </w:r>
            <w:r>
              <w:rPr>
                <w:rStyle w:val="154"/>
                <w:rFonts w:hint="default"/>
                <w:color w:val="auto"/>
                <w:sz w:val="21"/>
                <w:szCs w:val="21"/>
                <w:highlight w:val="none"/>
                <w:lang w:bidi="ar"/>
              </w:rPr>
              <w:t>、</w:t>
            </w:r>
            <w:r>
              <w:rPr>
                <w:rStyle w:val="110"/>
                <w:rFonts w:hint="default"/>
                <w:color w:val="auto"/>
                <w:sz w:val="21"/>
                <w:szCs w:val="21"/>
                <w:highlight w:val="none"/>
                <w:lang w:bidi="ar"/>
              </w:rPr>
              <w:t>污渍和</w:t>
            </w:r>
            <w:r>
              <w:rPr>
                <w:rStyle w:val="154"/>
                <w:rFonts w:hint="default"/>
                <w:color w:val="auto"/>
                <w:sz w:val="21"/>
                <w:szCs w:val="21"/>
                <w:highlight w:val="none"/>
                <w:lang w:bidi="ar"/>
              </w:rPr>
              <w:t>垃圾</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无积水、垃圾油迹</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57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b)照明灯表面无灰尘、灯罩内无死蚊、蝇、虫</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干净无灰尘</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61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c)消防设施设备表面无尘土、无杂物，管道表面无脏物</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干净无灰尘，管道表面无脏物</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90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d)</w:t>
            </w:r>
            <w:r>
              <w:rPr>
                <w:rStyle w:val="110"/>
                <w:rFonts w:hint="default"/>
                <w:color w:val="auto"/>
                <w:sz w:val="21"/>
                <w:szCs w:val="21"/>
                <w:highlight w:val="none"/>
                <w:lang w:bidi="ar"/>
              </w:rPr>
              <w:t>跟进车库虫害防控，定期进行消毒</w:t>
            </w:r>
            <w:r>
              <w:rPr>
                <w:rStyle w:val="154"/>
                <w:rFonts w:hint="default"/>
                <w:color w:val="auto"/>
                <w:sz w:val="21"/>
                <w:szCs w:val="21"/>
                <w:highlight w:val="none"/>
                <w:lang w:bidi="ar"/>
              </w:rPr>
              <w:t>处理，保持空气流通，无异味</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干净无异味</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78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外围公共区域</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a)外围公共道路、场地应保持干净、平整，无积水、残叶和垃圾。</w:t>
            </w:r>
            <w:r>
              <w:rPr>
                <w:rStyle w:val="110"/>
                <w:rFonts w:hint="default"/>
                <w:color w:val="auto"/>
                <w:sz w:val="21"/>
                <w:szCs w:val="21"/>
                <w:highlight w:val="none"/>
                <w:lang w:bidi="ar"/>
              </w:rPr>
              <w:t>无明显油污、青苔、锈渍等</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干净平整无残叶无垃圾</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78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b)台阶应保持清洁，无纸屑、青苔、痰迹和污迹</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干净，无纸屑，痰迹污迹</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75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c)排水沟内无泥沙，杂物，排水畅通；花坛内无烟蒂、杂物，走道和路边无废弃物</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无泥沙无烟头无杂物废弃物</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90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d)室外公共场地垃圾桶（箱）摆放整齐、外表干净，每天擦拭，无异味，垃圾箱内垃圾不得超过垃圾桶（箱）底2/3</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表面干净、垃圾无溢出、周边无异味</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90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e)室外照明灯具、消防设施、宣传栏、道闸监控等设施需每天进行擦拭，无积尘、污渍及坠挂物，灯杆无明显污渍、无乱张粘</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无积尘、污渍及坠挂物、无乱张粘</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58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f)台盆和台面应无积垢、锈迹、皂迹和毛发</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无灰尘，干净无杂物</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57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g)洗手池池壁无污垢、无痰迹及头发等不洁物，水龙头无任何印迹、污垢，光亮、洁净，洗手池台面无水迹、无尘土、无污物</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干净、光亮，无水迹、无尘土、无污物</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454"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h)便斗内应放置清洁球，无污垢，卫生用品无短缺</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清洁球按要求放置，无污垢</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i）坐便器、大便池外部无污垢，内部无黄斑，便盖无水迹和污迹；小便器无尿碱、无水锈印迹（黄迹）、无污垢、喷水嘴应洁净；恭桶内外洁净，无大便痕迹、无污垢黄迹</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干净无污迹、水迹、无污垢黄迹</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54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j)废纸篓无污迹和臭味</w:t>
            </w:r>
            <w:r>
              <w:rPr>
                <w:rStyle w:val="154"/>
                <w:rFonts w:hint="default"/>
                <w:color w:val="auto"/>
                <w:sz w:val="21"/>
                <w:szCs w:val="21"/>
                <w:highlight w:val="none"/>
                <w:lang w:bidi="ar"/>
              </w:rPr>
              <w:t>，</w:t>
            </w:r>
            <w:r>
              <w:rPr>
                <w:rStyle w:val="110"/>
                <w:rFonts w:hint="default"/>
                <w:color w:val="auto"/>
                <w:sz w:val="21"/>
                <w:szCs w:val="21"/>
                <w:highlight w:val="none"/>
                <w:lang w:bidi="ar"/>
              </w:rPr>
              <w:t>垃圾、污物量不得超过桶底2/3</w:t>
            </w:r>
            <w:r>
              <w:rPr>
                <w:rFonts w:hint="eastAsia" w:ascii="宋体" w:hAnsi="宋体" w:cs="宋体"/>
                <w:color w:val="auto"/>
                <w:sz w:val="21"/>
                <w:szCs w:val="21"/>
                <w:highlight w:val="none"/>
              </w:rPr>
              <w:t xml:space="preserve"> </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干净无污迹臭味，</w:t>
            </w:r>
            <w:r>
              <w:rPr>
                <w:rStyle w:val="110"/>
                <w:rFonts w:hint="default"/>
                <w:color w:val="auto"/>
                <w:sz w:val="21"/>
                <w:szCs w:val="21"/>
                <w:highlight w:val="none"/>
                <w:lang w:bidi="ar"/>
              </w:rPr>
              <w:t>垃圾、污物量不得超过桶底2/3</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57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k)地面无污秽物、水迹和脚印，无尘土、碎纸、垃圾、无积水、无尿迹、污迹（凡含酸性的清洁剂不允许洒落在地面上）</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干净无水迹，无杂物</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57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l)壁面、隔板及顶板无尘土、无污渍、无手印</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无尘土、无污渍、无手印</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94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天台和天沟</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a)天台应保持清洁、无垃圾、烟蒂和堆积物</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干净无垃圾无烟头，无堆积物</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66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b)天沟无淤泥、杂物，保持落水畅通</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无淤泥，无杂物</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450" w:hRule="atLeast"/>
        </w:trPr>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外墙立面</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a)外墙立面无乱张粘，二米以下无污垢，外侧面无污水渍</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无乱张粘，二米以下无污迹</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66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工具、设备房</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a)工具、设备分类放置，有使用记录</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分类放置，有使用记录</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66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b工具、设备清洁后应合理收置，摆放整齐</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干净整洁</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66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垃圾房/中转站</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a)垃圾放置处应定期消毒，保持地面干净、清洁，周边无垃圾、蚊蝇和臭味</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干净无灰尘无垃圾无蚊蝇无异味</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1558"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b)不得将收集的垃圾堆放于垃圾房/中转站以外，并严格按照操作标准操作垃圾站设备，发现垃圾满溢需及时通知甲方协调处理</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按要求操作垃圾站设备，垃圾无乱堆乱放</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每发现一处不符合标准扣5分</w:t>
            </w:r>
          </w:p>
        </w:tc>
      </w:tr>
      <w:tr>
        <w:tblPrEx>
          <w:tblCellMar>
            <w:top w:w="15" w:type="dxa"/>
            <w:left w:w="15" w:type="dxa"/>
            <w:bottom w:w="15" w:type="dxa"/>
            <w:right w:w="15" w:type="dxa"/>
          </w:tblCellMar>
        </w:tblPrEx>
        <w:trPr>
          <w:trHeight w:val="981"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21"/>
                <w:highlight w:val="none"/>
              </w:rPr>
            </w:pPr>
            <w:r>
              <w:rPr>
                <w:rFonts w:hint="eastAsia" w:ascii="宋体" w:hAnsi="宋体" w:cs="宋体"/>
                <w:color w:val="auto"/>
                <w:sz w:val="21"/>
                <w:szCs w:val="21"/>
                <w:highlight w:val="none"/>
              </w:rPr>
              <w:t>应急突发事件反应速度和执行力</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auto"/>
                <w:kern w:val="0"/>
                <w:sz w:val="21"/>
                <w:szCs w:val="21"/>
                <w:highlight w:val="none"/>
              </w:rPr>
            </w:pPr>
            <w:r>
              <w:rPr>
                <w:rFonts w:hint="eastAsia" w:ascii="宋体" w:hAnsi="宋体" w:cs="宋体"/>
                <w:color w:val="auto"/>
                <w:sz w:val="21"/>
                <w:szCs w:val="21"/>
                <w:highlight w:val="none"/>
              </w:rPr>
              <w:t>a)接到任务后迅速安排人力物力财力，将任务完成好</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auto"/>
                <w:kern w:val="0"/>
                <w:sz w:val="21"/>
                <w:szCs w:val="21"/>
                <w:highlight w:val="none"/>
              </w:rPr>
            </w:pPr>
            <w:r>
              <w:rPr>
                <w:rFonts w:hint="eastAsia" w:ascii="宋体" w:hAnsi="宋体" w:cs="宋体"/>
                <w:color w:val="auto"/>
                <w:sz w:val="21"/>
                <w:szCs w:val="21"/>
                <w:highlight w:val="none"/>
              </w:rPr>
              <w:t>接到任务未能迅速做出应急反应，延误任务</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每发现一处不符合</w:t>
            </w:r>
            <w:r>
              <w:rPr>
                <w:rFonts w:hint="eastAsia" w:ascii="宋体" w:hAnsi="宋体" w:cs="宋体"/>
                <w:color w:val="auto"/>
                <w:sz w:val="21"/>
                <w:szCs w:val="21"/>
                <w:highlight w:val="none"/>
              </w:rPr>
              <w:t>扣5分</w:t>
            </w:r>
          </w:p>
        </w:tc>
      </w:tr>
      <w:tr>
        <w:tblPrEx>
          <w:tblCellMar>
            <w:top w:w="15" w:type="dxa"/>
            <w:left w:w="15" w:type="dxa"/>
            <w:bottom w:w="15" w:type="dxa"/>
            <w:right w:w="15" w:type="dxa"/>
          </w:tblCellMar>
        </w:tblPrEx>
        <w:trPr>
          <w:trHeight w:val="1226"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b)如发生意外伤害事故，需及时上报，并将处理结果报甲方和主管部门备案</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未及时处置、上报</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每发生一起安全事故或未上报扣5分</w:t>
            </w:r>
            <w:r>
              <w:rPr>
                <w:rFonts w:hint="eastAsia" w:ascii="宋体" w:hAnsi="宋体" w:cs="宋体"/>
                <w:color w:val="auto"/>
                <w:sz w:val="21"/>
                <w:szCs w:val="21"/>
                <w:highlight w:val="none"/>
              </w:rPr>
              <w:t>/次，连续三个月发生安全事故，终止合同</w:t>
            </w:r>
          </w:p>
        </w:tc>
      </w:tr>
      <w:tr>
        <w:tblPrEx>
          <w:tblCellMar>
            <w:top w:w="15" w:type="dxa"/>
            <w:left w:w="15" w:type="dxa"/>
            <w:bottom w:w="15" w:type="dxa"/>
            <w:right w:w="15" w:type="dxa"/>
          </w:tblCellMar>
        </w:tblPrEx>
        <w:trPr>
          <w:trHeight w:val="791" w:hRule="atLeast"/>
        </w:trPr>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kern w:val="0"/>
                <w:sz w:val="21"/>
                <w:szCs w:val="21"/>
                <w:highlight w:val="none"/>
              </w:rPr>
            </w:pPr>
            <w:r>
              <w:rPr>
                <w:rFonts w:hint="eastAsia" w:ascii="宋体" w:hAnsi="宋体" w:cs="宋体"/>
                <w:color w:val="auto"/>
                <w:sz w:val="21"/>
                <w:szCs w:val="21"/>
                <w:highlight w:val="none"/>
              </w:rPr>
              <w:t>完成应急突发任务及完成效果</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auto"/>
                <w:kern w:val="0"/>
                <w:sz w:val="21"/>
                <w:szCs w:val="21"/>
                <w:highlight w:val="none"/>
              </w:rPr>
            </w:pPr>
            <w:r>
              <w:rPr>
                <w:rFonts w:hint="eastAsia" w:ascii="宋体" w:hAnsi="宋体" w:cs="宋体"/>
                <w:color w:val="auto"/>
                <w:sz w:val="21"/>
                <w:szCs w:val="21"/>
                <w:highlight w:val="none"/>
              </w:rPr>
              <w:t>a)将应急突发事件尽力完成好</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auto"/>
                <w:kern w:val="0"/>
                <w:sz w:val="21"/>
                <w:szCs w:val="21"/>
                <w:highlight w:val="none"/>
              </w:rPr>
            </w:pPr>
            <w:r>
              <w:rPr>
                <w:rFonts w:hint="eastAsia" w:ascii="宋体" w:hAnsi="宋体" w:cs="宋体"/>
                <w:color w:val="auto"/>
                <w:sz w:val="21"/>
                <w:szCs w:val="21"/>
                <w:highlight w:val="none"/>
              </w:rPr>
              <w:t>处理应急突发事件的效果不理想</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auto"/>
                <w:kern w:val="0"/>
                <w:sz w:val="21"/>
                <w:szCs w:val="21"/>
                <w:highlight w:val="none"/>
              </w:rPr>
            </w:pPr>
            <w:r>
              <w:rPr>
                <w:rFonts w:hint="eastAsia" w:ascii="宋体" w:hAnsi="宋体" w:cs="宋体"/>
                <w:color w:val="auto"/>
                <w:sz w:val="21"/>
                <w:szCs w:val="21"/>
                <w:highlight w:val="none"/>
              </w:rPr>
              <w:t>处置工作不到位，工作落实不严谨扣0.5分/次</w:t>
            </w:r>
          </w:p>
        </w:tc>
      </w:tr>
      <w:tr>
        <w:tblPrEx>
          <w:tblCellMar>
            <w:top w:w="15" w:type="dxa"/>
            <w:left w:w="15" w:type="dxa"/>
            <w:bottom w:w="15" w:type="dxa"/>
            <w:right w:w="15" w:type="dxa"/>
          </w:tblCellMar>
        </w:tblPrEx>
        <w:trPr>
          <w:trHeight w:val="1144"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其他（附加）</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a)如遇雨天、雪天特殊天气或保洁现场作业影响人员进出时，需在作业现场放置“作业进行中”等温馨提示牌</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未按要求放置温馨提示牌</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每发现一次不符合标准扣5分</w:t>
            </w:r>
          </w:p>
        </w:tc>
      </w:tr>
      <w:tr>
        <w:tblPrEx>
          <w:tblCellMar>
            <w:top w:w="15" w:type="dxa"/>
            <w:left w:w="15" w:type="dxa"/>
            <w:bottom w:w="15" w:type="dxa"/>
            <w:right w:w="15" w:type="dxa"/>
          </w:tblCellMar>
        </w:tblPrEx>
        <w:trPr>
          <w:trHeight w:val="66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b)因保洁工作不到位导致客户/业主单位投诉</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保洁工作不到位</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每发现一次不符合标准扣5分</w:t>
            </w:r>
          </w:p>
        </w:tc>
      </w:tr>
    </w:tbl>
    <w:p>
      <w:pPr>
        <w:rPr>
          <w:rFonts w:ascii="宋体" w:hAnsi="宋体"/>
          <w:color w:val="auto"/>
          <w:szCs w:val="28"/>
          <w:highlight w:val="none"/>
        </w:rPr>
      </w:pPr>
    </w:p>
    <w:p>
      <w:pPr>
        <w:spacing w:line="360" w:lineRule="auto"/>
        <w:rPr>
          <w:rFonts w:ascii="宋体" w:hAnsi="宋体"/>
          <w:color w:val="auto"/>
          <w:sz w:val="24"/>
          <w:szCs w:val="24"/>
          <w:highlight w:val="none"/>
        </w:rPr>
      </w:pPr>
    </w:p>
    <w:p>
      <w:pPr>
        <w:spacing w:line="360" w:lineRule="auto"/>
        <w:rPr>
          <w:rFonts w:ascii="宋体" w:hAnsi="宋体"/>
          <w:color w:val="auto"/>
          <w:sz w:val="24"/>
          <w:szCs w:val="24"/>
          <w:highlight w:val="none"/>
        </w:rPr>
      </w:pPr>
    </w:p>
    <w:p>
      <w:pPr>
        <w:spacing w:line="360" w:lineRule="auto"/>
        <w:rPr>
          <w:rFonts w:ascii="宋体" w:hAnsi="宋体"/>
          <w:color w:val="auto"/>
          <w:sz w:val="24"/>
          <w:szCs w:val="24"/>
          <w:highlight w:val="none"/>
        </w:rPr>
      </w:pPr>
    </w:p>
    <w:p>
      <w:pPr>
        <w:spacing w:line="360" w:lineRule="auto"/>
        <w:rPr>
          <w:rFonts w:ascii="宋体" w:hAnsi="宋体"/>
          <w:color w:val="auto"/>
          <w:sz w:val="24"/>
          <w:szCs w:val="24"/>
          <w:highlight w:val="none"/>
        </w:rPr>
      </w:pPr>
    </w:p>
    <w:p>
      <w:pPr>
        <w:spacing w:line="360" w:lineRule="auto"/>
        <w:rPr>
          <w:rFonts w:ascii="宋体" w:hAnsi="宋体"/>
          <w:color w:val="auto"/>
          <w:sz w:val="24"/>
          <w:szCs w:val="24"/>
          <w:highlight w:val="none"/>
        </w:rPr>
      </w:pPr>
      <w:r>
        <w:rPr>
          <w:rFonts w:ascii="宋体" w:hAnsi="宋体"/>
          <w:color w:val="auto"/>
          <w:sz w:val="24"/>
          <w:szCs w:val="24"/>
          <w:highlight w:val="none"/>
        </w:rPr>
        <w:t>附件</w:t>
      </w:r>
      <w:r>
        <w:rPr>
          <w:rFonts w:hint="eastAsia" w:ascii="宋体" w:hAnsi="宋体"/>
          <w:color w:val="auto"/>
          <w:sz w:val="24"/>
          <w:szCs w:val="24"/>
          <w:highlight w:val="none"/>
        </w:rPr>
        <w:t>三</w:t>
      </w:r>
    </w:p>
    <w:p>
      <w:pPr>
        <w:tabs>
          <w:tab w:val="left" w:pos="900"/>
        </w:tabs>
        <w:snapToGrid w:val="0"/>
        <w:spacing w:line="440" w:lineRule="exact"/>
        <w:ind w:firstLine="357"/>
        <w:jc w:val="center"/>
        <w:rPr>
          <w:rFonts w:ascii="宋体" w:hAnsi="宋体" w:cs="黑体"/>
          <w:b/>
          <w:color w:val="auto"/>
          <w:sz w:val="24"/>
          <w:szCs w:val="24"/>
          <w:highlight w:val="none"/>
        </w:rPr>
      </w:pPr>
      <w:r>
        <w:rPr>
          <w:rFonts w:hint="eastAsia" w:ascii="宋体" w:hAnsi="宋体" w:cs="黑体"/>
          <w:b/>
          <w:color w:val="auto"/>
          <w:sz w:val="24"/>
          <w:szCs w:val="24"/>
          <w:highlight w:val="none"/>
        </w:rPr>
        <w:t>廉洁协议</w:t>
      </w:r>
    </w:p>
    <w:p>
      <w:pPr>
        <w:tabs>
          <w:tab w:val="left" w:pos="900"/>
        </w:tabs>
        <w:snapToGrid w:val="0"/>
        <w:spacing w:line="340" w:lineRule="exact"/>
        <w:ind w:firstLine="357"/>
        <w:rPr>
          <w:rFonts w:ascii="宋体" w:hAnsi="宋体"/>
          <w:color w:val="auto"/>
          <w:sz w:val="24"/>
          <w:highlight w:val="none"/>
        </w:rPr>
      </w:pP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项目名称：</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 xml:space="preserve">  </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合同编号：</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ab/>
      </w:r>
      <w:r>
        <w:rPr>
          <w:rFonts w:hint="eastAsia" w:asciiTheme="minorEastAsia" w:hAnsiTheme="minorEastAsia" w:eastAsiaTheme="minorEastAsia" w:cstheme="minorEastAsia"/>
          <w:color w:val="auto"/>
          <w:sz w:val="21"/>
          <w:szCs w:val="21"/>
          <w:highlight w:val="none"/>
          <w:u w:val="single"/>
        </w:rPr>
        <w:t xml:space="preserve">                                 </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甲    方：</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kern w:val="0"/>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u w:val="single"/>
        </w:rPr>
        <w:t xml:space="preserve"> </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u w:val="single"/>
        </w:rPr>
      </w:pPr>
      <w:r>
        <w:rPr>
          <w:rFonts w:hint="eastAsia" w:asciiTheme="minorEastAsia" w:hAnsiTheme="minorEastAsia" w:eastAsiaTheme="minorEastAsia" w:cstheme="minorEastAsia"/>
          <w:color w:val="auto"/>
          <w:sz w:val="21"/>
          <w:szCs w:val="21"/>
          <w:highlight w:val="none"/>
        </w:rPr>
        <w:t>乙    方：</w:t>
      </w:r>
      <w:r>
        <w:rPr>
          <w:rFonts w:hint="eastAsia" w:asciiTheme="minorEastAsia" w:hAnsiTheme="minorEastAsia" w:eastAsiaTheme="minorEastAsia" w:cstheme="minorEastAsia"/>
          <w:color w:val="auto"/>
          <w:sz w:val="21"/>
          <w:szCs w:val="21"/>
          <w:highlight w:val="none"/>
          <w:u w:val="single"/>
        </w:rPr>
        <w:t xml:space="preserve">                                </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为了保证甲、乙双方合作的公平和公正，在合同履行过程中保持廉洁自律的工作作风，防止各种不正当行为的发生，确保甲、乙双方的合法利益不受侵害，经协商一致，在签订</w:t>
      </w:r>
      <w:r>
        <w:rPr>
          <w:rFonts w:hint="eastAsia" w:asciiTheme="minorEastAsia" w:hAnsiTheme="minorEastAsia" w:eastAsiaTheme="minorEastAsia" w:cstheme="minorEastAsia"/>
          <w:color w:val="auto"/>
          <w:sz w:val="21"/>
          <w:szCs w:val="21"/>
          <w:highlight w:val="none"/>
          <w:u w:val="single"/>
        </w:rPr>
        <w:t>保安服务合同</w:t>
      </w:r>
      <w:r>
        <w:rPr>
          <w:rFonts w:hint="eastAsia" w:asciiTheme="minorEastAsia" w:hAnsiTheme="minorEastAsia" w:eastAsiaTheme="minorEastAsia" w:cstheme="minorEastAsia"/>
          <w:color w:val="auto"/>
          <w:sz w:val="21"/>
          <w:szCs w:val="21"/>
          <w:highlight w:val="none"/>
        </w:rPr>
        <w:t xml:space="preserve">（以下简称“主合同”）的基础上，根据有关法律法规并参照党风廉政建设责任制规定，特订立本协议如下： </w:t>
      </w:r>
    </w:p>
    <w:p>
      <w:pPr>
        <w:spacing w:line="579" w:lineRule="exact"/>
        <w:ind w:firstLine="371" w:firstLineChars="176"/>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一、廉洁责任</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（一）甲方责任</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1.在签订主合同前，甲方有义务向乙方介绍本单位有关廉洁管理各项制度规定。</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2.甲方工作人员不得以任何形式向乙方索要和收受回扣等好处费。 </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3.甲方工作人员不得接受乙方的礼金、有价证券、贵重物品，不得在乙方工作人员处报销任何应由个人支付的费用。 </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4.甲方工作人员不得参加可能对履行责任、义务有影响的宴请和娱乐活动。 </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5.甲方工作人员不得要求乙方或者接受乙方为其住房装修、婚丧嫁娶、家属和子女的工作安排等提供方便。 </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6.甲方有权对乙方在主合同实施过程中执行廉洁情况实行监督。</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（二）乙方责任</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1.乙方应了解甲方单位有关廉洁管理各项制度规定，并遵照执行。</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2.乙方工作人员不得以任何形式向甲方工作人员及其家属赠送现金、有价证券和物品等。</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3.乙方工作人员不得为甲方人员报销应由个人支付的开支费用。</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4.乙方工作人员不得以任何名义邀请甲方人员外出旅游或出入营业性高档娱乐场所。</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5.乙方工作人员要积极主动配合甲方单位对主合同实施过程中执行廉洁情况的监督检查工作，并根据甲方单位提出的要求整改落实到位。</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6.甲乙双方如发现对方工作人员有违反上述协议的，应及时向对方领导或者对方上级单位举报，双方不得因此以任何理由对对方进行打击报复。 </w:t>
      </w:r>
    </w:p>
    <w:p>
      <w:pPr>
        <w:spacing w:line="579" w:lineRule="exact"/>
        <w:ind w:firstLine="371" w:firstLineChars="176"/>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二、违约责任</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1.甲方工作人员违反廉洁责任，经调查属实，甲方将依据有关规定对当事人进行严肃处理，对涉嫌犯罪人员移送司法机关。</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2.乙方工作人员违反廉洁责任，经调查属实，甲方根据具体情节和造成的后果一次性扣罚与其签订合同暂定总价款的</w:t>
      </w:r>
      <w:r>
        <w:rPr>
          <w:rFonts w:hint="eastAsia" w:asciiTheme="minorEastAsia" w:hAnsiTheme="minorEastAsia" w:eastAsiaTheme="minorEastAsia" w:cstheme="minorEastAsia"/>
          <w:color w:val="auto"/>
          <w:sz w:val="21"/>
          <w:szCs w:val="21"/>
          <w:highlight w:val="none"/>
          <w:u w:val="single"/>
        </w:rPr>
        <w:t xml:space="preserve"> 5 </w:t>
      </w:r>
      <w:r>
        <w:rPr>
          <w:rFonts w:hint="eastAsia" w:asciiTheme="minorEastAsia" w:hAnsiTheme="minorEastAsia" w:eastAsiaTheme="minorEastAsia" w:cstheme="minorEastAsia"/>
          <w:color w:val="auto"/>
          <w:sz w:val="21"/>
          <w:szCs w:val="21"/>
          <w:highlight w:val="none"/>
        </w:rPr>
        <w:t>%，直至终止合同执行，并将乙方列入不合格供应商，由此造成的经济损失由乙方承担。</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3.乙方有存在向甲方人员及家属赠送现金、有价证券和物品等行为的，一经查实，甲方有权立即解除主合同，停止一切合作，并由乙方承担解约的全部损失。</w:t>
      </w:r>
    </w:p>
    <w:p>
      <w:pPr>
        <w:tabs>
          <w:tab w:val="left" w:pos="900"/>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乙方应支付违约金的，甲方有权在主合同款项中扣除，乙方获取的不正当利益能够返还的，应返还甲方，造成损失的，乙方除支付违约金外还应赔偿甲方损失，触犯法律的，交由司法机关追究法律责任，且甲方有权解除主合同。</w:t>
      </w:r>
    </w:p>
    <w:p>
      <w:pPr>
        <w:spacing w:line="579" w:lineRule="exact"/>
        <w:ind w:firstLine="371" w:firstLineChars="176"/>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三、协议的生效</w:t>
      </w:r>
    </w:p>
    <w:p>
      <w:pPr>
        <w:spacing w:line="579" w:lineRule="exact"/>
        <w:ind w:left="3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(一)本协议在双方签字盖章后即生效。</w:t>
      </w:r>
    </w:p>
    <w:p>
      <w:pPr>
        <w:spacing w:line="579" w:lineRule="exact"/>
        <w:ind w:left="3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(二)本协议一式陆份,甲方执肆份，乙方执贰份。</w:t>
      </w:r>
    </w:p>
    <w:p>
      <w:pPr>
        <w:spacing w:line="579" w:lineRule="exact"/>
        <w:ind w:left="36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(三)本协议在主合同授予、履行的全过程有效，并作为主合同的附件。</w:t>
      </w:r>
    </w:p>
    <w:p>
      <w:pPr>
        <w:tabs>
          <w:tab w:val="left" w:pos="900"/>
          <w:tab w:val="left" w:pos="4962"/>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甲  方：                              乙  方：</w:t>
      </w:r>
    </w:p>
    <w:p>
      <w:pPr>
        <w:tabs>
          <w:tab w:val="left" w:pos="900"/>
          <w:tab w:val="left" w:pos="4962"/>
        </w:tabs>
        <w:snapToGrid w:val="0"/>
        <w:spacing w:line="579" w:lineRule="exact"/>
        <w:ind w:firstLine="357"/>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法定代表人（或授权代表）：          法定代表人（或授权代表）： </w:t>
      </w:r>
    </w:p>
    <w:p>
      <w:pP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签署日期：                            签署日期：</w:t>
      </w:r>
    </w:p>
    <w:p>
      <w:pPr>
        <w:spacing w:line="360" w:lineRule="auto"/>
        <w:ind w:right="600"/>
        <w:jc w:val="center"/>
        <w:rPr>
          <w:rFonts w:hint="eastAsia" w:ascii="宋体" w:hAnsi="宋体" w:cs="仿宋_GB2312"/>
          <w:b/>
          <w:color w:val="auto"/>
          <w:sz w:val="21"/>
          <w:szCs w:val="21"/>
          <w:highlight w:val="none"/>
        </w:rPr>
      </w:pPr>
      <w:r>
        <w:rPr>
          <w:rFonts w:hint="eastAsia" w:ascii="宋体" w:hAnsi="宋体"/>
          <w:b/>
          <w:bCs/>
          <w:color w:val="auto"/>
          <w:szCs w:val="28"/>
          <w:highlight w:val="none"/>
        </w:rPr>
        <w:br w:type="page"/>
      </w:r>
      <w:r>
        <w:rPr>
          <w:rFonts w:hint="eastAsia" w:ascii="宋体" w:hAnsi="宋体"/>
          <w:b/>
          <w:bCs/>
          <w:color w:val="auto"/>
          <w:szCs w:val="28"/>
          <w:highlight w:val="none"/>
        </w:rPr>
        <w:t xml:space="preserve">第四章 </w:t>
      </w:r>
      <w:r>
        <w:rPr>
          <w:rFonts w:hint="eastAsia" w:ascii="宋体" w:hAnsi="宋体" w:cs="宋体"/>
          <w:b/>
          <w:color w:val="auto"/>
          <w:szCs w:val="28"/>
          <w:highlight w:val="none"/>
        </w:rPr>
        <w:t>采购需求</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sz w:val="21"/>
          <w:szCs w:val="21"/>
          <w:highlight w:val="none"/>
        </w:rPr>
      </w:pPr>
      <w:r>
        <w:rPr>
          <w:rFonts w:hint="eastAsia" w:ascii="宋体" w:hAnsi="宋体" w:cs="宋体"/>
          <w:b/>
          <w:bCs/>
          <w:color w:val="auto"/>
          <w:sz w:val="21"/>
          <w:szCs w:val="21"/>
          <w:highlight w:val="none"/>
        </w:rPr>
        <w:t>一、项目名称：</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1、</w:t>
      </w:r>
      <w:r>
        <w:rPr>
          <w:rFonts w:hint="eastAsia" w:ascii="宋体" w:hAnsi="宋体" w:cs="宋体"/>
          <w:bCs/>
          <w:color w:val="auto"/>
          <w:sz w:val="21"/>
          <w:szCs w:val="21"/>
          <w:highlight w:val="none"/>
        </w:rPr>
        <w:t>项目名称：</w:t>
      </w:r>
      <w:r>
        <w:rPr>
          <w:rFonts w:hint="eastAsia" w:ascii="宋体" w:hAnsi="宋体" w:cs="宋体"/>
          <w:bCs/>
          <w:color w:val="auto"/>
          <w:sz w:val="21"/>
          <w:szCs w:val="21"/>
          <w:highlight w:val="none"/>
          <w:lang w:eastAsia="zh-CN"/>
        </w:rPr>
        <w:t>湖南省检验检测特色产业园2023-2024年度保洁服务采购项目（第二次）</w:t>
      </w:r>
    </w:p>
    <w:p>
      <w:pPr>
        <w:pStyle w:val="6"/>
        <w:pageBreakBefore w:val="0"/>
        <w:widowControl w:val="0"/>
        <w:kinsoku/>
        <w:wordWrap/>
        <w:overflowPunct/>
        <w:topLinePunct w:val="0"/>
        <w:autoSpaceDE/>
        <w:autoSpaceDN/>
        <w:bidi w:val="0"/>
        <w:adjustRightInd/>
        <w:snapToGrid/>
        <w:jc w:val="left"/>
        <w:textAlignment w:val="auto"/>
        <w:rPr>
          <w:rFonts w:hint="eastAsia" w:ascii="宋体" w:hAnsi="宋体" w:cs="宋体"/>
          <w:color w:val="auto"/>
          <w:sz w:val="21"/>
          <w:szCs w:val="21"/>
          <w:highlight w:val="none"/>
        </w:rPr>
      </w:pPr>
      <w:bookmarkStart w:id="0" w:name="_Toc276981149"/>
      <w:bookmarkStart w:id="1" w:name="_Toc31791"/>
      <w:r>
        <w:rPr>
          <w:rFonts w:hint="eastAsia" w:ascii="宋体" w:hAnsi="宋体" w:cs="宋体"/>
          <w:color w:val="auto"/>
          <w:sz w:val="21"/>
          <w:szCs w:val="21"/>
          <w:highlight w:val="none"/>
        </w:rPr>
        <w:t>二、</w:t>
      </w:r>
      <w:bookmarkEnd w:id="0"/>
      <w:bookmarkEnd w:id="1"/>
      <w:r>
        <w:rPr>
          <w:rFonts w:hint="eastAsia" w:ascii="宋体" w:hAnsi="宋体" w:cs="宋体"/>
          <w:color w:val="auto"/>
          <w:sz w:val="21"/>
          <w:szCs w:val="21"/>
          <w:highlight w:val="none"/>
        </w:rPr>
        <w:t>项目概况</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为保证检验检测园项目保洁服务工作的正常开展，结合利用外部专业化资源，提高管理效率，切实做好外包单位服务质量，根据项目实际情况，对本项目做出以下简要要求：</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1、本项目合同采用</w:t>
      </w:r>
      <w:r>
        <w:rPr>
          <w:rFonts w:hint="eastAsia" w:ascii="宋体" w:hAnsi="宋体" w:cs="宋体"/>
          <w:bCs/>
          <w:color w:val="auto"/>
          <w:sz w:val="21"/>
          <w:szCs w:val="21"/>
          <w:highlight w:val="none"/>
          <w:lang w:val="en-US" w:eastAsia="zh-CN"/>
        </w:rPr>
        <w:t>固定单价合同</w:t>
      </w:r>
      <w:r>
        <w:rPr>
          <w:rFonts w:hint="eastAsia" w:ascii="宋体" w:hAnsi="宋体" w:cs="宋体"/>
          <w:bCs/>
          <w:color w:val="auto"/>
          <w:sz w:val="21"/>
          <w:szCs w:val="21"/>
          <w:highlight w:val="none"/>
        </w:rPr>
        <w:t>，包括人员（要求初中文化以上，5</w:t>
      </w:r>
      <w:r>
        <w:rPr>
          <w:rFonts w:hint="eastAsia" w:ascii="宋体" w:hAnsi="宋体" w:cs="宋体"/>
          <w:bCs/>
          <w:color w:val="auto"/>
          <w:sz w:val="21"/>
          <w:szCs w:val="21"/>
          <w:highlight w:val="none"/>
          <w:lang w:val="en-US" w:eastAsia="zh-CN"/>
        </w:rPr>
        <w:t>0</w:t>
      </w:r>
      <w:r>
        <w:rPr>
          <w:rFonts w:hint="eastAsia" w:ascii="宋体" w:hAnsi="宋体" w:cs="宋体"/>
          <w:bCs/>
          <w:color w:val="auto"/>
          <w:sz w:val="21"/>
          <w:szCs w:val="21"/>
          <w:highlight w:val="none"/>
        </w:rPr>
        <w:t>岁</w:t>
      </w:r>
      <w:r>
        <w:rPr>
          <w:rFonts w:hint="eastAsia" w:ascii="宋体" w:hAnsi="宋体" w:cs="宋体"/>
          <w:bCs/>
          <w:color w:val="auto"/>
          <w:sz w:val="21"/>
          <w:szCs w:val="21"/>
          <w:highlight w:val="none"/>
          <w:lang w:eastAsia="zh-CN"/>
        </w:rPr>
        <w:t>（含</w:t>
      </w:r>
      <w:r>
        <w:rPr>
          <w:rFonts w:hint="eastAsia" w:ascii="宋体" w:hAnsi="宋体" w:cs="宋体"/>
          <w:bCs/>
          <w:color w:val="auto"/>
          <w:sz w:val="21"/>
          <w:szCs w:val="21"/>
          <w:highlight w:val="none"/>
          <w:lang w:val="en-US" w:eastAsia="zh-CN"/>
        </w:rPr>
        <w:t>50岁</w:t>
      </w:r>
      <w:r>
        <w:rPr>
          <w:rFonts w:hint="eastAsia" w:ascii="宋体" w:hAnsi="宋体" w:cs="宋体"/>
          <w:bCs/>
          <w:color w:val="auto"/>
          <w:sz w:val="21"/>
          <w:szCs w:val="21"/>
          <w:highlight w:val="none"/>
          <w:lang w:eastAsia="zh-CN"/>
        </w:rPr>
        <w:t>）</w:t>
      </w:r>
      <w:r>
        <w:rPr>
          <w:rFonts w:hint="eastAsia" w:ascii="宋体" w:hAnsi="宋体" w:cs="宋体"/>
          <w:bCs/>
          <w:color w:val="auto"/>
          <w:sz w:val="21"/>
          <w:szCs w:val="21"/>
          <w:highlight w:val="none"/>
        </w:rPr>
        <w:t>以内，形象端正，身体健康，从事过保洁服务工作2年以上，基本掌握一般清洁工作标准流程以及操作技巧。基本掌握各类清洁用品用具的使用方法，具有一定的沟通协调能力，服务意识强，责任心强，服从管理。保洁工具、服装、保险、税费、管理成本等所有费用上限价为3000元/月/人（</w:t>
      </w:r>
      <w:r>
        <w:rPr>
          <w:rFonts w:hint="eastAsia" w:ascii="宋体" w:hAnsi="宋体" w:cs="宋体"/>
          <w:bCs/>
          <w:color w:val="auto"/>
          <w:sz w:val="21"/>
          <w:szCs w:val="21"/>
          <w:highlight w:val="none"/>
          <w:lang w:val="en-US" w:eastAsia="zh-CN"/>
        </w:rPr>
        <w:t>人员工资</w:t>
      </w:r>
      <w:r>
        <w:rPr>
          <w:rFonts w:hint="eastAsia" w:ascii="宋体" w:hAnsi="宋体" w:cs="宋体"/>
          <w:bCs/>
          <w:color w:val="auto"/>
          <w:sz w:val="21"/>
          <w:szCs w:val="21"/>
          <w:highlight w:val="none"/>
        </w:rPr>
        <w:t>包干制，10小时工作制）。</w:t>
      </w:r>
      <w:r>
        <w:rPr>
          <w:rFonts w:hint="eastAsia" w:ascii="宋体" w:hAnsi="宋体" w:cs="宋体"/>
          <w:bCs/>
          <w:color w:val="auto"/>
          <w:sz w:val="21"/>
          <w:szCs w:val="21"/>
          <w:highlight w:val="none"/>
          <w:lang w:val="en-US" w:eastAsia="zh-CN"/>
        </w:rPr>
        <w:t>投标人</w:t>
      </w:r>
      <w:r>
        <w:rPr>
          <w:rFonts w:hint="eastAsia" w:ascii="宋体" w:hAnsi="宋体" w:eastAsia="宋体" w:cs="宋体"/>
          <w:color w:val="auto"/>
          <w:spacing w:val="0"/>
          <w:position w:val="0"/>
          <w:sz w:val="21"/>
          <w:szCs w:val="21"/>
        </w:rPr>
        <w:t>负责其派出</w:t>
      </w:r>
      <w:r>
        <w:rPr>
          <w:rFonts w:hint="eastAsia" w:ascii="宋体" w:hAnsi="宋体" w:cs="宋体"/>
          <w:color w:val="auto"/>
          <w:spacing w:val="0"/>
          <w:position w:val="0"/>
          <w:sz w:val="21"/>
          <w:szCs w:val="21"/>
          <w:lang w:val="en-US" w:eastAsia="zh-CN"/>
        </w:rPr>
        <w:t>服务人员</w:t>
      </w:r>
      <w:r>
        <w:rPr>
          <w:rFonts w:hint="eastAsia" w:ascii="宋体" w:hAnsi="宋体" w:eastAsia="宋体" w:cs="宋体"/>
          <w:color w:val="auto"/>
          <w:spacing w:val="0"/>
          <w:position w:val="0"/>
          <w:sz w:val="21"/>
          <w:szCs w:val="21"/>
        </w:rPr>
        <w:t>的人身意外保险</w:t>
      </w:r>
      <w:r>
        <w:rPr>
          <w:rFonts w:hint="eastAsia" w:ascii="宋体" w:hAnsi="宋体" w:cs="宋体"/>
          <w:color w:val="auto"/>
          <w:spacing w:val="0"/>
          <w:position w:val="0"/>
          <w:sz w:val="21"/>
          <w:szCs w:val="21"/>
          <w:lang w:eastAsia="zh-CN"/>
        </w:rPr>
        <w:t>，</w:t>
      </w:r>
      <w:r>
        <w:rPr>
          <w:rFonts w:hint="eastAsia" w:ascii="宋体" w:hAnsi="宋体" w:cs="宋体"/>
          <w:color w:val="auto"/>
          <w:spacing w:val="0"/>
          <w:position w:val="0"/>
          <w:sz w:val="21"/>
          <w:szCs w:val="21"/>
          <w:lang w:val="en-US" w:eastAsia="zh-CN"/>
        </w:rPr>
        <w:t>出现相关意外事故由投标人自行承担相关责任，</w:t>
      </w:r>
      <w:r>
        <w:rPr>
          <w:rFonts w:hint="eastAsia" w:ascii="宋体" w:hAnsi="宋体" w:eastAsia="宋体" w:cs="宋体"/>
          <w:bCs/>
          <w:color w:val="auto"/>
          <w:sz w:val="21"/>
          <w:szCs w:val="21"/>
        </w:rPr>
        <w:t>承担用工风险并负责处理用工纠纷</w:t>
      </w:r>
      <w:r>
        <w:rPr>
          <w:rFonts w:hint="eastAsia" w:ascii="宋体" w:hAnsi="宋体" w:cs="宋体"/>
          <w:color w:val="auto"/>
          <w:spacing w:val="0"/>
          <w:position w:val="0"/>
          <w:sz w:val="21"/>
          <w:szCs w:val="21"/>
          <w:lang w:val="en-US" w:eastAsia="zh-CN"/>
        </w:rPr>
        <w:t>。</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2、合同签订期限为合同签订之日起一年，合同人数</w:t>
      </w:r>
      <w:r>
        <w:rPr>
          <w:rFonts w:hint="eastAsia" w:ascii="宋体" w:hAnsi="宋体" w:cs="宋体"/>
          <w:bCs/>
          <w:color w:val="auto"/>
          <w:sz w:val="21"/>
          <w:szCs w:val="21"/>
          <w:highlight w:val="none"/>
          <w:lang w:eastAsia="zh-CN"/>
        </w:rPr>
        <w:t>暂定</w:t>
      </w:r>
      <w:r>
        <w:rPr>
          <w:rFonts w:hint="eastAsia" w:ascii="宋体" w:hAnsi="宋体" w:cs="宋体"/>
          <w:bCs/>
          <w:color w:val="auto"/>
          <w:sz w:val="21"/>
          <w:szCs w:val="21"/>
          <w:highlight w:val="none"/>
        </w:rPr>
        <w:t>为</w:t>
      </w:r>
      <w:r>
        <w:rPr>
          <w:rFonts w:hint="eastAsia" w:ascii="宋体" w:hAnsi="宋体" w:cs="宋体"/>
          <w:bCs/>
          <w:color w:val="auto"/>
          <w:sz w:val="21"/>
          <w:szCs w:val="21"/>
          <w:highlight w:val="none"/>
          <w:lang w:val="en-US" w:eastAsia="zh-CN"/>
        </w:rPr>
        <w:t>24</w:t>
      </w:r>
      <w:r>
        <w:rPr>
          <w:rFonts w:hint="eastAsia" w:ascii="宋体" w:hAnsi="宋体" w:cs="宋体"/>
          <w:bCs/>
          <w:color w:val="auto"/>
          <w:sz w:val="21"/>
          <w:szCs w:val="21"/>
          <w:highlight w:val="none"/>
        </w:rPr>
        <w:t>人，具体人数根据项目需求及实际到岗人数为准。</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3、服务上限费用预计：</w:t>
      </w:r>
      <w:r>
        <w:rPr>
          <w:rFonts w:hint="eastAsia" w:ascii="宋体" w:hAnsi="宋体" w:cs="宋体"/>
          <w:bCs/>
          <w:color w:val="auto"/>
          <w:sz w:val="21"/>
          <w:szCs w:val="21"/>
          <w:highlight w:val="none"/>
          <w:lang w:val="en-US" w:eastAsia="zh-CN"/>
        </w:rPr>
        <w:t>24</w:t>
      </w:r>
      <w:r>
        <w:rPr>
          <w:rFonts w:hint="eastAsia" w:ascii="宋体" w:hAnsi="宋体" w:cs="宋体"/>
          <w:bCs/>
          <w:color w:val="auto"/>
          <w:sz w:val="21"/>
          <w:szCs w:val="21"/>
          <w:highlight w:val="none"/>
        </w:rPr>
        <w:t>人*12个月*3000元/人=</w:t>
      </w:r>
      <w:r>
        <w:rPr>
          <w:rFonts w:hint="eastAsia" w:ascii="宋体" w:hAnsi="宋体" w:cs="宋体"/>
          <w:bCs/>
          <w:color w:val="auto"/>
          <w:sz w:val="21"/>
          <w:szCs w:val="21"/>
          <w:highlight w:val="none"/>
          <w:lang w:val="en-US" w:eastAsia="zh-CN"/>
        </w:rPr>
        <w:t>864000</w:t>
      </w:r>
      <w:r>
        <w:rPr>
          <w:rFonts w:hint="eastAsia" w:ascii="宋体" w:hAnsi="宋体" w:cs="宋体"/>
          <w:bCs/>
          <w:color w:val="auto"/>
          <w:sz w:val="21"/>
          <w:szCs w:val="21"/>
          <w:highlight w:val="none"/>
        </w:rPr>
        <w:t>元。</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 xml:space="preserve">费用说明： </w:t>
      </w:r>
    </w:p>
    <w:p>
      <w:pPr>
        <w:pageBreakBefore w:val="0"/>
        <w:widowControl w:val="0"/>
        <w:numPr>
          <w:ilvl w:val="0"/>
          <w:numId w:val="5"/>
        </w:numPr>
        <w:kinsoku/>
        <w:wordWrap/>
        <w:overflowPunct/>
        <w:topLinePunct w:val="0"/>
        <w:autoSpaceDE/>
        <w:autoSpaceDN/>
        <w:bidi w:val="0"/>
        <w:adjustRightInd/>
        <w:snapToGrid/>
        <w:spacing w:line="360" w:lineRule="auto"/>
        <w:ind w:firstLine="420" w:firstLineChars="200"/>
        <w:textAlignment w:val="auto"/>
        <w:rPr>
          <w:rFonts w:hint="eastAsia" w:ascii="宋体" w:hAnsi="宋体" w:cs="宋体"/>
          <w:bCs/>
          <w:color w:val="auto"/>
          <w:sz w:val="21"/>
          <w:szCs w:val="21"/>
          <w:highlight w:val="none"/>
        </w:rPr>
      </w:pPr>
      <w:r>
        <w:rPr>
          <w:rFonts w:hint="eastAsia" w:ascii="宋体" w:hAnsi="宋体" w:cs="宋体"/>
          <w:bCs/>
          <w:color w:val="auto"/>
          <w:sz w:val="21"/>
          <w:szCs w:val="21"/>
          <w:highlight w:val="none"/>
        </w:rPr>
        <w:t>预算为包干制，该费用包括但不限于所需的人员薪资福利、工作服装、服务工具、设施设备以及税金、利润、管理成本等费用；</w:t>
      </w:r>
    </w:p>
    <w:p>
      <w:pPr>
        <w:pStyle w:val="2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eastAsia="宋体" w:cs="宋体"/>
          <w:bCs/>
          <w:color w:val="auto"/>
          <w:sz w:val="21"/>
          <w:szCs w:val="21"/>
          <w:highlight w:val="none"/>
          <w:lang w:eastAsia="zh-CN"/>
        </w:rPr>
      </w:pPr>
      <w:r>
        <w:rPr>
          <w:rFonts w:hint="eastAsia" w:ascii="宋体" w:hAnsi="宋体" w:cs="宋体"/>
          <w:bCs/>
          <w:color w:val="auto"/>
          <w:sz w:val="21"/>
          <w:szCs w:val="21"/>
          <w:highlight w:val="none"/>
        </w:rPr>
        <w:t>（2）外包服务费用根据实际到岗人数，由项目服务中心每月根据服务质量考核标准，综合评估后按月支付。考核标准详见第三点，“项目具体实施要求”</w:t>
      </w:r>
      <w:r>
        <w:rPr>
          <w:rFonts w:hint="eastAsia" w:ascii="宋体" w:hAnsi="宋体" w:cs="宋体"/>
          <w:bCs/>
          <w:color w:val="auto"/>
          <w:sz w:val="21"/>
          <w:szCs w:val="21"/>
          <w:highlight w:val="none"/>
          <w:lang w:eastAsia="zh-CN"/>
        </w:rPr>
        <w:t>；</w:t>
      </w:r>
    </w:p>
    <w:p>
      <w:pPr>
        <w:pStyle w:val="20"/>
        <w:pageBreakBefore w:val="0"/>
        <w:widowControl w:val="0"/>
        <w:kinsoku/>
        <w:wordWrap/>
        <w:overflowPunct/>
        <w:topLinePunct w:val="0"/>
        <w:autoSpaceDE/>
        <w:autoSpaceDN/>
        <w:bidi w:val="0"/>
        <w:adjustRightInd/>
        <w:snapToGrid/>
        <w:spacing w:after="0" w:line="360" w:lineRule="auto"/>
        <w:ind w:firstLine="420" w:firstLineChars="200"/>
        <w:textAlignment w:val="auto"/>
        <w:rPr>
          <w:rFonts w:hint="eastAsia" w:ascii="宋体" w:hAnsi="宋体" w:cs="宋体"/>
          <w:b w:val="0"/>
          <w:bCs/>
          <w:color w:val="auto"/>
          <w:sz w:val="21"/>
          <w:szCs w:val="21"/>
          <w:highlight w:val="none"/>
        </w:rPr>
      </w:pPr>
      <w:r>
        <w:rPr>
          <w:rFonts w:hint="eastAsia" w:ascii="宋体" w:hAnsi="宋体" w:cs="宋体"/>
          <w:bCs/>
          <w:color w:val="auto"/>
          <w:sz w:val="21"/>
          <w:szCs w:val="21"/>
          <w:highlight w:val="none"/>
        </w:rPr>
        <w:t>（3）</w:t>
      </w:r>
      <w:r>
        <w:rPr>
          <w:rFonts w:hint="eastAsia" w:ascii="宋体" w:hAnsi="宋体" w:cs="宋体"/>
          <w:bCs/>
          <w:color w:val="auto"/>
          <w:sz w:val="21"/>
          <w:szCs w:val="21"/>
          <w:highlight w:val="none"/>
          <w:lang w:eastAsia="zh-CN"/>
        </w:rPr>
        <w:t>保洁</w:t>
      </w:r>
      <w:r>
        <w:rPr>
          <w:rFonts w:hint="eastAsia" w:ascii="宋体" w:hAnsi="宋体" w:cs="宋体"/>
          <w:b w:val="0"/>
          <w:bCs/>
          <w:color w:val="auto"/>
          <w:sz w:val="21"/>
          <w:szCs w:val="21"/>
          <w:highlight w:val="none"/>
          <w:lang w:eastAsia="zh-CN"/>
        </w:rPr>
        <w:t>人员当月工作</w:t>
      </w:r>
      <w:r>
        <w:rPr>
          <w:rFonts w:hint="eastAsia" w:ascii="宋体" w:hAnsi="宋体" w:cs="宋体"/>
          <w:b w:val="0"/>
          <w:bCs/>
          <w:color w:val="auto"/>
          <w:sz w:val="21"/>
          <w:szCs w:val="21"/>
          <w:highlight w:val="none"/>
        </w:rPr>
        <w:t>时间不足</w:t>
      </w:r>
      <w:r>
        <w:rPr>
          <w:rFonts w:hint="eastAsia" w:ascii="宋体" w:hAnsi="宋体" w:cs="宋体"/>
          <w:b w:val="0"/>
          <w:bCs/>
          <w:color w:val="auto"/>
          <w:sz w:val="21"/>
          <w:szCs w:val="21"/>
          <w:highlight w:val="none"/>
          <w:lang w:val="en-US" w:eastAsia="zh-CN"/>
        </w:rPr>
        <w:t>3</w:t>
      </w:r>
      <w:r>
        <w:rPr>
          <w:rFonts w:hint="eastAsia" w:ascii="宋体" w:hAnsi="宋体" w:cs="宋体"/>
          <w:b w:val="0"/>
          <w:bCs/>
          <w:color w:val="auto"/>
          <w:sz w:val="21"/>
          <w:szCs w:val="21"/>
          <w:highlight w:val="none"/>
        </w:rPr>
        <w:t>天的，不结算工资；</w:t>
      </w:r>
      <w:r>
        <w:rPr>
          <w:rFonts w:hint="eastAsia" w:ascii="宋体" w:hAnsi="宋体" w:cs="宋体"/>
          <w:b w:val="0"/>
          <w:bCs/>
          <w:color w:val="auto"/>
          <w:sz w:val="21"/>
          <w:szCs w:val="21"/>
          <w:highlight w:val="none"/>
          <w:lang w:eastAsia="zh-CN"/>
        </w:rPr>
        <w:t>工作</w:t>
      </w:r>
      <w:r>
        <w:rPr>
          <w:rFonts w:hint="eastAsia" w:ascii="宋体" w:hAnsi="宋体" w:cs="宋体"/>
          <w:b w:val="0"/>
          <w:bCs/>
          <w:color w:val="auto"/>
          <w:sz w:val="21"/>
          <w:szCs w:val="21"/>
          <w:highlight w:val="none"/>
        </w:rPr>
        <w:t>时间</w:t>
      </w:r>
      <w:r>
        <w:rPr>
          <w:rFonts w:hint="eastAsia" w:ascii="宋体" w:hAnsi="宋体" w:cs="宋体"/>
          <w:b w:val="0"/>
          <w:bCs/>
          <w:color w:val="auto"/>
          <w:sz w:val="21"/>
          <w:szCs w:val="21"/>
          <w:highlight w:val="none"/>
          <w:lang w:eastAsia="zh-CN"/>
        </w:rPr>
        <w:t>大于</w:t>
      </w:r>
      <w:r>
        <w:rPr>
          <w:rFonts w:hint="eastAsia" w:ascii="宋体" w:hAnsi="宋体" w:cs="宋体"/>
          <w:b w:val="0"/>
          <w:bCs/>
          <w:color w:val="auto"/>
          <w:sz w:val="21"/>
          <w:szCs w:val="21"/>
          <w:highlight w:val="none"/>
          <w:lang w:val="en-US" w:eastAsia="zh-CN"/>
        </w:rPr>
        <w:t>3天</w:t>
      </w:r>
      <w:r>
        <w:rPr>
          <w:rFonts w:hint="eastAsia" w:ascii="宋体" w:hAnsi="宋体" w:cs="宋体"/>
          <w:b w:val="0"/>
          <w:bCs/>
          <w:color w:val="auto"/>
          <w:sz w:val="21"/>
          <w:szCs w:val="21"/>
          <w:highlight w:val="none"/>
        </w:rPr>
        <w:t>不足一月</w:t>
      </w:r>
      <w:r>
        <w:rPr>
          <w:rFonts w:hint="eastAsia" w:ascii="宋体" w:hAnsi="宋体" w:cs="宋体"/>
          <w:b w:val="0"/>
          <w:bCs/>
          <w:color w:val="auto"/>
          <w:sz w:val="21"/>
          <w:szCs w:val="21"/>
          <w:highlight w:val="none"/>
          <w:lang w:eastAsia="zh-CN"/>
        </w:rPr>
        <w:t>时</w:t>
      </w:r>
      <w:r>
        <w:rPr>
          <w:rFonts w:hint="eastAsia" w:ascii="宋体" w:hAnsi="宋体" w:cs="宋体"/>
          <w:b w:val="0"/>
          <w:bCs/>
          <w:color w:val="auto"/>
          <w:sz w:val="21"/>
          <w:szCs w:val="21"/>
          <w:highlight w:val="none"/>
        </w:rPr>
        <w:t>，按日平均工资折算计费</w:t>
      </w:r>
      <w:r>
        <w:rPr>
          <w:rFonts w:hint="eastAsia" w:ascii="宋体" w:hAnsi="宋体" w:cs="宋体"/>
          <w:b w:val="0"/>
          <w:bCs/>
          <w:color w:val="auto"/>
          <w:sz w:val="21"/>
          <w:szCs w:val="21"/>
          <w:highlight w:val="none"/>
          <w:lang w:eastAsia="zh-CN"/>
        </w:rPr>
        <w:t>（</w:t>
      </w:r>
      <w:r>
        <w:rPr>
          <w:rFonts w:hint="eastAsia" w:ascii="宋体" w:hAnsi="宋体" w:cs="宋体"/>
          <w:b w:val="0"/>
          <w:bCs/>
          <w:color w:val="auto"/>
          <w:sz w:val="21"/>
          <w:szCs w:val="21"/>
          <w:highlight w:val="none"/>
          <w:lang w:val="en-US" w:eastAsia="zh-CN"/>
        </w:rPr>
        <w:t>每月工作日为26日</w:t>
      </w:r>
      <w:r>
        <w:rPr>
          <w:rFonts w:hint="eastAsia" w:ascii="宋体" w:hAnsi="宋体" w:cs="宋体"/>
          <w:b w:val="0"/>
          <w:bCs/>
          <w:color w:val="auto"/>
          <w:sz w:val="21"/>
          <w:szCs w:val="21"/>
          <w:highlight w:val="none"/>
          <w:lang w:eastAsia="zh-CN"/>
        </w:rPr>
        <w:t>）</w:t>
      </w:r>
      <w:r>
        <w:rPr>
          <w:rFonts w:hint="eastAsia" w:ascii="宋体" w:hAnsi="宋体" w:cs="宋体"/>
          <w:b w:val="0"/>
          <w:bCs/>
          <w:color w:val="auto"/>
          <w:sz w:val="21"/>
          <w:szCs w:val="21"/>
          <w:highlight w:val="none"/>
        </w:rPr>
        <w:t>。</w:t>
      </w:r>
    </w:p>
    <w:p>
      <w:pPr>
        <w:pStyle w:val="20"/>
        <w:ind w:firstLine="420" w:firstLineChars="200"/>
        <w:jc w:val="both"/>
        <w:rPr>
          <w:rFonts w:hint="eastAsia" w:ascii="宋体" w:hAnsi="宋体" w:cs="宋体"/>
          <w:bCs/>
          <w:color w:val="auto"/>
          <w:sz w:val="21"/>
          <w:szCs w:val="21"/>
          <w:highlight w:val="none"/>
        </w:rPr>
      </w:pPr>
      <w:r>
        <w:rPr>
          <w:rFonts w:hint="eastAsia" w:ascii="宋体" w:hAnsi="宋体" w:cs="宋体"/>
          <w:b w:val="0"/>
          <w:bCs/>
          <w:color w:val="auto"/>
          <w:sz w:val="21"/>
          <w:szCs w:val="21"/>
          <w:highlight w:val="none"/>
          <w:lang w:eastAsia="zh-CN"/>
        </w:rPr>
        <w:t>（</w:t>
      </w:r>
      <w:r>
        <w:rPr>
          <w:rFonts w:hint="eastAsia" w:ascii="宋体" w:hAnsi="宋体" w:cs="宋体"/>
          <w:b w:val="0"/>
          <w:bCs/>
          <w:color w:val="auto"/>
          <w:sz w:val="21"/>
          <w:szCs w:val="21"/>
          <w:highlight w:val="none"/>
          <w:lang w:val="en-US" w:eastAsia="zh-CN"/>
        </w:rPr>
        <w:t>4</w:t>
      </w:r>
      <w:r>
        <w:rPr>
          <w:rFonts w:hint="eastAsia" w:ascii="宋体" w:hAnsi="宋体" w:cs="宋体"/>
          <w:b w:val="0"/>
          <w:bCs/>
          <w:color w:val="auto"/>
          <w:sz w:val="21"/>
          <w:szCs w:val="21"/>
          <w:highlight w:val="none"/>
          <w:lang w:eastAsia="zh-CN"/>
        </w:rPr>
        <w:t>）</w:t>
      </w:r>
      <w:r>
        <w:rPr>
          <w:rFonts w:hint="eastAsia" w:ascii="宋体" w:hAnsi="宋体" w:cs="宋体"/>
          <w:bCs/>
          <w:color w:val="auto"/>
          <w:sz w:val="21"/>
          <w:szCs w:val="21"/>
          <w:highlight w:val="none"/>
        </w:rPr>
        <w:t>合同期限内</w:t>
      </w:r>
      <w:r>
        <w:rPr>
          <w:rFonts w:hint="eastAsia" w:ascii="宋体" w:hAnsi="宋体" w:cs="宋体"/>
          <w:bCs/>
          <w:color w:val="auto"/>
          <w:sz w:val="21"/>
          <w:szCs w:val="21"/>
          <w:highlight w:val="none"/>
          <w:lang w:val="en-US" w:eastAsia="zh-CN"/>
        </w:rPr>
        <w:t>每月前15个工作日内支付上个月服务费用</w:t>
      </w:r>
      <w:r>
        <w:rPr>
          <w:rFonts w:hint="eastAsia" w:ascii="宋体" w:hAnsi="宋体" w:cs="宋体"/>
          <w:bCs/>
          <w:color w:val="auto"/>
          <w:sz w:val="21"/>
          <w:szCs w:val="21"/>
          <w:highlight w:val="none"/>
        </w:rPr>
        <w:t>。</w:t>
      </w:r>
    </w:p>
    <w:p>
      <w:pPr>
        <w:pStyle w:val="6"/>
        <w:jc w:val="left"/>
        <w:rPr>
          <w:rFonts w:hint="eastAsia" w:ascii="宋体" w:hAnsi="宋体" w:cs="宋体"/>
          <w:color w:val="auto"/>
          <w:sz w:val="21"/>
          <w:szCs w:val="21"/>
          <w:highlight w:val="none"/>
        </w:rPr>
      </w:pPr>
      <w:r>
        <w:rPr>
          <w:rFonts w:hint="eastAsia" w:ascii="宋体" w:hAnsi="宋体" w:cs="宋体"/>
          <w:color w:val="auto"/>
          <w:sz w:val="21"/>
          <w:szCs w:val="21"/>
          <w:highlight w:val="none"/>
        </w:rPr>
        <w:t>三、项目具体实施要求</w:t>
      </w:r>
    </w:p>
    <w:p>
      <w:pPr>
        <w:pStyle w:val="20"/>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检验检测园项目保洁人员岗位职责及任职要求</w:t>
      </w:r>
    </w:p>
    <w:tbl>
      <w:tblPr>
        <w:tblStyle w:val="44"/>
        <w:tblW w:w="10037" w:type="dxa"/>
        <w:jc w:val="center"/>
        <w:tblLayout w:type="fixed"/>
        <w:tblCellMar>
          <w:top w:w="15" w:type="dxa"/>
          <w:left w:w="15" w:type="dxa"/>
          <w:bottom w:w="15" w:type="dxa"/>
          <w:right w:w="15" w:type="dxa"/>
        </w:tblCellMar>
      </w:tblPr>
      <w:tblGrid>
        <w:gridCol w:w="1647"/>
        <w:gridCol w:w="804"/>
        <w:gridCol w:w="6375"/>
        <w:gridCol w:w="1211"/>
      </w:tblGrid>
      <w:tr>
        <w:tblPrEx>
          <w:tblCellMar>
            <w:top w:w="15" w:type="dxa"/>
            <w:left w:w="15" w:type="dxa"/>
            <w:bottom w:w="15" w:type="dxa"/>
            <w:right w:w="15" w:type="dxa"/>
          </w:tblCellMar>
        </w:tblPrEx>
        <w:trPr>
          <w:trHeight w:val="90" w:hRule="atLeast"/>
          <w:jc w:val="center"/>
        </w:trPr>
        <w:tc>
          <w:tcPr>
            <w:tcW w:w="16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rPr>
              <w:t>岗位</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rPr>
              <w:t>编制</w:t>
            </w:r>
          </w:p>
        </w:tc>
        <w:tc>
          <w:tcPr>
            <w:tcW w:w="63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uto"/>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rPr>
              <w:t>岗位职责</w:t>
            </w:r>
          </w:p>
        </w:tc>
        <w:tc>
          <w:tcPr>
            <w:tcW w:w="1211"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auto"/>
              <w:jc w:val="center"/>
              <w:textAlignment w:val="center"/>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工作时间</w:t>
            </w:r>
          </w:p>
        </w:tc>
      </w:tr>
      <w:tr>
        <w:tblPrEx>
          <w:tblCellMar>
            <w:top w:w="15" w:type="dxa"/>
            <w:left w:w="15" w:type="dxa"/>
            <w:bottom w:w="15" w:type="dxa"/>
            <w:right w:w="15" w:type="dxa"/>
          </w:tblCellMar>
        </w:tblPrEx>
        <w:trPr>
          <w:trHeight w:val="1549" w:hRule="atLeast"/>
          <w:jc w:val="center"/>
        </w:trPr>
        <w:tc>
          <w:tcPr>
            <w:tcW w:w="1647" w:type="dxa"/>
            <w:tcBorders>
              <w:top w:val="single" w:color="000000" w:sz="4" w:space="0"/>
              <w:left w:val="single" w:color="000000" w:sz="4" w:space="0"/>
              <w:bottom w:val="single" w:color="000000" w:sz="4" w:space="0"/>
              <w:right w:val="single" w:color="000000" w:sz="4" w:space="0"/>
            </w:tcBorders>
            <w:noWrap w:val="0"/>
            <w:vAlign w:val="center"/>
          </w:tcPr>
          <w:p>
            <w:pPr>
              <w:pStyle w:val="159"/>
              <w:spacing w:line="24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招商中心保洁岗</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pStyle w:val="159"/>
              <w:spacing w:line="24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1</w:t>
            </w:r>
          </w:p>
        </w:tc>
        <w:tc>
          <w:tcPr>
            <w:tcW w:w="6375" w:type="dxa"/>
            <w:tcBorders>
              <w:top w:val="single" w:color="000000" w:sz="4" w:space="0"/>
              <w:left w:val="single" w:color="000000" w:sz="4" w:space="0"/>
              <w:bottom w:val="single" w:color="000000" w:sz="4" w:space="0"/>
              <w:right w:val="single" w:color="auto" w:sz="4" w:space="0"/>
            </w:tcBorders>
            <w:noWrap w:val="0"/>
            <w:vAlign w:val="center"/>
          </w:tcPr>
          <w:p>
            <w:pPr>
              <w:pStyle w:val="159"/>
              <w:spacing w:line="24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1.负责招商中心接待区域卫生保洁工作，确保接待区域地面，桌面无污渍、无水渍，定期对沙发皮具等以及不锈钢器具、玻璃墙面等进行清洁工作；</w:t>
            </w:r>
          </w:p>
          <w:p>
            <w:pPr>
              <w:pStyle w:val="159"/>
              <w:spacing w:line="24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2.负责招商中心洗手间的清洁工作以及保洁易耗用品的更换与保管；</w:t>
            </w:r>
          </w:p>
          <w:p>
            <w:pPr>
              <w:pStyle w:val="159"/>
              <w:spacing w:line="24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3.负责沙盘区域的卫生清洁工作。</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pStyle w:val="159"/>
              <w:spacing w:line="24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7:30-17:30</w:t>
            </w:r>
          </w:p>
        </w:tc>
      </w:tr>
      <w:tr>
        <w:tblPrEx>
          <w:tblCellMar>
            <w:top w:w="15" w:type="dxa"/>
            <w:left w:w="15" w:type="dxa"/>
            <w:bottom w:w="15" w:type="dxa"/>
            <w:right w:w="15" w:type="dxa"/>
          </w:tblCellMar>
        </w:tblPrEx>
        <w:trPr>
          <w:trHeight w:val="747" w:hRule="atLeast"/>
          <w:jc w:val="center"/>
        </w:trPr>
        <w:tc>
          <w:tcPr>
            <w:tcW w:w="1647" w:type="dxa"/>
            <w:tcBorders>
              <w:top w:val="single" w:color="000000" w:sz="4" w:space="0"/>
              <w:left w:val="single" w:color="000000" w:sz="4" w:space="0"/>
              <w:bottom w:val="single" w:color="000000" w:sz="4" w:space="0"/>
              <w:right w:val="single" w:color="000000" w:sz="4" w:space="0"/>
            </w:tcBorders>
            <w:noWrap w:val="0"/>
            <w:vAlign w:val="center"/>
          </w:tcPr>
          <w:p>
            <w:pPr>
              <w:pStyle w:val="159"/>
              <w:spacing w:line="24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外围保洁岗</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pStyle w:val="159"/>
              <w:spacing w:line="240" w:lineRule="auto"/>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10</w:t>
            </w:r>
          </w:p>
        </w:tc>
        <w:tc>
          <w:tcPr>
            <w:tcW w:w="6375" w:type="dxa"/>
            <w:tcBorders>
              <w:top w:val="single" w:color="000000" w:sz="4" w:space="0"/>
              <w:left w:val="single" w:color="000000" w:sz="4" w:space="0"/>
              <w:bottom w:val="single" w:color="000000" w:sz="4" w:space="0"/>
              <w:right w:val="single" w:color="auto" w:sz="4" w:space="0"/>
            </w:tcBorders>
            <w:noWrap w:val="0"/>
            <w:vAlign w:val="center"/>
          </w:tcPr>
          <w:p>
            <w:pPr>
              <w:pStyle w:val="159"/>
              <w:spacing w:line="240" w:lineRule="auto"/>
              <w:rPr>
                <w:rFonts w:hint="eastAsia" w:ascii="宋体" w:hAnsi="宋体" w:cs="宋体"/>
                <w:color w:val="auto"/>
                <w:sz w:val="21"/>
                <w:szCs w:val="21"/>
                <w:highlight w:val="none"/>
              </w:rPr>
            </w:pPr>
            <w:r>
              <w:rPr>
                <w:rFonts w:hint="eastAsia" w:ascii="宋体" w:hAnsi="宋体" w:cs="宋体"/>
                <w:color w:val="auto"/>
                <w:sz w:val="21"/>
                <w:szCs w:val="21"/>
                <w:highlight w:val="none"/>
                <w:shd w:val="clear" w:color="auto" w:fill="FFFFFF"/>
              </w:rPr>
              <w:t>1.负责外围公共区域、路面、绿化带、草坪的清洁卫生工作</w:t>
            </w:r>
            <w:r>
              <w:rPr>
                <w:rFonts w:hint="eastAsia" w:ascii="宋体" w:hAnsi="宋体" w:cs="宋体"/>
                <w:color w:val="auto"/>
                <w:sz w:val="21"/>
                <w:szCs w:val="21"/>
                <w:highlight w:val="none"/>
              </w:rPr>
              <w:t>；</w:t>
            </w:r>
          </w:p>
          <w:p>
            <w:pPr>
              <w:pStyle w:val="159"/>
              <w:spacing w:line="24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2.雨天负责检查外围各排水通道并疏通，积水区域及时清理；</w:t>
            </w:r>
          </w:p>
          <w:p>
            <w:pPr>
              <w:pStyle w:val="159"/>
              <w:spacing w:line="240" w:lineRule="auto"/>
              <w:rPr>
                <w:rFonts w:hint="eastAsia" w:ascii="宋体" w:hAnsi="宋体" w:cs="宋体"/>
                <w:color w:val="auto"/>
                <w:sz w:val="21"/>
                <w:szCs w:val="21"/>
                <w:highlight w:val="none"/>
                <w:shd w:val="clear" w:color="auto" w:fill="FFFEFE"/>
              </w:rPr>
            </w:pPr>
            <w:r>
              <w:rPr>
                <w:rFonts w:hint="eastAsia" w:ascii="宋体" w:hAnsi="宋体" w:cs="宋体"/>
                <w:color w:val="auto"/>
                <w:sz w:val="21"/>
                <w:szCs w:val="21"/>
                <w:highlight w:val="none"/>
                <w:shd w:val="clear" w:color="auto" w:fill="FFFEFE"/>
              </w:rPr>
              <w:t>3.负责水池清洗除癣工作。</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pStyle w:val="159"/>
              <w:spacing w:line="24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7:30-17:30</w:t>
            </w:r>
          </w:p>
        </w:tc>
      </w:tr>
      <w:tr>
        <w:tblPrEx>
          <w:tblCellMar>
            <w:top w:w="15" w:type="dxa"/>
            <w:left w:w="15" w:type="dxa"/>
            <w:bottom w:w="15" w:type="dxa"/>
            <w:right w:w="15" w:type="dxa"/>
          </w:tblCellMar>
        </w:tblPrEx>
        <w:trPr>
          <w:trHeight w:val="810" w:hRule="atLeast"/>
          <w:jc w:val="center"/>
        </w:trPr>
        <w:tc>
          <w:tcPr>
            <w:tcW w:w="1647" w:type="dxa"/>
            <w:tcBorders>
              <w:top w:val="single" w:color="000000" w:sz="4" w:space="0"/>
              <w:left w:val="single" w:color="000000" w:sz="4" w:space="0"/>
              <w:bottom w:val="single" w:color="000000" w:sz="4" w:space="0"/>
              <w:right w:val="single" w:color="000000" w:sz="4" w:space="0"/>
            </w:tcBorders>
            <w:noWrap w:val="0"/>
            <w:vAlign w:val="center"/>
          </w:tcPr>
          <w:p>
            <w:pPr>
              <w:pStyle w:val="159"/>
              <w:spacing w:line="24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写字楼保洁岗</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pStyle w:val="159"/>
              <w:spacing w:line="240" w:lineRule="auto"/>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10</w:t>
            </w:r>
          </w:p>
        </w:tc>
        <w:tc>
          <w:tcPr>
            <w:tcW w:w="6375" w:type="dxa"/>
            <w:tcBorders>
              <w:top w:val="single" w:color="000000" w:sz="4" w:space="0"/>
              <w:left w:val="single" w:color="000000" w:sz="4" w:space="0"/>
              <w:bottom w:val="single" w:color="000000" w:sz="4" w:space="0"/>
              <w:right w:val="single" w:color="000000" w:sz="4" w:space="0"/>
            </w:tcBorders>
            <w:noWrap w:val="0"/>
            <w:vAlign w:val="center"/>
          </w:tcPr>
          <w:p>
            <w:pPr>
              <w:pStyle w:val="159"/>
              <w:spacing w:line="24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1.负责大厅以及洗手间、楼梯间、公共区域卫生；</w:t>
            </w:r>
          </w:p>
          <w:p>
            <w:pPr>
              <w:pStyle w:val="159"/>
              <w:spacing w:line="24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2.确保地面、墙面、玻璃面无灰尘、无水渍；</w:t>
            </w:r>
          </w:p>
          <w:p>
            <w:pPr>
              <w:pStyle w:val="159"/>
              <w:spacing w:line="240" w:lineRule="auto"/>
              <w:rPr>
                <w:rFonts w:hint="eastAsia" w:ascii="宋体" w:hAnsi="宋体" w:cs="宋体"/>
                <w:color w:val="auto"/>
                <w:sz w:val="21"/>
                <w:szCs w:val="21"/>
                <w:highlight w:val="none"/>
                <w:shd w:val="clear" w:color="auto" w:fill="FFFFFF"/>
              </w:rPr>
            </w:pPr>
            <w:r>
              <w:rPr>
                <w:rFonts w:hint="eastAsia" w:ascii="宋体" w:hAnsi="宋体" w:cs="宋体"/>
                <w:color w:val="auto"/>
                <w:sz w:val="21"/>
                <w:szCs w:val="21"/>
                <w:highlight w:val="none"/>
              </w:rPr>
              <w:t>3.垃圾桶内垃圾不超过2/3，每15分钟巡查一次。</w:t>
            </w:r>
          </w:p>
        </w:tc>
        <w:tc>
          <w:tcPr>
            <w:tcW w:w="1211" w:type="dxa"/>
            <w:tcBorders>
              <w:top w:val="single" w:color="auto" w:sz="4" w:space="0"/>
              <w:left w:val="single" w:color="000000" w:sz="4" w:space="0"/>
              <w:bottom w:val="single" w:color="000000" w:sz="4" w:space="0"/>
              <w:right w:val="single" w:color="000000" w:sz="4" w:space="0"/>
            </w:tcBorders>
            <w:noWrap w:val="0"/>
            <w:vAlign w:val="center"/>
          </w:tcPr>
          <w:p>
            <w:pPr>
              <w:pStyle w:val="159"/>
              <w:spacing w:line="24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7:30-17:30</w:t>
            </w:r>
          </w:p>
        </w:tc>
      </w:tr>
      <w:tr>
        <w:tblPrEx>
          <w:tblCellMar>
            <w:top w:w="15" w:type="dxa"/>
            <w:left w:w="15" w:type="dxa"/>
            <w:bottom w:w="15" w:type="dxa"/>
            <w:right w:w="15" w:type="dxa"/>
          </w:tblCellMar>
        </w:tblPrEx>
        <w:trPr>
          <w:trHeight w:val="810" w:hRule="atLeast"/>
          <w:jc w:val="center"/>
        </w:trPr>
        <w:tc>
          <w:tcPr>
            <w:tcW w:w="1647" w:type="dxa"/>
            <w:tcBorders>
              <w:top w:val="single" w:color="000000" w:sz="4" w:space="0"/>
              <w:left w:val="single" w:color="000000" w:sz="4" w:space="0"/>
              <w:bottom w:val="single" w:color="000000" w:sz="4" w:space="0"/>
              <w:right w:val="single" w:color="000000" w:sz="4" w:space="0"/>
            </w:tcBorders>
            <w:noWrap w:val="0"/>
            <w:vAlign w:val="center"/>
          </w:tcPr>
          <w:p>
            <w:pPr>
              <w:pStyle w:val="159"/>
              <w:spacing w:line="24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地下停车场    保洁岗</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pStyle w:val="159"/>
              <w:spacing w:line="24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3</w:t>
            </w:r>
          </w:p>
        </w:tc>
        <w:tc>
          <w:tcPr>
            <w:tcW w:w="6375" w:type="dxa"/>
            <w:tcBorders>
              <w:top w:val="single" w:color="000000" w:sz="4" w:space="0"/>
              <w:left w:val="single" w:color="000000" w:sz="4" w:space="0"/>
              <w:bottom w:val="single" w:color="000000" w:sz="4" w:space="0"/>
              <w:right w:val="single" w:color="000000" w:sz="4" w:space="0"/>
            </w:tcBorders>
            <w:noWrap w:val="0"/>
            <w:vAlign w:val="center"/>
          </w:tcPr>
          <w:p>
            <w:pPr>
              <w:pStyle w:val="159"/>
              <w:numPr>
                <w:ilvl w:val="0"/>
                <w:numId w:val="6"/>
              </w:numPr>
              <w:spacing w:line="24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负责1#、2#号地下室区域卫生保洁工作；</w:t>
            </w:r>
          </w:p>
          <w:p>
            <w:pPr>
              <w:pStyle w:val="159"/>
              <w:numPr>
                <w:ilvl w:val="0"/>
                <w:numId w:val="6"/>
              </w:numPr>
              <w:spacing w:line="24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确保地面、墙面无白色垃圾，无水渍；</w:t>
            </w:r>
          </w:p>
          <w:p>
            <w:pPr>
              <w:pStyle w:val="159"/>
              <w:numPr>
                <w:ilvl w:val="0"/>
                <w:numId w:val="6"/>
              </w:numPr>
              <w:spacing w:line="24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及时清理各垃圾堆放点。</w:t>
            </w:r>
          </w:p>
        </w:tc>
        <w:tc>
          <w:tcPr>
            <w:tcW w:w="1211" w:type="dxa"/>
            <w:tcBorders>
              <w:top w:val="single" w:color="auto" w:sz="4" w:space="0"/>
              <w:left w:val="single" w:color="000000" w:sz="4" w:space="0"/>
              <w:bottom w:val="single" w:color="000000" w:sz="4" w:space="0"/>
              <w:right w:val="single" w:color="000000" w:sz="4" w:space="0"/>
            </w:tcBorders>
            <w:noWrap w:val="0"/>
            <w:vAlign w:val="center"/>
          </w:tcPr>
          <w:p>
            <w:pPr>
              <w:pStyle w:val="159"/>
              <w:spacing w:line="24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7:30-17:30</w:t>
            </w:r>
          </w:p>
        </w:tc>
      </w:tr>
      <w:tr>
        <w:tblPrEx>
          <w:tblCellMar>
            <w:top w:w="15" w:type="dxa"/>
            <w:left w:w="15" w:type="dxa"/>
            <w:bottom w:w="15" w:type="dxa"/>
            <w:right w:w="15" w:type="dxa"/>
          </w:tblCellMar>
        </w:tblPrEx>
        <w:trPr>
          <w:trHeight w:val="300" w:hRule="atLeast"/>
          <w:jc w:val="center"/>
        </w:trPr>
        <w:tc>
          <w:tcPr>
            <w:tcW w:w="245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9"/>
              <w:spacing w:line="24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rPr>
              <w:t>合计</w:t>
            </w:r>
          </w:p>
        </w:tc>
        <w:tc>
          <w:tcPr>
            <w:tcW w:w="7586"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59"/>
              <w:spacing w:line="240" w:lineRule="auto"/>
              <w:jc w:val="center"/>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24</w:t>
            </w:r>
            <w:r>
              <w:rPr>
                <w:rFonts w:hint="eastAsia" w:ascii="宋体" w:hAnsi="宋体" w:cs="宋体"/>
                <w:color w:val="auto"/>
                <w:sz w:val="21"/>
                <w:szCs w:val="21"/>
                <w:highlight w:val="none"/>
              </w:rPr>
              <w:t>人</w:t>
            </w:r>
          </w:p>
        </w:tc>
      </w:tr>
    </w:tbl>
    <w:p>
      <w:pPr>
        <w:pStyle w:val="20"/>
        <w:jc w:val="both"/>
        <w:rPr>
          <w:rFonts w:hint="eastAsia" w:ascii="宋体" w:hAnsi="宋体" w:cs="宋体"/>
          <w:bCs/>
          <w:color w:val="auto"/>
          <w:sz w:val="21"/>
          <w:szCs w:val="21"/>
          <w:highlight w:val="none"/>
        </w:rPr>
      </w:pPr>
    </w:p>
    <w:p>
      <w:pPr>
        <w:rPr>
          <w:rFonts w:hint="eastAsia" w:ascii="宋体" w:hAnsi="宋体"/>
          <w:b/>
          <w:color w:val="auto"/>
          <w:sz w:val="21"/>
          <w:szCs w:val="21"/>
          <w:highlight w:val="none"/>
        </w:rPr>
      </w:pPr>
      <w:r>
        <w:rPr>
          <w:rFonts w:hint="eastAsia" w:ascii="宋体" w:hAnsi="宋体"/>
          <w:b/>
          <w:color w:val="auto"/>
          <w:sz w:val="21"/>
          <w:szCs w:val="21"/>
          <w:highlight w:val="none"/>
        </w:rPr>
        <w:br w:type="page"/>
      </w:r>
    </w:p>
    <w:p>
      <w:pPr>
        <w:rPr>
          <w:rFonts w:hint="eastAsia" w:ascii="宋体" w:hAnsi="宋体"/>
          <w:b/>
          <w:color w:val="auto"/>
          <w:sz w:val="21"/>
          <w:szCs w:val="21"/>
          <w:highlight w:val="none"/>
        </w:rPr>
        <w:sectPr>
          <w:headerReference r:id="rId16" w:type="default"/>
          <w:footerReference r:id="rId17" w:type="default"/>
          <w:pgSz w:w="11906" w:h="16838"/>
          <w:pgMar w:top="726" w:right="1247" w:bottom="1077" w:left="1247" w:header="851" w:footer="907" w:gutter="0"/>
          <w:pgNumType w:fmt="decimal"/>
          <w:cols w:space="720" w:num="1"/>
          <w:docGrid w:linePitch="312" w:charSpace="0"/>
        </w:sectPr>
      </w:pPr>
    </w:p>
    <w:p>
      <w:pPr>
        <w:pStyle w:val="6"/>
        <w:spacing w:before="240" w:beforeLines="100"/>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外包服务合同服务质量及人员考核标准（保洁类）</w:t>
      </w:r>
    </w:p>
    <w:tbl>
      <w:tblPr>
        <w:tblStyle w:val="44"/>
        <w:tblpPr w:leftFromText="180" w:rightFromText="180" w:vertAnchor="text" w:tblpXSpec="center" w:tblpY="1"/>
        <w:tblOverlap w:val="never"/>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1590"/>
        <w:gridCol w:w="1155"/>
        <w:gridCol w:w="1200"/>
        <w:gridCol w:w="990"/>
        <w:gridCol w:w="1395"/>
        <w:gridCol w:w="7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90" w:type="dxa"/>
            <w:vMerge w:val="restart"/>
            <w:tcBorders>
              <w:top w:val="single" w:color="auto" w:sz="8" w:space="0"/>
              <w:left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类 别</w:t>
            </w:r>
          </w:p>
        </w:tc>
        <w:tc>
          <w:tcPr>
            <w:tcW w:w="6330" w:type="dxa"/>
            <w:gridSpan w:val="5"/>
            <w:tcBorders>
              <w:top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服务质量考核标准</w:t>
            </w:r>
          </w:p>
        </w:tc>
        <w:tc>
          <w:tcPr>
            <w:tcW w:w="7860" w:type="dxa"/>
            <w:tcBorders>
              <w:top w:val="single" w:color="auto" w:sz="8" w:space="0"/>
              <w:right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人员考核标准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290" w:type="dxa"/>
            <w:vMerge w:val="continue"/>
            <w:tcBorders>
              <w:left w:val="single" w:color="auto" w:sz="8" w:space="0"/>
            </w:tcBorders>
            <w:noWrap w:val="0"/>
            <w:vAlign w:val="center"/>
          </w:tcPr>
          <w:p>
            <w:pPr>
              <w:jc w:val="center"/>
              <w:rPr>
                <w:rFonts w:ascii="宋体" w:hAnsi="宋体" w:cs="宋体"/>
                <w:color w:val="auto"/>
                <w:sz w:val="21"/>
                <w:szCs w:val="21"/>
                <w:highlight w:val="none"/>
              </w:rPr>
            </w:pPr>
          </w:p>
        </w:tc>
        <w:tc>
          <w:tcPr>
            <w:tcW w:w="1590" w:type="dxa"/>
            <w:vMerge w:val="restart"/>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合格</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（a级）</w:t>
            </w:r>
          </w:p>
        </w:tc>
        <w:tc>
          <w:tcPr>
            <w:tcW w:w="4740" w:type="dxa"/>
            <w:gridSpan w:val="4"/>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不合格</w:t>
            </w:r>
          </w:p>
        </w:tc>
        <w:tc>
          <w:tcPr>
            <w:tcW w:w="7860" w:type="dxa"/>
            <w:vMerge w:val="restart"/>
            <w:tcBorders>
              <w:right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人员到岗及时性\人员稳定性</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\缺编考核标准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290" w:type="dxa"/>
            <w:vMerge w:val="continue"/>
            <w:tcBorders>
              <w:left w:val="single" w:color="auto" w:sz="8" w:space="0"/>
            </w:tcBorders>
            <w:noWrap w:val="0"/>
            <w:vAlign w:val="center"/>
          </w:tcPr>
          <w:p>
            <w:pPr>
              <w:jc w:val="center"/>
              <w:rPr>
                <w:rFonts w:ascii="宋体" w:hAnsi="宋体" w:cs="宋体"/>
                <w:color w:val="auto"/>
                <w:sz w:val="21"/>
                <w:szCs w:val="21"/>
                <w:highlight w:val="none"/>
              </w:rPr>
            </w:pPr>
          </w:p>
        </w:tc>
        <w:tc>
          <w:tcPr>
            <w:tcW w:w="1590" w:type="dxa"/>
            <w:vMerge w:val="continue"/>
            <w:noWrap w:val="0"/>
            <w:vAlign w:val="center"/>
          </w:tcPr>
          <w:p>
            <w:pPr>
              <w:jc w:val="center"/>
              <w:rPr>
                <w:rFonts w:ascii="宋体" w:hAnsi="宋体" w:cs="宋体"/>
                <w:color w:val="auto"/>
                <w:sz w:val="21"/>
                <w:szCs w:val="21"/>
                <w:highlight w:val="none"/>
              </w:rPr>
            </w:pPr>
          </w:p>
        </w:tc>
        <w:tc>
          <w:tcPr>
            <w:tcW w:w="1155" w:type="dxa"/>
            <w:vMerge w:val="restart"/>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85分以上90分以下</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（b级）</w:t>
            </w:r>
          </w:p>
        </w:tc>
        <w:tc>
          <w:tcPr>
            <w:tcW w:w="1200" w:type="dxa"/>
            <w:vMerge w:val="restart"/>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80分以上85分（含）以下</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（c级）</w:t>
            </w:r>
          </w:p>
        </w:tc>
        <w:tc>
          <w:tcPr>
            <w:tcW w:w="990" w:type="dxa"/>
            <w:vMerge w:val="restart"/>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80分以下</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（d级）</w:t>
            </w:r>
          </w:p>
        </w:tc>
        <w:tc>
          <w:tcPr>
            <w:tcW w:w="1395" w:type="dxa"/>
            <w:vMerge w:val="restart"/>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年累计不合格</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两次</w:t>
            </w:r>
          </w:p>
        </w:tc>
        <w:tc>
          <w:tcPr>
            <w:tcW w:w="7860" w:type="dxa"/>
            <w:vMerge w:val="continue"/>
            <w:tcBorders>
              <w:right w:val="single" w:color="auto" w:sz="8" w:space="0"/>
            </w:tcBorders>
            <w:noWrap w:val="0"/>
            <w:vAlign w:val="center"/>
          </w:tcPr>
          <w:p>
            <w:pPr>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290" w:type="dxa"/>
            <w:vMerge w:val="continue"/>
            <w:tcBorders>
              <w:left w:val="single" w:color="auto" w:sz="8" w:space="0"/>
            </w:tcBorders>
            <w:noWrap w:val="0"/>
            <w:vAlign w:val="center"/>
          </w:tcPr>
          <w:p>
            <w:pPr>
              <w:jc w:val="center"/>
              <w:rPr>
                <w:rFonts w:ascii="宋体" w:hAnsi="宋体" w:cs="宋体"/>
                <w:color w:val="auto"/>
                <w:sz w:val="21"/>
                <w:szCs w:val="21"/>
                <w:highlight w:val="none"/>
              </w:rPr>
            </w:pPr>
          </w:p>
        </w:tc>
        <w:tc>
          <w:tcPr>
            <w:tcW w:w="1590" w:type="dxa"/>
            <w:vMerge w:val="continue"/>
            <w:noWrap w:val="0"/>
            <w:vAlign w:val="center"/>
          </w:tcPr>
          <w:p>
            <w:pPr>
              <w:jc w:val="center"/>
              <w:rPr>
                <w:rFonts w:ascii="宋体" w:hAnsi="宋体" w:cs="宋体"/>
                <w:color w:val="auto"/>
                <w:sz w:val="21"/>
                <w:szCs w:val="21"/>
                <w:highlight w:val="none"/>
              </w:rPr>
            </w:pPr>
          </w:p>
        </w:tc>
        <w:tc>
          <w:tcPr>
            <w:tcW w:w="1155" w:type="dxa"/>
            <w:vMerge w:val="continue"/>
            <w:noWrap w:val="0"/>
            <w:vAlign w:val="center"/>
          </w:tcPr>
          <w:p>
            <w:pPr>
              <w:jc w:val="center"/>
              <w:rPr>
                <w:rFonts w:ascii="宋体" w:hAnsi="宋体" w:cs="宋体"/>
                <w:color w:val="auto"/>
                <w:sz w:val="21"/>
                <w:szCs w:val="21"/>
                <w:highlight w:val="none"/>
              </w:rPr>
            </w:pPr>
          </w:p>
        </w:tc>
        <w:tc>
          <w:tcPr>
            <w:tcW w:w="1200" w:type="dxa"/>
            <w:vMerge w:val="continue"/>
            <w:noWrap w:val="0"/>
            <w:vAlign w:val="center"/>
          </w:tcPr>
          <w:p>
            <w:pPr>
              <w:jc w:val="center"/>
              <w:rPr>
                <w:rFonts w:ascii="宋体" w:hAnsi="宋体" w:cs="宋体"/>
                <w:color w:val="auto"/>
                <w:sz w:val="21"/>
                <w:szCs w:val="21"/>
                <w:highlight w:val="none"/>
              </w:rPr>
            </w:pPr>
          </w:p>
        </w:tc>
        <w:tc>
          <w:tcPr>
            <w:tcW w:w="990" w:type="dxa"/>
            <w:vMerge w:val="continue"/>
            <w:noWrap w:val="0"/>
            <w:vAlign w:val="center"/>
          </w:tcPr>
          <w:p>
            <w:pPr>
              <w:jc w:val="center"/>
              <w:rPr>
                <w:rFonts w:ascii="宋体" w:hAnsi="宋体" w:cs="宋体"/>
                <w:color w:val="auto"/>
                <w:sz w:val="21"/>
                <w:szCs w:val="21"/>
                <w:highlight w:val="none"/>
              </w:rPr>
            </w:pPr>
          </w:p>
        </w:tc>
        <w:tc>
          <w:tcPr>
            <w:tcW w:w="1395" w:type="dxa"/>
            <w:vMerge w:val="continue"/>
            <w:noWrap w:val="0"/>
            <w:vAlign w:val="center"/>
          </w:tcPr>
          <w:p>
            <w:pPr>
              <w:jc w:val="center"/>
              <w:rPr>
                <w:rFonts w:ascii="宋体" w:hAnsi="宋体" w:cs="宋体"/>
                <w:color w:val="auto"/>
                <w:sz w:val="21"/>
                <w:szCs w:val="21"/>
                <w:highlight w:val="none"/>
              </w:rPr>
            </w:pPr>
          </w:p>
        </w:tc>
        <w:tc>
          <w:tcPr>
            <w:tcW w:w="7860" w:type="dxa"/>
            <w:vMerge w:val="restart"/>
            <w:tcBorders>
              <w:right w:val="single" w:color="auto" w:sz="8" w:space="0"/>
            </w:tcBorders>
            <w:noWrap w:val="0"/>
            <w:vAlign w:val="center"/>
          </w:tcPr>
          <w:p>
            <w:pPr>
              <w:spacing w:line="28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1.自接到甲方用人需求书面通知之日起15天内乙方需派驻符合甲方要求的人员到岗，人员满编率（实际到岗人数/需求总人数）达到甲方需求总人数的80%，自第一个月起人员满编率达到100%。</w:t>
            </w:r>
          </w:p>
          <w:p>
            <w:pPr>
              <w:spacing w:line="28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2.合同履行过程中，乙方若有人员流失，需在人员离职前3天前以书面形式告知甲方，并在人员正式离职之日起7天内对缺编人员进行补足。每天考勤、每周五核算、每月30日进行统计周平均人员满编率，月度考核人员满编率累计2次低于80%，无条件解除合同。</w:t>
            </w:r>
          </w:p>
          <w:p>
            <w:pPr>
              <w:spacing w:line="28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3.若当月服务质量考核标准达到合格（a级）分数线，且人员满编率达到于100%，按实结算。</w:t>
            </w:r>
          </w:p>
          <w:p>
            <w:pPr>
              <w:spacing w:line="28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4.若当月服务质量考核标准达到合格（a级）分数线，人员满编率在90%以上（含）-100%以下，月度实付款总额=月度应付款总额-人员满编率扣除费用*100%。</w:t>
            </w:r>
          </w:p>
          <w:p>
            <w:pPr>
              <w:ind w:firstLine="420" w:firstLineChars="200"/>
              <w:jc w:val="left"/>
              <w:rPr>
                <w:rFonts w:ascii="宋体" w:hAns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fldChar w:fldCharType="begin"/>
            </w:r>
            <w:r>
              <w:rPr>
                <w:rFonts w:ascii="宋体" w:hAnsi="宋体" w:cs="宋体"/>
                <w:color w:val="auto"/>
                <w:sz w:val="21"/>
                <w:szCs w:val="21"/>
                <w:highlight w:val="none"/>
              </w:rPr>
              <w:instrText xml:space="preserve"> QUOTE </w:instrText>
            </w:r>
            <w:r>
              <w:rPr>
                <w:rFonts w:hint="eastAsia" w:ascii="Times New Roman" w:hAnsi="Times New Roman"/>
                <w:color w:val="auto"/>
                <w:position w:val="-24"/>
                <w:highlight w:val="none"/>
              </w:rPr>
              <w:pict>
                <v:shape id="_x0000_i1027" o:spt="75" type="#_x0000_t75" style="height:31.5pt;width:207.7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gutterAtTop/&gt;&lt;w:stylePaneFormatFilter w:val=&quot;3F01&quot;/&gt;&lt;w:defaultTabStop w:val=&quot;420&quot;/&gt;&lt;w:drawingGridHorizontalSpacing w:val=&quot;105&quot;/&gt;&lt;w:drawingGridVerticalSpacing w:val=&quot;156&quot;/&gt;&lt;w:doNotShadeFormData/&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endnotePr&gt;&lt;w:numFmt w:val=&quot;decimal&quot;/&gt;&lt;/w:endnotePr&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172A27&quot;/&gt;&lt;wsp:rsid wsp:val=&quot;00032287&quot;/&gt;&lt;wsp:rsid wsp:val=&quot;000854B1&quot;/&gt;&lt;wsp:rsid wsp:val=&quot;0010337E&quot;/&gt;&lt;wsp:rsid wsp:val=&quot;00287793&quot;/&gt;&lt;wsp:rsid wsp:val=&quot;003020EA&quot;/&gt;&lt;wsp:rsid wsp:val=&quot;005100DD&quot;/&gt;&lt;wsp:rsid wsp:val=&quot;00960B69&quot;/&gt;&lt;wsp:rsid wsp:val=&quot;009978C3&quot;/&gt;&lt;wsp:rsid wsp:val=&quot;009D6CFF&quot;/&gt;&lt;wsp:rsid wsp:val=&quot;00A65602&quot;/&gt;&lt;wsp:rsid wsp:val=&quot;00AD2EE4&quot;/&gt;&lt;wsp:rsid wsp:val=&quot;00BB2932&quot;/&gt;&lt;wsp:rsid wsp:val=&quot;00BF0635&quot;/&gt;&lt;wsp:rsid wsp:val=&quot;00C03417&quot;/&gt;&lt;wsp:rsid wsp:val=&quot;00C228E3&quot;/&gt;&lt;wsp:rsid wsp:val=&quot;00C3747A&quot;/&gt;&lt;wsp:rsid wsp:val=&quot;00CF5FF4&quot;/&gt;&lt;wsp:rsid wsp:val=&quot;00D20966&quot;/&gt;&lt;wsp:rsid wsp:val=&quot;00F172E6&quot;/&gt;&lt;wsp:rsid wsp:val=&quot;00FE7F5D&quot;/&gt;&lt;wsp:rsid wsp:val=&quot;062C5206&quot;/&gt;&lt;wsp:rsid wsp:val=&quot;1A86783D&quot;/&gt;&lt;wsp:rsid wsp:val=&quot;2D4A0B45&quot;/&gt;&lt;wsp:rsid wsp:val=&quot;3C974EDC&quot;/&gt;&lt;wsp:rsid wsp:val=&quot;4991624D&quot;/&gt;&lt;wsp:rsid wsp:val=&quot;4B2D0900&quot;/&gt;&lt;wsp:rsid wsp:val=&quot;532C4719&quot;/&gt;&lt;wsp:rsid wsp:val=&quot;77E477A5&quot;/&gt;&lt;wsp:rsid wsp:val=&quot;7A5E3D53&quot;/&gt;&lt;/wsp:rsids&gt;&lt;/w:docPr&gt;&lt;w:body&gt;&lt;wx:sect&gt;&lt;w:p wsp:rsidR=&quot;00000000&quot; wsp:rsidRDefault=&quot;00287793&quot; wsp:rsidP=&quot;00287793&quot;&gt;&lt;m:oMathPara&gt;&lt;m:oMath&gt;&lt;m:r&gt;&lt;m:rPr&gt;&lt;m:sty m:val=&quot;p&quot;/&gt;&lt;/m:rPr&gt;&lt;w:rPr&gt;&lt;w:rFonts w:ascii=&quot;Cambria Math&quot; w:fareast=&quot;仿宋_GB2312&quot; w:h-ansi=&quot;Cambria Math&quot; w:hint=&quot;fareast&quot;/&gt;&lt;wx:font wx:val=&quot;仿宋_GB2312&quot;/&gt;&lt;w:sz w:val=&quot;18&quot;/&gt;&lt;w:sz-cs w:val=&quot;18&quot;/&gt;&lt;/w:rPr&gt;&lt;m:t&gt;人员满编率&lt;/m:t&gt;&lt;/m:r&gt;&lt;m:r&gt;&lt;m:rPr&gt;&lt;m:sty m:val=&quot;p&quot;/&gt;&lt;/m:rPr&gt;&lt;w:rPr&gt;&lt;w:rFonts w:ascii=&quot;Cambria Math&quot; w:fareast=&quot;仿宋_GB2312&quot; w:h-ansi=&quot;Cambria Math&quot;/&gt;&lt;wx:font wx:val=&quot;仿宋_GB2312&quot;/&gt;&lt;w:sz w:val=&quot;18&quot;/&gt;&lt;w:sz-cs w:val=&quot;18&quot;/&gt;&lt;/w:rPr&gt;&lt;m:t&gt;扣除费用&lt;/m:t&gt;&lt;/m:r&gt;&lt;m:r&gt;&lt;m:rPr&gt;&lt;m:sty m:val=&quot;p&quot;/&gt;&lt;/m:rPr&gt;&lt;w:rPr&gt;&lt;w:rFonts w:ascii=&quot;Cambria Math&quot; w:fareast=&quot;仿宋_GB2312&quot; w:h-ansi=&quot;Cambria Math&quot;/&gt;&lt;wx:font wx:val=&quot;Cambria Math&quot;/&gt;&lt;w:sz w:val=&quot;18&quot;/&gt;&lt;w:sz-cs w:val=&quot;18&quot;/&gt;&lt;/w:rPr&gt;&lt;m:t&gt;=&lt;/m:t&gt;&lt;/m:r&gt;&lt;m:r&gt;&lt;m:rPr&gt;&lt;m:sty m:val=&quot;p&quot;/&gt;&lt;/m:rPr&gt;&lt;w:rPr&gt;&lt;w:rFonts w:ascii=&quot;Cambria Math&quot; w:fareast=&quot;仿宋_GB2312&quot; w:h-ansi=&quot;Cambria Math&quot;/&gt;&lt;wx:font wx:val=&quot;仿宋_GB2312&quot;/&gt;&lt;w:sz w:val=&quot;18&quot;/&gt;&lt;w:sz-cs w:val=&quot;18&quot;/&gt;&lt;/w:rPr&gt;&lt;m:t&gt;缺编人数&lt;/m:t&gt;&lt;/m:r&gt;&lt;m:r&gt;&lt;m:rPr&gt;&lt;m:sty m:val=&quot;p&quot;/&gt;&lt;/m:rPr&gt;&lt;w:rPr&gt;&lt;w:rFonts w:ascii=&quot;仿宋_GB2312&quot; w:fareast=&quot;仿宋_GB2312&quot; w:h-ansi=&quot;仿宋&quot; w:hint=&quot;fareast&quot;/&gt;&lt;wx:font wx:val=&quot;仿宋_GB2312&quot;/&gt;&lt;w:sz w:val=&quot;18&quot;/&gt;&lt;w:sz-cs w:val=&quot;18&quot;/&gt;&lt;/w:rPr&gt;&lt;m:t&gt;*&lt;/m:t&gt;&lt;/m:r&gt;&lt;m:r&gt;&lt;m:rPr&gt;&lt;m:sty m:val=&quot;p&quot;/&gt;&lt;/m:rPr&gt;&lt;w:rPr&gt;&lt;w:rFonts w:ascii=&quot;Cambria Math&quot; w:fareast=&quot;仿宋_GB2312&quot; w:h-ansi=&quot;仿宋&quot;/&gt;&lt;wx:font wx:val=&quot;仿宋_GB2312&quot;/&gt;&lt;w:sz w:val=&quot;18&quot;/&gt;&lt;w:sz-cs w:val=&quot;18&quot;/&gt;&lt;/w:rPr&gt;&lt;m:t&gt;缺编&lt;/m:t&gt;&lt;/m:r&gt;&lt;m:r&gt;&lt;m:rPr&gt;&lt;m:sty m:val=&quot;p&quot;/&gt;&lt;/m:rPr&gt;&lt;w:rPr&gt;&lt;w:rFonts w:ascii=&quot;Cambria Math&quot; w:fareast=&quot;仿宋_GB2312&quot; w:h-ansi=&quot;Cambria Math&quot; w:hint=&quot;fareast&quot;/&gt;&lt;wx:font wx:val=&quot;仿宋_GB2312&quot;/&gt;&lt;w:sz w:val=&quot;18&quot;/&gt;&lt;w:sz-cs w:val=&quot;18&quot;/&gt;&lt;/w:rPr&gt;&lt;m:t&gt;天&lt;/m:t&gt;&lt;/m:r&gt;&lt;m:r&gt;&lt;m:rPr&gt;&lt;m:sty m:val=&quot;p&quot;/&gt;&lt;/m:rPr&gt;&lt;w:rPr&gt;&lt;w:rFonts w:ascii=&quot;Cambria Math&quot; w:fareast=&quot;仿宋_GB2312&quot; w:h-ansi=&quot;Cambria Math&quot;/&gt;&lt;wx:font wx:val=&quot;仿宋_GB2312&quot;/&gt;&lt;w:sz w:val=&quot;18&quot;/&gt;&lt;w:sz-cs w:val=&quot;18&quot;/&gt;&lt;/w:rPr&gt;&lt;m:t&gt;数&lt;/m:t&gt;&lt;/m:r&gt;&lt;m:r&gt;&lt;m:rPr&gt;&lt;m:sty m:val=&quot;p&quot;/&gt;&lt;/m:rPr&gt;&lt;w:rPr&gt;&lt;w:rFonts w:ascii=&quot;仿宋_GB2312&quot; w:fareast=&quot;仿宋_GB2312&quot; w:h-ansi=&quot;仿宋&quot; w:hint=&quot;fareast&quot;/&gt;&lt;wx:font wx:val=&quot;仿宋_GB2312&quot;/&gt;&lt;w:sz w:val=&quot;18&quot;/&gt;&lt;w:sz-cs w:val=&quot;18&quot;/&gt;&lt;/w:rPr&gt;&lt;m:t&gt;*&lt;/m:t&gt;&lt;/m:r&gt;&lt;m:f&gt;&lt;m:fPr&gt;&lt;m:ctrlPr&gt;&lt;w:rPr&gt;&lt;w:rFonts w:ascii=&quot;Cambria Math&quot; w:fareast=&quot;仿宋_GB2312&quot; w:h-ansi=&quot;Cambria Math&quot;/&gt;&lt;wx:font wx:val=&quot;Cambria Math&quot;/&gt;&lt;w:sz w:val=&quot;18&quot;/&gt;&lt;w:sz-cs w:val=&quot;18&quot;/&gt;&lt;/w:rPr&gt;&lt;/m:ctrlPr&gt;&lt;/m:fPr&gt;&lt;m:num&gt;&lt;m:r&gt;&lt;m:rPr&gt;&lt;m:sty m:val=&quot;p&quot;/&gt;&lt;/m:rPr&gt;&lt;w:rPr&gt;&lt;w:rFonts w:ascii=&quot;Cambria Math&quot; w:fareast=&quot;仿宋_GB2312&quot; w:h-ansi=&quot;Cambria Math&quot;/&gt;&lt;wx:font wx:val=&quot;仿宋_GB2312&quot;/&gt;&lt;w:sz w:val=&quot;18&quot;/&gt;&lt;w:sz-cs w:val=&quot;18&quot;/&gt;&lt;/w:rPr&gt;&lt;m:t&gt;人员单价&lt;/m:t&gt;&lt;/m:r&gt;&lt;/m:num&gt;&lt;m:den&gt;&lt;m:r&gt;&lt;m:rPr&gt;&lt;m:sty m:val=&quot;p&quot;/&gt;&lt;/m:rPr&gt;&lt;w:rPr&gt;&lt;w:rFonts w:ascii=&quot;Cambria Math&quot; w:fareast=&quot;仿宋_GB2312&quot; w:h-ansi=&quot;Cambria Math&quot; w:hint=&quot;fareast&quot;/&gt;&lt;wx:font wx:val=&quot;Cambria Math&quot;/&gt;&lt;w:sz w:val=&quot;18&quot;/&gt;&lt;w:sz-cs w:val=&quot;18&quot;/&gt;&lt;/w:rPr&gt;&lt;m:t&gt;26&lt;/m:t&gt;&lt;/m:r&gt;&lt;m:r&gt;&lt;m:rPr&gt;&lt;m:sty m:val=&quot;p&quot;/&gt;&lt;/m:rPr&gt;&lt;w:rPr&gt;&lt;w:rFonts w:ascii=&quot;Cambria Math&quot; w:fareast=&quot;仿宋_GB2312&quot; w:h-ansi=&quot;Cambria Math&quot; w:hint=&quot;fareast&quot;/&gt;&lt;wx:font wx:val=&quot;仿宋_GB2312&quot;/&gt;&lt;w:sz w:val=&quot;18&quot;/&gt;&lt;w:sz-cs w:val=&quot;18&quot;/&gt;&lt;/w:rPr&gt;&lt;m:t&gt;天&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22" chromakey="#FFFFFF" o:title=""/>
                  <o:lock v:ext="edit" aspectratio="t"/>
                  <w10:wrap type="none"/>
                  <w10:anchorlock/>
                </v:shape>
              </w:pict>
            </w:r>
            <w:r>
              <w:rPr>
                <w:rFonts w:ascii="宋体" w:hAnsi="宋体" w:cs="宋体"/>
                <w:color w:val="auto"/>
                <w:sz w:val="21"/>
                <w:szCs w:val="21"/>
                <w:highlight w:val="none"/>
              </w:rPr>
              <w:instrText xml:space="preserve"> </w:instrText>
            </w:r>
            <w:r>
              <w:rPr>
                <w:rFonts w:ascii="宋体" w:hAnsi="宋体" w:cs="宋体"/>
                <w:color w:val="auto"/>
                <w:sz w:val="21"/>
                <w:szCs w:val="21"/>
                <w:highlight w:val="none"/>
              </w:rPr>
              <w:fldChar w:fldCharType="separate"/>
            </w:r>
            <w:r>
              <w:rPr>
                <w:rFonts w:hint="eastAsia" w:ascii="Times New Roman" w:hAnsi="Times New Roman"/>
                <w:color w:val="auto"/>
                <w:position w:val="-24"/>
                <w:highlight w:val="none"/>
              </w:rPr>
              <w:pict>
                <v:shape id="_x0000_i1028" o:spt="75" type="#_x0000_t75" style="height:31.5pt;width:207.7pt;" filled="f" stroked="f" coordsize="21600,2160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gutterAtTop/&gt;&lt;w:stylePaneFormatFilter w:val=&quot;3F01&quot;/&gt;&lt;w:defaultTabStop w:val=&quot;420&quot;/&gt;&lt;w:drawingGridHorizontalSpacing w:val=&quot;105&quot;/&gt;&lt;w:drawingGridVerticalSpacing w:val=&quot;156&quot;/&gt;&lt;w:doNotShadeFormData/&gt;&lt;w:characterSpacingControl w:val=&quot;CompressPunctuation&quot;/&gt;&lt;w:webPageEncoding w:val=&quot;x-cp20936&quot;/&gt;&lt;w:optimizeForBrowser/&gt;&lt;w:allowPNG/&gt;&lt;w:validateAgainstSchema w:val=&quot;off&quot;/&gt;&lt;w:saveInvalidXML w:val=&quot;off&quot;/&gt;&lt;w:ignoreMixedContent w:val=&quot;off&quot;/&gt;&lt;w:alwaysShowPlaceholderText w:val=&quot;off&quot;/&gt;&lt;w:doNotUnderlineInvalidXML/&gt;&lt;w:endnotePr&gt;&lt;w:numFmt w:val=&quot;decimal&quot;/&gt;&lt;/w:endnotePr&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172A27&quot;/&gt;&lt;wsp:rsid wsp:val=&quot;00032287&quot;/&gt;&lt;wsp:rsid wsp:val=&quot;000854B1&quot;/&gt;&lt;wsp:rsid wsp:val=&quot;0010337E&quot;/&gt;&lt;wsp:rsid wsp:val=&quot;00287793&quot;/&gt;&lt;wsp:rsid wsp:val=&quot;003020EA&quot;/&gt;&lt;wsp:rsid wsp:val=&quot;005100DD&quot;/&gt;&lt;wsp:rsid wsp:val=&quot;00960B69&quot;/&gt;&lt;wsp:rsid wsp:val=&quot;009978C3&quot;/&gt;&lt;wsp:rsid wsp:val=&quot;009D6CFF&quot;/&gt;&lt;wsp:rsid wsp:val=&quot;00A65602&quot;/&gt;&lt;wsp:rsid wsp:val=&quot;00AD2EE4&quot;/&gt;&lt;wsp:rsid wsp:val=&quot;00BB2932&quot;/&gt;&lt;wsp:rsid wsp:val=&quot;00BF0635&quot;/&gt;&lt;wsp:rsid wsp:val=&quot;00C03417&quot;/&gt;&lt;wsp:rsid wsp:val=&quot;00C228E3&quot;/&gt;&lt;wsp:rsid wsp:val=&quot;00C3747A&quot;/&gt;&lt;wsp:rsid wsp:val=&quot;00CF5FF4&quot;/&gt;&lt;wsp:rsid wsp:val=&quot;00D20966&quot;/&gt;&lt;wsp:rsid wsp:val=&quot;00F172E6&quot;/&gt;&lt;wsp:rsid wsp:val=&quot;00FE7F5D&quot;/&gt;&lt;wsp:rsid wsp:val=&quot;062C5206&quot;/&gt;&lt;wsp:rsid wsp:val=&quot;1A86783D&quot;/&gt;&lt;wsp:rsid wsp:val=&quot;2D4A0B45&quot;/&gt;&lt;wsp:rsid wsp:val=&quot;3C974EDC&quot;/&gt;&lt;wsp:rsid wsp:val=&quot;4991624D&quot;/&gt;&lt;wsp:rsid wsp:val=&quot;4B2D0900&quot;/&gt;&lt;wsp:rsid wsp:val=&quot;532C4719&quot;/&gt;&lt;wsp:rsid wsp:val=&quot;77E477A5&quot;/&gt;&lt;wsp:rsid wsp:val=&quot;7A5E3D53&quot;/&gt;&lt;/wsp:rsids&gt;&lt;/w:docPr&gt;&lt;w:body&gt;&lt;wx:sect&gt;&lt;w:p wsp:rsidR=&quot;00000000&quot; wsp:rsidRDefault=&quot;00287793&quot; wsp:rsidP=&quot;00287793&quot;&gt;&lt;m:oMathPara&gt;&lt;m:oMath&gt;&lt;m:r&gt;&lt;m:rPr&gt;&lt;m:sty m:val=&quot;p&quot;/&gt;&lt;/m:rPr&gt;&lt;w:rPr&gt;&lt;w:rFonts w:ascii=&quot;Cambria Math&quot; w:fareast=&quot;仿宋_GB2312&quot; w:h-ansi=&quot;Cambria Math&quot; w:hint=&quot;fareast&quot;/&gt;&lt;wx:font wx:val=&quot;仿宋_GB2312&quot;/&gt;&lt;w:sz w:val=&quot;18&quot;/&gt;&lt;w:sz-cs w:val=&quot;18&quot;/&gt;&lt;/w:rPr&gt;&lt;m:t&gt;人员满编率&lt;/m:t&gt;&lt;/m:r&gt;&lt;m:r&gt;&lt;m:rPr&gt;&lt;m:sty m:val=&quot;p&quot;/&gt;&lt;/m:rPr&gt;&lt;w:rPr&gt;&lt;w:rFonts w:ascii=&quot;Cambria Math&quot; w:fareast=&quot;仿宋_GB2312&quot; w:h-ansi=&quot;Cambria Math&quot;/&gt;&lt;wx:font wx:val=&quot;仿宋_GB2312&quot;/&gt;&lt;w:sz w:val=&quot;18&quot;/&gt;&lt;w:sz-cs w:val=&quot;18&quot;/&gt;&lt;/w:rPr&gt;&lt;m:t&gt;扣除费用&lt;/m:t&gt;&lt;/m:r&gt;&lt;m:r&gt;&lt;m:rPr&gt;&lt;m:sty m:val=&quot;p&quot;/&gt;&lt;/m:rPr&gt;&lt;w:rPr&gt;&lt;w:rFonts w:ascii=&quot;Cambria Math&quot; w:fareast=&quot;仿宋_GB2312&quot; w:h-ansi=&quot;Cambria Math&quot;/&gt;&lt;wx:font wx:val=&quot;Cambria Math&quot;/&gt;&lt;w:sz w:val=&quot;18&quot;/&gt;&lt;w:sz-cs w:val=&quot;18&quot;/&gt;&lt;/w:rPr&gt;&lt;m:t&gt;=&lt;/m:t&gt;&lt;/m:r&gt;&lt;m:r&gt;&lt;m:rPr&gt;&lt;m:sty m:val=&quot;p&quot;/&gt;&lt;/m:rPr&gt;&lt;w:rPr&gt;&lt;w:rFonts w:ascii=&quot;Cambria Math&quot; w:fareast=&quot;仿宋_GB2312&quot; w:h-ansi=&quot;Cambria Math&quot;/&gt;&lt;wx:font wx:val=&quot;仿宋_GB2312&quot;/&gt;&lt;w:sz w:val=&quot;18&quot;/&gt;&lt;w:sz-cs w:val=&quot;18&quot;/&gt;&lt;/w:rPr&gt;&lt;m:t&gt;缺编人数&lt;/m:t&gt;&lt;/m:r&gt;&lt;m:r&gt;&lt;m:rPr&gt;&lt;m:sty m:val=&quot;p&quot;/&gt;&lt;/m:rPr&gt;&lt;w:rPr&gt;&lt;w:rFonts w:ascii=&quot;仿宋_GB2312&quot; w:fareast=&quot;仿宋_GB2312&quot; w:h-ansi=&quot;仿宋&quot; w:hint=&quot;fareast&quot;/&gt;&lt;wx:font wx:val=&quot;仿宋_GB2312&quot;/&gt;&lt;w:sz w:val=&quot;18&quot;/&gt;&lt;w:sz-cs w:val=&quot;18&quot;/&gt;&lt;/w:rPr&gt;&lt;m:t&gt;*&lt;/m:t&gt;&lt;/m:r&gt;&lt;m:r&gt;&lt;m:rPr&gt;&lt;m:sty m:val=&quot;p&quot;/&gt;&lt;/m:rPr&gt;&lt;w:rPr&gt;&lt;w:rFonts w:ascii=&quot;Cambria Math&quot; w:fareast=&quot;仿宋_GB2312&quot; w:h-ansi=&quot;仿宋&quot;/&gt;&lt;wx:font wx:val=&quot;仿宋_GB2312&quot;/&gt;&lt;w:sz w:val=&quot;18&quot;/&gt;&lt;w:sz-cs w:val=&quot;18&quot;/&gt;&lt;/w:rPr&gt;&lt;m:t&gt;缺编&lt;/m:t&gt;&lt;/m:r&gt;&lt;m:r&gt;&lt;m:rPr&gt;&lt;m:sty m:val=&quot;p&quot;/&gt;&lt;/m:rPr&gt;&lt;w:rPr&gt;&lt;w:rFonts w:ascii=&quot;Cambria Math&quot; w:fareast=&quot;仿宋_GB2312&quot; w:h-ansi=&quot;Cambria Math&quot; w:hint=&quot;fareast&quot;/&gt;&lt;wx:font wx:val=&quot;仿宋_GB2312&quot;/&gt;&lt;w:sz w:val=&quot;18&quot;/&gt;&lt;w:sz-cs w:val=&quot;18&quot;/&gt;&lt;/w:rPr&gt;&lt;m:t&gt;天&lt;/m:t&gt;&lt;/m:r&gt;&lt;m:r&gt;&lt;m:rPr&gt;&lt;m:sty m:val=&quot;p&quot;/&gt;&lt;/m:rPr&gt;&lt;w:rPr&gt;&lt;w:rFonts w:ascii=&quot;Cambria Math&quot; w:fareast=&quot;仿宋_GB2312&quot; w:h-ansi=&quot;Cambria Math&quot;/&gt;&lt;wx:font wx:val=&quot;仿宋_GB2312&quot;/&gt;&lt;w:sz w:val=&quot;18&quot;/&gt;&lt;w:sz-cs w:val=&quot;18&quot;/&gt;&lt;/w:rPr&gt;&lt;m:t&gt;数&lt;/m:t&gt;&lt;/m:r&gt;&lt;m:r&gt;&lt;m:rPr&gt;&lt;m:sty m:val=&quot;p&quot;/&gt;&lt;/m:rPr&gt;&lt;w:rPr&gt;&lt;w:rFonts w:ascii=&quot;仿宋_GB2312&quot; w:fareast=&quot;仿宋_GB2312&quot; w:h-ansi=&quot;仿宋&quot; w:hint=&quot;fareast&quot;/&gt;&lt;wx:font wx:val=&quot;仿宋_GB2312&quot;/&gt;&lt;w:sz w:val=&quot;18&quot;/&gt;&lt;w:sz-cs w:val=&quot;18&quot;/&gt;&lt;/w:rPr&gt;&lt;m:t&gt;*&lt;/m:t&gt;&lt;/m:r&gt;&lt;m:f&gt;&lt;m:fPr&gt;&lt;m:ctrlPr&gt;&lt;w:rPr&gt;&lt;w:rFonts w:ascii=&quot;Cambria Math&quot; w:fareast=&quot;仿宋_GB2312&quot; w:h-ansi=&quot;Cambria Math&quot;/&gt;&lt;wx:font wx:val=&quot;Cambria Math&quot;/&gt;&lt;w:sz w:val=&quot;18&quot;/&gt;&lt;w:sz-cs w:val=&quot;18&quot;/&gt;&lt;/w:rPr&gt;&lt;/m:ctrlPr&gt;&lt;/m:fPr&gt;&lt;m:num&gt;&lt;m:r&gt;&lt;m:rPr&gt;&lt;m:sty m:val=&quot;p&quot;/&gt;&lt;/m:rPr&gt;&lt;w:rPr&gt;&lt;w:rFonts w:ascii=&quot;Cambria Math&quot; w:fareast=&quot;仿宋_GB2312&quot; w:h-ansi=&quot;Cambria Math&quot;/&gt;&lt;wx:font wx:val=&quot;仿宋_GB2312&quot;/&gt;&lt;w:sz w:val=&quot;18&quot;/&gt;&lt;w:sz-cs w:val=&quot;18&quot;/&gt;&lt;/w:rPr&gt;&lt;m:t&gt;人员单价&lt;/m:t&gt;&lt;/m:r&gt;&lt;/m:num&gt;&lt;m:den&gt;&lt;m:r&gt;&lt;m:rPr&gt;&lt;m:sty m:val=&quot;p&quot;/&gt;&lt;/m:rPr&gt;&lt;w:rPr&gt;&lt;w:rFonts w:ascii=&quot;Cambria Math&quot; w:fareast=&quot;仿宋_GB2312&quot; w:h-ansi=&quot;Cambria Math&quot; w:hint=&quot;fareast&quot;/&gt;&lt;wx:font wx:val=&quot;Cambria Math&quot;/&gt;&lt;w:sz w:val=&quot;18&quot;/&gt;&lt;w:sz-cs w:val=&quot;18&quot;/&gt;&lt;/w:rPr&gt;&lt;m:t&gt;26&lt;/m:t&gt;&lt;/m:r&gt;&lt;m:r&gt;&lt;m:rPr&gt;&lt;m:sty m:val=&quot;p&quot;/&gt;&lt;/m:rPr&gt;&lt;w:rPr&gt;&lt;w:rFonts w:ascii=&quot;Cambria Math&quot; w:fareast=&quot;仿宋_GB2312&quot; w:h-ansi=&quot;Cambria Math&quot; w:hint=&quot;fareast&quot;/&gt;&lt;wx:font wx:val=&quot;仿宋_GB2312&quot;/&gt;&lt;w:sz w:val=&quot;18&quot;/&gt;&lt;w:sz-cs w:val=&quot;18&quot;/&gt;&lt;/w:rPr&gt;&lt;m:t&gt;天&lt;/m: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path/>
                  <v:fill on="f" focussize="0,0"/>
                  <v:stroke on="f"/>
                  <v:imagedata r:id="rId22" chromakey="#FFFFFF" o:title=""/>
                  <o:lock v:ext="edit" aspectratio="t"/>
                  <w10:wrap type="none"/>
                  <w10:anchorlock/>
                </v:shape>
              </w:pict>
            </w:r>
            <w:r>
              <w:rPr>
                <w:rFonts w:ascii="宋体" w:hAnsi="宋体" w:cs="宋体"/>
                <w:color w:val="auto"/>
                <w:sz w:val="21"/>
                <w:szCs w:val="21"/>
                <w:highlight w:val="none"/>
              </w:rPr>
              <w:fldChar w:fldCharType="end"/>
            </w:r>
            <w:r>
              <w:rPr>
                <w:rFonts w:hint="eastAsia" w:ascii="宋体" w:hAnsi="宋体" w:cs="宋体"/>
                <w:color w:val="auto"/>
                <w:sz w:val="21"/>
                <w:szCs w:val="21"/>
                <w:highlight w:val="none"/>
              </w:rPr>
              <w:t xml:space="preserve"> ，下同)</w:t>
            </w:r>
          </w:p>
          <w:p>
            <w:pPr>
              <w:spacing w:line="28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5.当月服务质量考核标准达到合格（a级）分数线，人员满编率在90%以下，月度实付款总额=月度应付款总额-人员满编率扣除费用*200%。</w:t>
            </w:r>
          </w:p>
          <w:p>
            <w:pPr>
              <w:spacing w:line="28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6.当月服务质量考核标准为不合格（b、c、d级）分数线，人员满编率90%以上（含）-100%以下，月度实付款总额=月度应付款总额-服务质量考核扣除费用-人员满编率扣除费用*200%。</w:t>
            </w:r>
          </w:p>
          <w:p>
            <w:pPr>
              <w:spacing w:line="28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7.当月服务质量考核标准为不合格（b、c、d级）分数线，人员满编率90%以下，月度实付款总额=月度应付款总额-服务质量考核扣除费用-人员满编率扣除费用*300%。</w:t>
            </w:r>
          </w:p>
          <w:p>
            <w:pPr>
              <w:spacing w:line="280" w:lineRule="exact"/>
              <w:jc w:val="left"/>
              <w:rPr>
                <w:rFonts w:ascii="宋体" w:hAnsi="宋体" w:cs="宋体"/>
                <w:color w:val="auto"/>
                <w:sz w:val="21"/>
                <w:szCs w:val="21"/>
                <w:highlight w:val="none"/>
              </w:rPr>
            </w:pPr>
            <w:r>
              <w:rPr>
                <w:rFonts w:hint="eastAsia" w:ascii="宋体" w:hAnsi="宋体" w:cs="宋体"/>
                <w:color w:val="auto"/>
                <w:sz w:val="21"/>
                <w:szCs w:val="21"/>
                <w:highlight w:val="none"/>
              </w:rPr>
              <w:t>8.保安、保洁服务人员（服务时间在1个月内）离职率（离职人数/总需求人数）&lt;20%(向上取整)。如超过20%评定为当月服务质量考核不合格b级进行结算。累计两个月的离职率超过20%，无条件解除合同。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1290" w:type="dxa"/>
            <w:tcBorders>
              <w:left w:val="single" w:color="auto" w:sz="8" w:space="0"/>
              <w:bottom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住宅类</w:t>
            </w:r>
          </w:p>
        </w:tc>
        <w:tc>
          <w:tcPr>
            <w:tcW w:w="1590" w:type="dxa"/>
            <w:tcBorders>
              <w:bottom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90分（含）以上（业主单位对甲方有考核要求的，以业主单位考核分值为准）</w:t>
            </w:r>
          </w:p>
        </w:tc>
        <w:tc>
          <w:tcPr>
            <w:tcW w:w="1155" w:type="dxa"/>
            <w:tcBorders>
              <w:bottom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按合同月度付款总额的5%扣除</w:t>
            </w:r>
          </w:p>
        </w:tc>
        <w:tc>
          <w:tcPr>
            <w:tcW w:w="1200" w:type="dxa"/>
            <w:tcBorders>
              <w:bottom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按合同月度付款总额的10%扣除</w:t>
            </w:r>
          </w:p>
        </w:tc>
        <w:tc>
          <w:tcPr>
            <w:tcW w:w="990" w:type="dxa"/>
            <w:tcBorders>
              <w:bottom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按合同月度付款总额的15%扣除</w:t>
            </w:r>
          </w:p>
        </w:tc>
        <w:tc>
          <w:tcPr>
            <w:tcW w:w="1395" w:type="dxa"/>
            <w:tcBorders>
              <w:bottom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甲方可以无条件解除合同</w:t>
            </w:r>
          </w:p>
        </w:tc>
        <w:tc>
          <w:tcPr>
            <w:tcW w:w="7860" w:type="dxa"/>
            <w:vMerge w:val="continue"/>
            <w:tcBorders>
              <w:right w:val="single" w:color="auto" w:sz="8" w:space="0"/>
            </w:tcBorders>
            <w:noWrap w:val="0"/>
            <w:vAlign w:val="center"/>
          </w:tcPr>
          <w:p>
            <w:pPr>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290" w:type="dxa"/>
            <w:vMerge w:val="restart"/>
            <w:tcBorders>
              <w:top w:val="single" w:color="auto" w:sz="8" w:space="0"/>
              <w:left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类 别</w:t>
            </w:r>
          </w:p>
        </w:tc>
        <w:tc>
          <w:tcPr>
            <w:tcW w:w="1590" w:type="dxa"/>
            <w:vMerge w:val="restart"/>
            <w:tcBorders>
              <w:top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合格</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（a级）</w:t>
            </w:r>
          </w:p>
        </w:tc>
        <w:tc>
          <w:tcPr>
            <w:tcW w:w="4740" w:type="dxa"/>
            <w:gridSpan w:val="4"/>
            <w:tcBorders>
              <w:top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不合格</w:t>
            </w:r>
          </w:p>
        </w:tc>
        <w:tc>
          <w:tcPr>
            <w:tcW w:w="7860" w:type="dxa"/>
            <w:vMerge w:val="continue"/>
            <w:tcBorders>
              <w:right w:val="single" w:color="auto" w:sz="8" w:space="0"/>
            </w:tcBorders>
            <w:noWrap w:val="0"/>
            <w:vAlign w:val="center"/>
          </w:tcPr>
          <w:p>
            <w:pPr>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1290" w:type="dxa"/>
            <w:vMerge w:val="continue"/>
            <w:tcBorders>
              <w:left w:val="single" w:color="auto" w:sz="8" w:space="0"/>
            </w:tcBorders>
            <w:noWrap w:val="0"/>
            <w:vAlign w:val="center"/>
          </w:tcPr>
          <w:p>
            <w:pPr>
              <w:jc w:val="center"/>
              <w:rPr>
                <w:rFonts w:ascii="宋体" w:hAnsi="宋体" w:cs="宋体"/>
                <w:color w:val="auto"/>
                <w:sz w:val="21"/>
                <w:szCs w:val="21"/>
                <w:highlight w:val="none"/>
              </w:rPr>
            </w:pPr>
          </w:p>
        </w:tc>
        <w:tc>
          <w:tcPr>
            <w:tcW w:w="1590" w:type="dxa"/>
            <w:vMerge w:val="continue"/>
            <w:noWrap w:val="0"/>
            <w:vAlign w:val="center"/>
          </w:tcPr>
          <w:p>
            <w:pPr>
              <w:jc w:val="center"/>
              <w:rPr>
                <w:rFonts w:ascii="宋体" w:hAnsi="宋体" w:cs="宋体"/>
                <w:color w:val="auto"/>
                <w:sz w:val="21"/>
                <w:szCs w:val="21"/>
                <w:highlight w:val="none"/>
              </w:rPr>
            </w:pPr>
          </w:p>
        </w:tc>
        <w:tc>
          <w:tcPr>
            <w:tcW w:w="1155" w:type="dxa"/>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90分以上95分以下</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（b级）</w:t>
            </w:r>
          </w:p>
        </w:tc>
        <w:tc>
          <w:tcPr>
            <w:tcW w:w="1200" w:type="dxa"/>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85分以上90分（含）以下</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（c级）</w:t>
            </w:r>
          </w:p>
        </w:tc>
        <w:tc>
          <w:tcPr>
            <w:tcW w:w="990" w:type="dxa"/>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85分以下</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（d级）</w:t>
            </w:r>
          </w:p>
        </w:tc>
        <w:tc>
          <w:tcPr>
            <w:tcW w:w="1395" w:type="dxa"/>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年累计不合格</w:t>
            </w:r>
          </w:p>
          <w:p>
            <w:pPr>
              <w:jc w:val="center"/>
              <w:rPr>
                <w:rFonts w:ascii="宋体" w:hAnsi="宋体" w:cs="宋体"/>
                <w:color w:val="auto"/>
                <w:sz w:val="21"/>
                <w:szCs w:val="21"/>
                <w:highlight w:val="none"/>
              </w:rPr>
            </w:pPr>
            <w:r>
              <w:rPr>
                <w:rFonts w:hint="eastAsia" w:ascii="宋体" w:hAnsi="宋体" w:cs="宋体"/>
                <w:color w:val="auto"/>
                <w:sz w:val="21"/>
                <w:szCs w:val="21"/>
                <w:highlight w:val="none"/>
              </w:rPr>
              <w:t>两次</w:t>
            </w:r>
          </w:p>
        </w:tc>
        <w:tc>
          <w:tcPr>
            <w:tcW w:w="7860" w:type="dxa"/>
            <w:vMerge w:val="continue"/>
            <w:tcBorders>
              <w:right w:val="single" w:color="auto" w:sz="8" w:space="0"/>
            </w:tcBorders>
            <w:noWrap w:val="0"/>
            <w:vAlign w:val="center"/>
          </w:tcPr>
          <w:p>
            <w:pPr>
              <w:jc w:val="left"/>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jc w:val="center"/>
        </w:trPr>
        <w:tc>
          <w:tcPr>
            <w:tcW w:w="1290" w:type="dxa"/>
            <w:tcBorders>
              <w:left w:val="single" w:color="auto" w:sz="8" w:space="0"/>
            </w:tcBorders>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景区/场馆/市政道路/写字楼/其他类</w:t>
            </w:r>
          </w:p>
        </w:tc>
        <w:tc>
          <w:tcPr>
            <w:tcW w:w="1590" w:type="dxa"/>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95分（含）以上（业主单位对甲方有考核要求的，以业主单位考核分值为准）</w:t>
            </w:r>
          </w:p>
        </w:tc>
        <w:tc>
          <w:tcPr>
            <w:tcW w:w="1155" w:type="dxa"/>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按合同月度付款总额的5%扣除</w:t>
            </w:r>
          </w:p>
        </w:tc>
        <w:tc>
          <w:tcPr>
            <w:tcW w:w="1200" w:type="dxa"/>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 10%扣除</w:t>
            </w:r>
          </w:p>
        </w:tc>
        <w:tc>
          <w:tcPr>
            <w:tcW w:w="990" w:type="dxa"/>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按合同月度付款总额的15%扣除</w:t>
            </w:r>
          </w:p>
        </w:tc>
        <w:tc>
          <w:tcPr>
            <w:tcW w:w="1395" w:type="dxa"/>
            <w:noWrap w:val="0"/>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甲方可以无条件解除合同</w:t>
            </w:r>
          </w:p>
        </w:tc>
        <w:tc>
          <w:tcPr>
            <w:tcW w:w="7860" w:type="dxa"/>
            <w:vMerge w:val="continue"/>
            <w:tcBorders>
              <w:right w:val="single" w:color="auto" w:sz="8" w:space="0"/>
            </w:tcBorders>
            <w:noWrap w:val="0"/>
            <w:vAlign w:val="center"/>
          </w:tcPr>
          <w:p>
            <w:pPr>
              <w:jc w:val="left"/>
              <w:rPr>
                <w:rFonts w:ascii="宋体" w:hAnsi="宋体" w:cs="宋体"/>
                <w:color w:val="auto"/>
                <w:sz w:val="21"/>
                <w:szCs w:val="21"/>
                <w:highlight w:val="none"/>
              </w:rPr>
            </w:pPr>
          </w:p>
        </w:tc>
      </w:tr>
    </w:tbl>
    <w:p>
      <w:pPr>
        <w:pStyle w:val="20"/>
        <w:rPr>
          <w:rFonts w:hint="eastAsia"/>
          <w:color w:val="auto"/>
        </w:rPr>
        <w:sectPr>
          <w:pgSz w:w="16838" w:h="11906" w:orient="landscape"/>
          <w:pgMar w:top="1247" w:right="726" w:bottom="1247" w:left="1077" w:header="851" w:footer="907" w:gutter="0"/>
          <w:cols w:space="0" w:num="1"/>
          <w:rtlGutter w:val="0"/>
          <w:docGrid w:linePitch="312" w:charSpace="0"/>
        </w:sectPr>
      </w:pPr>
    </w:p>
    <w:p>
      <w:pPr>
        <w:pStyle w:val="6"/>
        <w:spacing w:before="240" w:beforeLines="100"/>
        <w:rPr>
          <w:rFonts w:hint="eastAsia" w:ascii="宋体" w:hAnsi="宋体" w:cs="宋体"/>
          <w:color w:val="auto"/>
          <w:sz w:val="24"/>
          <w:szCs w:val="24"/>
          <w:highlight w:val="none"/>
        </w:rPr>
      </w:pPr>
      <w:r>
        <w:rPr>
          <w:rFonts w:hint="eastAsia" w:ascii="宋体" w:hAnsi="宋体" w:cs="宋体"/>
          <w:color w:val="auto"/>
          <w:kern w:val="72"/>
          <w:sz w:val="24"/>
          <w:szCs w:val="24"/>
          <w:highlight w:val="none"/>
        </w:rPr>
        <w:t>检测园保洁服务考核标准</w:t>
      </w:r>
    </w:p>
    <w:tbl>
      <w:tblPr>
        <w:tblStyle w:val="44"/>
        <w:tblpPr w:leftFromText="180" w:rightFromText="180" w:vertAnchor="text" w:horzAnchor="page" w:tblpX="929" w:tblpY="760"/>
        <w:tblOverlap w:val="never"/>
        <w:tblW w:w="10170" w:type="dxa"/>
        <w:tblInd w:w="0" w:type="dxa"/>
        <w:tblLayout w:type="fixed"/>
        <w:tblCellMar>
          <w:top w:w="15" w:type="dxa"/>
          <w:left w:w="15" w:type="dxa"/>
          <w:bottom w:w="15" w:type="dxa"/>
          <w:right w:w="15" w:type="dxa"/>
        </w:tblCellMar>
      </w:tblPr>
      <w:tblGrid>
        <w:gridCol w:w="1155"/>
        <w:gridCol w:w="4530"/>
        <w:gridCol w:w="2610"/>
        <w:gridCol w:w="1875"/>
      </w:tblGrid>
      <w:tr>
        <w:tblPrEx>
          <w:tblCellMar>
            <w:top w:w="15" w:type="dxa"/>
            <w:left w:w="15" w:type="dxa"/>
            <w:bottom w:w="15" w:type="dxa"/>
            <w:right w:w="15" w:type="dxa"/>
          </w:tblCellMar>
        </w:tblPrEx>
        <w:trPr>
          <w:trHeight w:val="660" w:hRule="atLeast"/>
        </w:trPr>
        <w:tc>
          <w:tcPr>
            <w:tcW w:w="1155"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ind w:left="369" w:hanging="369" w:hangingChars="175"/>
              <w:jc w:val="center"/>
              <w:textAlignment w:val="center"/>
              <w:rPr>
                <w:rFonts w:hint="eastAsia" w:ascii="宋体" w:hAnsi="宋体" w:cs="宋体"/>
                <w:b/>
                <w:color w:val="auto"/>
                <w:sz w:val="21"/>
                <w:szCs w:val="21"/>
                <w:highlight w:val="none"/>
              </w:rPr>
            </w:pPr>
            <w:r>
              <w:rPr>
                <w:rFonts w:hint="eastAsia" w:ascii="宋体" w:hAnsi="宋体" w:cs="宋体"/>
                <w:b/>
                <w:color w:val="auto"/>
                <w:kern w:val="0"/>
                <w:sz w:val="21"/>
                <w:szCs w:val="21"/>
                <w:highlight w:val="none"/>
                <w:lang w:bidi="ar"/>
              </w:rPr>
              <w:t>区域</w:t>
            </w:r>
          </w:p>
        </w:tc>
        <w:tc>
          <w:tcPr>
            <w:tcW w:w="4530"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jc w:val="center"/>
              <w:textAlignment w:val="center"/>
              <w:rPr>
                <w:rFonts w:hint="eastAsia" w:ascii="宋体" w:hAnsi="宋体" w:cs="宋体"/>
                <w:b/>
                <w:color w:val="auto"/>
                <w:sz w:val="21"/>
                <w:szCs w:val="21"/>
                <w:highlight w:val="none"/>
              </w:rPr>
            </w:pPr>
            <w:r>
              <w:rPr>
                <w:rFonts w:hint="eastAsia" w:ascii="宋体" w:hAnsi="宋体" w:cs="宋体"/>
                <w:b/>
                <w:color w:val="auto"/>
                <w:kern w:val="0"/>
                <w:sz w:val="21"/>
                <w:szCs w:val="21"/>
                <w:highlight w:val="none"/>
                <w:lang w:bidi="ar"/>
              </w:rPr>
              <w:t>质量要求</w:t>
            </w:r>
          </w:p>
        </w:tc>
        <w:tc>
          <w:tcPr>
            <w:tcW w:w="2610"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jc w:val="center"/>
              <w:textAlignment w:val="center"/>
              <w:rPr>
                <w:rFonts w:hint="eastAsia" w:ascii="宋体" w:hAnsi="宋体" w:cs="宋体"/>
                <w:b/>
                <w:color w:val="auto"/>
                <w:sz w:val="21"/>
                <w:szCs w:val="21"/>
                <w:highlight w:val="none"/>
              </w:rPr>
            </w:pPr>
            <w:r>
              <w:rPr>
                <w:rFonts w:hint="eastAsia" w:ascii="宋体" w:hAnsi="宋体" w:cs="宋体"/>
                <w:b/>
                <w:color w:val="auto"/>
                <w:kern w:val="0"/>
                <w:sz w:val="21"/>
                <w:szCs w:val="21"/>
                <w:highlight w:val="none"/>
                <w:lang w:bidi="ar"/>
              </w:rPr>
              <w:t>考核标准</w:t>
            </w:r>
          </w:p>
        </w:tc>
        <w:tc>
          <w:tcPr>
            <w:tcW w:w="1875" w:type="dxa"/>
            <w:tcBorders>
              <w:top w:val="single" w:color="000000" w:sz="4" w:space="0"/>
              <w:left w:val="single" w:color="000000" w:sz="4" w:space="0"/>
              <w:bottom w:val="single" w:color="000000" w:sz="4" w:space="0"/>
              <w:right w:val="single" w:color="000000" w:sz="4" w:space="0"/>
            </w:tcBorders>
            <w:shd w:val="clear" w:color="auto" w:fill="D7D7D7"/>
            <w:noWrap w:val="0"/>
            <w:vAlign w:val="center"/>
          </w:tcPr>
          <w:p>
            <w:pPr>
              <w:widowControl/>
              <w:jc w:val="center"/>
              <w:textAlignment w:val="center"/>
              <w:rPr>
                <w:rFonts w:hint="eastAsia" w:ascii="宋体" w:hAnsi="宋体" w:cs="宋体"/>
                <w:b/>
                <w:color w:val="auto"/>
                <w:sz w:val="21"/>
                <w:szCs w:val="21"/>
                <w:highlight w:val="none"/>
              </w:rPr>
            </w:pPr>
            <w:r>
              <w:rPr>
                <w:rFonts w:hint="eastAsia" w:ascii="宋体" w:hAnsi="宋体" w:cs="宋体"/>
                <w:b/>
                <w:color w:val="auto"/>
                <w:kern w:val="0"/>
                <w:sz w:val="21"/>
                <w:szCs w:val="21"/>
                <w:highlight w:val="none"/>
                <w:lang w:bidi="ar"/>
              </w:rPr>
              <w:t>扣分标准</w:t>
            </w:r>
          </w:p>
        </w:tc>
      </w:tr>
      <w:tr>
        <w:tblPrEx>
          <w:tblCellMar>
            <w:top w:w="15" w:type="dxa"/>
            <w:left w:w="15" w:type="dxa"/>
            <w:bottom w:w="15" w:type="dxa"/>
            <w:right w:w="15" w:type="dxa"/>
          </w:tblCellMar>
        </w:tblPrEx>
        <w:trPr>
          <w:trHeight w:val="1085" w:hRule="atLeast"/>
        </w:trPr>
        <w:tc>
          <w:tcPr>
            <w:tcW w:w="115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仪容仪表及行为举止</w:t>
            </w:r>
          </w:p>
        </w:tc>
        <w:tc>
          <w:tcPr>
            <w:tcW w:w="4530" w:type="dxa"/>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a)员工上班期间统一着工装，仪态自然，精神状态饱满</w:t>
            </w:r>
            <w:r>
              <w:rPr>
                <w:rStyle w:val="110"/>
                <w:rFonts w:hint="default"/>
                <w:color w:val="auto"/>
                <w:sz w:val="21"/>
                <w:szCs w:val="21"/>
                <w:highlight w:val="none"/>
                <w:lang w:bidi="ar"/>
              </w:rPr>
              <w:t>（女性统一盘发佩戴头花，男性不得留长胡须，头发前不过眉，侧不过耳，后不齐领）</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干净整洁无破损，无明显褶皱、污渍,正确佩戴工牌（图标字体清晰）</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799" w:hRule="atLeast"/>
        </w:trPr>
        <w:tc>
          <w:tcPr>
            <w:tcW w:w="11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b)不以任何理由与业主方、客户发生争吵、打架</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无与客户、业主方发生争吵、打架的现象</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1006" w:hRule="atLeast"/>
        </w:trPr>
        <w:tc>
          <w:tcPr>
            <w:tcW w:w="11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c)不得在工作场所大声喧哗，趴在工作台上休息，不打瞌睡或串岗聊天、吃零食</w:t>
            </w:r>
            <w:r>
              <w:rPr>
                <w:rStyle w:val="110"/>
                <w:rFonts w:hint="default"/>
                <w:color w:val="auto"/>
                <w:sz w:val="21"/>
                <w:szCs w:val="21"/>
                <w:highlight w:val="none"/>
                <w:lang w:bidi="ar"/>
              </w:rPr>
              <w:t>、玩手机等从事与工作无关的活动</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工作人员值班状态良好，未做与工作无关的事情</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每发现一处不合格扣0.5分（打瞌睡另行再扣200元/次）</w:t>
            </w:r>
          </w:p>
        </w:tc>
      </w:tr>
      <w:tr>
        <w:tblPrEx>
          <w:tblCellMar>
            <w:top w:w="15" w:type="dxa"/>
            <w:left w:w="15" w:type="dxa"/>
            <w:bottom w:w="15" w:type="dxa"/>
            <w:right w:w="15" w:type="dxa"/>
          </w:tblCellMar>
        </w:tblPrEx>
        <w:trPr>
          <w:trHeight w:val="666" w:hRule="atLeast"/>
        </w:trPr>
        <w:tc>
          <w:tcPr>
            <w:tcW w:w="11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000000" w:sz="4" w:space="0"/>
              <w:left w:val="single" w:color="000000" w:sz="4" w:space="0"/>
              <w:bottom w:val="single" w:color="000000"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d)不得以权牟私，侵害业主及他人的利益</w:t>
            </w:r>
          </w:p>
        </w:tc>
        <w:tc>
          <w:tcPr>
            <w:tcW w:w="261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无侵害他人及业主方、客户利益的事情发生</w:t>
            </w:r>
          </w:p>
        </w:tc>
        <w:tc>
          <w:tcPr>
            <w:tcW w:w="18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每发现一处不符合标准扣5分</w:t>
            </w:r>
          </w:p>
        </w:tc>
      </w:tr>
      <w:tr>
        <w:tblPrEx>
          <w:tblCellMar>
            <w:top w:w="15" w:type="dxa"/>
            <w:left w:w="15" w:type="dxa"/>
            <w:bottom w:w="15" w:type="dxa"/>
            <w:right w:w="15" w:type="dxa"/>
          </w:tblCellMar>
        </w:tblPrEx>
        <w:trPr>
          <w:trHeight w:val="900" w:hRule="atLeast"/>
        </w:trPr>
        <w:tc>
          <w:tcPr>
            <w:tcW w:w="1155" w:type="dxa"/>
            <w:vMerge w:val="continue"/>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000000" w:sz="4" w:space="0"/>
              <w:left w:val="single" w:color="000000" w:sz="4" w:space="0"/>
              <w:bottom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e)礼貌待人，微笑服务，不讲脏话、粗话，业主方及客户需要帮助时，</w:t>
            </w:r>
            <w:r>
              <w:rPr>
                <w:rStyle w:val="145"/>
                <w:rFonts w:hint="default"/>
                <w:color w:val="auto"/>
                <w:sz w:val="21"/>
                <w:szCs w:val="21"/>
                <w:highlight w:val="none"/>
                <w:lang w:bidi="ar"/>
              </w:rPr>
              <w:t>主</w:t>
            </w:r>
            <w:r>
              <w:rPr>
                <w:rStyle w:val="154"/>
                <w:rFonts w:hint="default"/>
                <w:color w:val="auto"/>
                <w:sz w:val="21"/>
                <w:szCs w:val="21"/>
                <w:highlight w:val="none"/>
                <w:lang w:bidi="ar"/>
              </w:rPr>
              <w:t>动及时提供服务</w:t>
            </w:r>
          </w:p>
        </w:tc>
        <w:tc>
          <w:tcPr>
            <w:tcW w:w="2610" w:type="dxa"/>
            <w:tcBorders>
              <w:top w:val="single" w:color="000000" w:sz="4" w:space="0"/>
              <w:left w:val="single" w:color="000000" w:sz="4" w:space="0"/>
              <w:bottom w:val="single" w:color="auto" w:sz="4" w:space="0"/>
              <w:right w:val="single" w:color="000000"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行为举止文明大方，能主动为客户提供帮助</w:t>
            </w:r>
          </w:p>
        </w:tc>
        <w:tc>
          <w:tcPr>
            <w:tcW w:w="1875"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87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楼层公共区域</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ａ)砖面及拼缝、边沿线等处应洁净，无积垢、灰尘、纸屑、食品残渣、水迹和胶粘物等，保持地面干燥清洁</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干净、光滑明亮、无杂物、无污渍、无水渍</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672"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b)内墙面、天花、顶角、转角及墙踢脚等处无积尘、霉斑和蜘蛛网</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干净无灰尘、无霉斑、蜘蛛网</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90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c) 玻璃门、玻璃窗、窗台、窗框及上下部位的缝隙处等表面应洁净、明亮，无水迹、无积尘、污迹、斑点、指印和张贴物</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洁净明亮、无水迹、无指纹、无张贴物，洁净明亮</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63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d)窗台及上下四周接缝处等应光洁，无灰尘</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干净无灰尘</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75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e) 门面、门框、门背等应无油迹和灰尘，金属门饰、门锁、门附件等应保持金属光亮，无锈斑、污迹</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干净光亮，无油迹灰尘、无锈斑污渍</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f)照明灯具消防排烟口、警铃、安全指示灯、各种标识标牌、消防栓箱、楼层分布牌等各类设施表面干净，无灰尘、水迹、斑点</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干净无灰尘，无污渍、积尘</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g)楼梯无痰迹、油污、纸屑和废弃垃圾;扶手栏杆应洁净，无污迹和灰尘</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干净、无纸屑，无痰迹污迹</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h)排风口无积灰、无污渍，空调进出风口网面无积灰</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无积灰、无污渍</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i)垃圾桶外表干净，无积垢、臭味；</w:t>
            </w:r>
            <w:r>
              <w:rPr>
                <w:rStyle w:val="110"/>
                <w:rFonts w:hint="default"/>
                <w:color w:val="auto"/>
                <w:sz w:val="21"/>
                <w:szCs w:val="21"/>
                <w:highlight w:val="none"/>
                <w:lang w:bidi="ar"/>
              </w:rPr>
              <w:t>垃圾不得超过桶底2/3</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干净，无积垢、臭味；</w:t>
            </w:r>
            <w:r>
              <w:rPr>
                <w:rStyle w:val="110"/>
                <w:rFonts w:hint="default"/>
                <w:color w:val="auto"/>
                <w:sz w:val="21"/>
                <w:szCs w:val="21"/>
                <w:highlight w:val="none"/>
                <w:lang w:bidi="ar"/>
              </w:rPr>
              <w:t>垃圾不超过桶底2/3</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每发现一处不符合标准扣5分</w:t>
            </w:r>
          </w:p>
        </w:tc>
      </w:tr>
      <w:tr>
        <w:tblPrEx>
          <w:tblCellMar>
            <w:top w:w="15" w:type="dxa"/>
            <w:left w:w="15" w:type="dxa"/>
            <w:bottom w:w="15" w:type="dxa"/>
            <w:right w:w="15" w:type="dxa"/>
          </w:tblCellMar>
        </w:tblPrEx>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j)电梯轿厢内干净、无杂物，小广告，门表面光亮，无污渍手印；轿厢四壁显示屏、召唤面板按钮干净、无污渍印迹；内壁顶部、门槽内无杂物、灰尘</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光亮、干净、无污渍印迹，杂物、灰尘</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50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地下车库</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a)车库地面无积水、积尘、油迹</w:t>
            </w:r>
            <w:r>
              <w:rPr>
                <w:rStyle w:val="154"/>
                <w:rFonts w:hint="default"/>
                <w:color w:val="auto"/>
                <w:sz w:val="21"/>
                <w:szCs w:val="21"/>
                <w:highlight w:val="none"/>
                <w:lang w:bidi="ar"/>
              </w:rPr>
              <w:t>、</w:t>
            </w:r>
            <w:r>
              <w:rPr>
                <w:rStyle w:val="110"/>
                <w:rFonts w:hint="default"/>
                <w:color w:val="auto"/>
                <w:sz w:val="21"/>
                <w:szCs w:val="21"/>
                <w:highlight w:val="none"/>
                <w:lang w:bidi="ar"/>
              </w:rPr>
              <w:t>污渍和</w:t>
            </w:r>
            <w:r>
              <w:rPr>
                <w:rStyle w:val="154"/>
                <w:rFonts w:hint="default"/>
                <w:color w:val="auto"/>
                <w:sz w:val="21"/>
                <w:szCs w:val="21"/>
                <w:highlight w:val="none"/>
                <w:lang w:bidi="ar"/>
              </w:rPr>
              <w:t>垃圾</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无积水、垃圾油迹</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57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b)照明灯表面无灰尘、灯罩内无死蚊、蝇、虫</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干净无灰尘</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61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c)消防设施设备表面无尘土、无杂物，管道表面无脏物</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干净无灰尘，管道表面无脏物</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90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d)</w:t>
            </w:r>
            <w:r>
              <w:rPr>
                <w:rStyle w:val="110"/>
                <w:rFonts w:hint="default"/>
                <w:color w:val="auto"/>
                <w:sz w:val="21"/>
                <w:szCs w:val="21"/>
                <w:highlight w:val="none"/>
                <w:lang w:bidi="ar"/>
              </w:rPr>
              <w:t>跟进车库虫害防控，定期进行消毒</w:t>
            </w:r>
            <w:r>
              <w:rPr>
                <w:rStyle w:val="154"/>
                <w:rFonts w:hint="default"/>
                <w:color w:val="auto"/>
                <w:sz w:val="21"/>
                <w:szCs w:val="21"/>
                <w:highlight w:val="none"/>
                <w:lang w:bidi="ar"/>
              </w:rPr>
              <w:t>处理，保持空气流通，无异味</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干净无异味</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78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外围公共区域</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a)外围公共道路、场地应保持干净、平整，无积水、残叶和垃圾。</w:t>
            </w:r>
            <w:r>
              <w:rPr>
                <w:rStyle w:val="110"/>
                <w:rFonts w:hint="default"/>
                <w:color w:val="auto"/>
                <w:sz w:val="21"/>
                <w:szCs w:val="21"/>
                <w:highlight w:val="none"/>
                <w:lang w:bidi="ar"/>
              </w:rPr>
              <w:t>无明显油污、青苔、锈渍等</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干净平整无残叶无垃圾</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78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b)台阶应保持清洁，无纸屑、青苔、痰迹和污迹</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干净，无纸屑，痰迹污迹</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75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c)排水沟内无泥沙，杂物，排水畅通；花坛内无烟蒂、杂物，走道和路边无废弃物</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无泥沙无烟头无杂物废弃物</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90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d)室外公共场地垃圾桶（箱）摆放整齐、外表干净，每天擦拭，无异味，垃圾箱内垃圾不得超过垃圾桶（箱）底2/3</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表面干净、垃圾无溢出、周边无异味</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90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e)室外照明灯具、消防设施、宣传栏、道闸监控等设施需每天进行擦拭，无积尘、污渍及坠挂物，灯杆无明显污渍、无乱张粘</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无积尘、污渍及坠挂物、无乱张粘</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58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f)台盆和台面应无积垢、锈迹、皂迹和毛发</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无灰尘，干净无杂物</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57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g)洗手池池壁无污垢、无痰迹及头发等不洁物，水龙头无任何印迹、污垢，光亮、洁净，洗手池台面无水迹、无尘土、无污物</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干净、光亮，无水迹、无尘土、无污物</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454"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h)便斗内应放置清洁球，无污垢，卫生用品无短缺</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清洁球按要求放置，无污垢</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765"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i）坐便器、大便池外部无污垢，内部无黄斑，便盖无水迹和污迹；小便器无尿碱、无水锈印迹（黄迹）、无污垢、喷水嘴应洁净；恭桶内外洁净，无大便痕迹、无污垢黄迹</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干净无污迹、水迹、无污垢黄迹</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54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j)废纸篓无污迹和臭味</w:t>
            </w:r>
            <w:r>
              <w:rPr>
                <w:rStyle w:val="154"/>
                <w:rFonts w:hint="default"/>
                <w:color w:val="auto"/>
                <w:sz w:val="21"/>
                <w:szCs w:val="21"/>
                <w:highlight w:val="none"/>
                <w:lang w:bidi="ar"/>
              </w:rPr>
              <w:t>，</w:t>
            </w:r>
            <w:r>
              <w:rPr>
                <w:rStyle w:val="110"/>
                <w:rFonts w:hint="default"/>
                <w:color w:val="auto"/>
                <w:sz w:val="21"/>
                <w:szCs w:val="21"/>
                <w:highlight w:val="none"/>
                <w:lang w:bidi="ar"/>
              </w:rPr>
              <w:t>垃圾、污物量不得超过桶底2/3</w:t>
            </w:r>
            <w:r>
              <w:rPr>
                <w:rFonts w:hint="eastAsia" w:ascii="宋体" w:hAnsi="宋体" w:cs="宋体"/>
                <w:color w:val="auto"/>
                <w:sz w:val="21"/>
                <w:szCs w:val="21"/>
                <w:highlight w:val="none"/>
              </w:rPr>
              <w:t xml:space="preserve"> </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干净无污迹臭味，</w:t>
            </w:r>
            <w:r>
              <w:rPr>
                <w:rStyle w:val="110"/>
                <w:rFonts w:hint="default"/>
                <w:color w:val="auto"/>
                <w:sz w:val="21"/>
                <w:szCs w:val="21"/>
                <w:highlight w:val="none"/>
                <w:lang w:bidi="ar"/>
              </w:rPr>
              <w:t>垃圾、污物量不得超过桶底2/3</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57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k)地面无污秽物、水迹和脚印，无尘土、碎纸、垃圾、无积水、无尿迹、污迹（凡含酸性的清洁剂不允许洒落在地面上）</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干净无水迹，无杂物</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57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l)壁面、隔板及顶板无尘土、无污渍、无手印</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无尘土、无污渍、无手印</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94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天台和天沟</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a)天台应保持清洁、无垃圾、烟蒂和堆积物</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干净无垃圾无烟头，无堆积物</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66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b)天沟无淤泥、杂物，保持落水畅通</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无淤泥，无杂物</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450" w:hRule="atLeast"/>
        </w:trPr>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外墙立面</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a)外墙立面无乱张粘，二米以下无污垢，外侧面无污水渍</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无乱张粘，二米以下无污迹</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66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工具、设备房</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a)工具、设备分类放置，有使用记录</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分类放置，有使用记录</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66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b工具、设备清洁后应合理收置，摆放整齐</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干净整洁</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660"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垃圾房/中转站</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a)垃圾放置处应定期消毒，保持地面干净、清洁，周边无垃圾、蚊蝇和臭味</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干净无灰尘无垃圾无蚊蝇无异味</w:t>
            </w:r>
          </w:p>
        </w:tc>
        <w:tc>
          <w:tcPr>
            <w:tcW w:w="187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cs="宋体"/>
                <w:color w:val="auto"/>
                <w:sz w:val="21"/>
                <w:szCs w:val="21"/>
                <w:highlight w:val="none"/>
              </w:rPr>
            </w:pPr>
            <w:r>
              <w:rPr>
                <w:rFonts w:hint="eastAsia" w:ascii="宋体" w:hAnsi="宋体" w:cs="宋体"/>
                <w:color w:val="auto"/>
                <w:kern w:val="0"/>
                <w:sz w:val="21"/>
                <w:szCs w:val="21"/>
                <w:highlight w:val="none"/>
                <w:lang w:bidi="ar"/>
              </w:rPr>
              <w:t>每发现一处不符合标准扣0.5分</w:t>
            </w:r>
          </w:p>
        </w:tc>
      </w:tr>
      <w:tr>
        <w:tblPrEx>
          <w:tblCellMar>
            <w:top w:w="15" w:type="dxa"/>
            <w:left w:w="15" w:type="dxa"/>
            <w:bottom w:w="15" w:type="dxa"/>
            <w:right w:w="15" w:type="dxa"/>
          </w:tblCellMar>
        </w:tblPrEx>
        <w:trPr>
          <w:trHeight w:val="1558"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b)不得将收集的垃圾堆放于垃圾房/中转站以外，并严格按照操作标准操作垃圾站设备，发现垃圾满溢需及时通知甲方协调处理</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按要求操作垃圾站设备，垃圾无乱堆乱放</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每发现一处不符合标准扣5分</w:t>
            </w:r>
          </w:p>
        </w:tc>
      </w:tr>
      <w:tr>
        <w:tblPrEx>
          <w:tblCellMar>
            <w:top w:w="15" w:type="dxa"/>
            <w:left w:w="15" w:type="dxa"/>
            <w:bottom w:w="15" w:type="dxa"/>
            <w:right w:w="15" w:type="dxa"/>
          </w:tblCellMar>
        </w:tblPrEx>
        <w:trPr>
          <w:trHeight w:val="981"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1"/>
                <w:szCs w:val="21"/>
                <w:highlight w:val="none"/>
              </w:rPr>
            </w:pPr>
            <w:r>
              <w:rPr>
                <w:rFonts w:hint="eastAsia" w:ascii="宋体" w:hAnsi="宋体" w:cs="宋体"/>
                <w:color w:val="auto"/>
                <w:sz w:val="21"/>
                <w:szCs w:val="21"/>
                <w:highlight w:val="none"/>
              </w:rPr>
              <w:t>应急突发事件反应速度和执行力</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auto"/>
                <w:kern w:val="0"/>
                <w:sz w:val="21"/>
                <w:szCs w:val="21"/>
                <w:highlight w:val="none"/>
              </w:rPr>
            </w:pPr>
            <w:r>
              <w:rPr>
                <w:rFonts w:hint="eastAsia" w:ascii="宋体" w:hAnsi="宋体" w:cs="宋体"/>
                <w:color w:val="auto"/>
                <w:sz w:val="21"/>
                <w:szCs w:val="21"/>
                <w:highlight w:val="none"/>
              </w:rPr>
              <w:t>a)接到任务后迅速安排人力物力财力，将任务完成好</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auto"/>
                <w:kern w:val="0"/>
                <w:sz w:val="21"/>
                <w:szCs w:val="21"/>
                <w:highlight w:val="none"/>
              </w:rPr>
            </w:pPr>
            <w:r>
              <w:rPr>
                <w:rFonts w:hint="eastAsia" w:ascii="宋体" w:hAnsi="宋体" w:cs="宋体"/>
                <w:color w:val="auto"/>
                <w:sz w:val="21"/>
                <w:szCs w:val="21"/>
                <w:highlight w:val="none"/>
              </w:rPr>
              <w:t>接到任务未能迅速做出应急反应，延误任务</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每发现一处不符合</w:t>
            </w:r>
            <w:r>
              <w:rPr>
                <w:rFonts w:hint="eastAsia" w:ascii="宋体" w:hAnsi="宋体" w:cs="宋体"/>
                <w:color w:val="auto"/>
                <w:sz w:val="21"/>
                <w:szCs w:val="21"/>
                <w:highlight w:val="none"/>
              </w:rPr>
              <w:t>扣5分</w:t>
            </w:r>
          </w:p>
        </w:tc>
      </w:tr>
      <w:tr>
        <w:tblPrEx>
          <w:tblCellMar>
            <w:top w:w="15" w:type="dxa"/>
            <w:left w:w="15" w:type="dxa"/>
            <w:bottom w:w="15" w:type="dxa"/>
            <w:right w:w="15" w:type="dxa"/>
          </w:tblCellMar>
        </w:tblPrEx>
        <w:trPr>
          <w:trHeight w:val="1226"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sz w:val="21"/>
                <w:szCs w:val="21"/>
                <w:highlight w:val="none"/>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b)如发生意外伤害事故，需及时上报，并将处理结果报甲方和主管部门备案</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未及时处置、上报</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每发生一起安全事故或未上报扣5分</w:t>
            </w:r>
            <w:r>
              <w:rPr>
                <w:rFonts w:hint="eastAsia" w:ascii="宋体" w:hAnsi="宋体" w:cs="宋体"/>
                <w:color w:val="auto"/>
                <w:sz w:val="21"/>
                <w:szCs w:val="21"/>
                <w:highlight w:val="none"/>
              </w:rPr>
              <w:t>/次，连续三个月发生安全事故，终止合同</w:t>
            </w:r>
          </w:p>
        </w:tc>
      </w:tr>
      <w:tr>
        <w:tblPrEx>
          <w:tblCellMar>
            <w:top w:w="15" w:type="dxa"/>
            <w:left w:w="15" w:type="dxa"/>
            <w:bottom w:w="15" w:type="dxa"/>
            <w:right w:w="15" w:type="dxa"/>
          </w:tblCellMar>
        </w:tblPrEx>
        <w:trPr>
          <w:trHeight w:val="791" w:hRule="atLeast"/>
        </w:trPr>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kern w:val="0"/>
                <w:sz w:val="21"/>
                <w:szCs w:val="21"/>
                <w:highlight w:val="none"/>
              </w:rPr>
            </w:pPr>
            <w:r>
              <w:rPr>
                <w:rFonts w:hint="eastAsia" w:ascii="宋体" w:hAnsi="宋体" w:cs="宋体"/>
                <w:color w:val="auto"/>
                <w:sz w:val="21"/>
                <w:szCs w:val="21"/>
                <w:highlight w:val="none"/>
              </w:rPr>
              <w:t>完成应急突发任务及完成效果</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auto"/>
                <w:kern w:val="0"/>
                <w:sz w:val="21"/>
                <w:szCs w:val="21"/>
                <w:highlight w:val="none"/>
              </w:rPr>
            </w:pPr>
            <w:r>
              <w:rPr>
                <w:rFonts w:hint="eastAsia" w:ascii="宋体" w:hAnsi="宋体" w:cs="宋体"/>
                <w:color w:val="auto"/>
                <w:sz w:val="21"/>
                <w:szCs w:val="21"/>
                <w:highlight w:val="none"/>
              </w:rPr>
              <w:t>a)将应急突发事件尽力完成好</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auto"/>
                <w:kern w:val="0"/>
                <w:sz w:val="21"/>
                <w:szCs w:val="21"/>
                <w:highlight w:val="none"/>
              </w:rPr>
            </w:pPr>
            <w:r>
              <w:rPr>
                <w:rFonts w:hint="eastAsia" w:ascii="宋体" w:hAnsi="宋体" w:cs="宋体"/>
                <w:color w:val="auto"/>
                <w:sz w:val="21"/>
                <w:szCs w:val="21"/>
                <w:highlight w:val="none"/>
              </w:rPr>
              <w:t>处理应急突发事件的效果不理想</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color w:val="auto"/>
                <w:kern w:val="0"/>
                <w:sz w:val="21"/>
                <w:szCs w:val="21"/>
                <w:highlight w:val="none"/>
              </w:rPr>
            </w:pPr>
            <w:r>
              <w:rPr>
                <w:rFonts w:hint="eastAsia" w:ascii="宋体" w:hAnsi="宋体" w:cs="宋体"/>
                <w:color w:val="auto"/>
                <w:sz w:val="21"/>
                <w:szCs w:val="21"/>
                <w:highlight w:val="none"/>
              </w:rPr>
              <w:t>处置工作不到位，工作落实不严谨扣0.5分/次</w:t>
            </w:r>
          </w:p>
        </w:tc>
      </w:tr>
      <w:tr>
        <w:tblPrEx>
          <w:tblCellMar>
            <w:top w:w="15" w:type="dxa"/>
            <w:left w:w="15" w:type="dxa"/>
            <w:bottom w:w="15" w:type="dxa"/>
            <w:right w:w="15" w:type="dxa"/>
          </w:tblCellMar>
        </w:tblPrEx>
        <w:trPr>
          <w:trHeight w:val="1144" w:hRule="atLeast"/>
        </w:trPr>
        <w:tc>
          <w:tcPr>
            <w:tcW w:w="11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其他（附加）</w:t>
            </w: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a)如遇雨天、雪天特殊天气或保洁现场作业影响人员进出时，需在作业现场放置“作业进行中”等温馨提示牌</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未按要求放置温馨提示牌</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每发现一次不符合标准扣5分</w:t>
            </w:r>
          </w:p>
        </w:tc>
      </w:tr>
      <w:tr>
        <w:tblPrEx>
          <w:tblCellMar>
            <w:top w:w="15" w:type="dxa"/>
            <w:left w:w="15" w:type="dxa"/>
            <w:bottom w:w="15" w:type="dxa"/>
            <w:right w:w="15" w:type="dxa"/>
          </w:tblCellMar>
        </w:tblPrEx>
        <w:trPr>
          <w:trHeight w:val="660" w:hRule="atLeast"/>
        </w:trPr>
        <w:tc>
          <w:tcPr>
            <w:tcW w:w="11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p>
        </w:tc>
        <w:tc>
          <w:tcPr>
            <w:tcW w:w="453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b)因保洁工作不到位导致客户/业主单位投诉</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保洁工作不到位</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auto"/>
                <w:kern w:val="0"/>
                <w:sz w:val="21"/>
                <w:szCs w:val="21"/>
                <w:highlight w:val="none"/>
                <w:lang w:bidi="ar"/>
              </w:rPr>
            </w:pPr>
            <w:r>
              <w:rPr>
                <w:rFonts w:hint="eastAsia" w:ascii="宋体" w:hAnsi="宋体" w:cs="宋体"/>
                <w:color w:val="auto"/>
                <w:kern w:val="0"/>
                <w:sz w:val="21"/>
                <w:szCs w:val="21"/>
                <w:highlight w:val="none"/>
                <w:lang w:bidi="ar"/>
              </w:rPr>
              <w:t>每发现一次不符合标准扣5分</w:t>
            </w:r>
          </w:p>
        </w:tc>
      </w:tr>
    </w:tbl>
    <w:p>
      <w:pPr>
        <w:adjustRightInd w:val="0"/>
        <w:snapToGrid w:val="0"/>
        <w:spacing w:line="360" w:lineRule="auto"/>
        <w:rPr>
          <w:rFonts w:hint="eastAsia" w:ascii="宋体" w:hAnsi="宋体"/>
          <w:b/>
          <w:color w:val="auto"/>
          <w:sz w:val="21"/>
          <w:szCs w:val="21"/>
          <w:highlight w:val="none"/>
        </w:rPr>
      </w:pPr>
      <w:r>
        <w:rPr>
          <w:rFonts w:hint="eastAsia" w:ascii="宋体" w:hAnsi="宋体"/>
          <w:b/>
          <w:color w:val="auto"/>
          <w:sz w:val="21"/>
          <w:szCs w:val="21"/>
          <w:highlight w:val="none"/>
        </w:rPr>
        <w:t>五、项目其他内容</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1、项目实施时间：</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ascii="宋体" w:hAnsi="宋体"/>
          <w:color w:val="auto"/>
          <w:sz w:val="21"/>
          <w:szCs w:val="21"/>
          <w:highlight w:val="none"/>
        </w:rPr>
      </w:pPr>
      <w:r>
        <w:rPr>
          <w:rFonts w:hint="eastAsia" w:ascii="宋体" w:hAnsi="宋体"/>
          <w:color w:val="auto"/>
          <w:sz w:val="21"/>
          <w:szCs w:val="21"/>
          <w:highlight w:val="none"/>
        </w:rPr>
        <w:t>实施时间：合同签订之日起一年。</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实施</w:t>
      </w:r>
      <w:r>
        <w:rPr>
          <w:rFonts w:ascii="宋体" w:hAnsi="宋体"/>
          <w:color w:val="auto"/>
          <w:sz w:val="21"/>
          <w:szCs w:val="21"/>
          <w:highlight w:val="none"/>
        </w:rPr>
        <w:t>地点：</w:t>
      </w:r>
      <w:r>
        <w:rPr>
          <w:rFonts w:hint="eastAsia" w:ascii="宋体" w:hAnsi="宋体"/>
          <w:color w:val="auto"/>
          <w:sz w:val="21"/>
          <w:szCs w:val="21"/>
          <w:highlight w:val="none"/>
        </w:rPr>
        <w:t>采购人指定地点。</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ascii="宋体" w:hAnsi="宋体"/>
          <w:b/>
          <w:color w:val="auto"/>
          <w:sz w:val="21"/>
          <w:szCs w:val="21"/>
          <w:highlight w:val="none"/>
        </w:rPr>
      </w:pPr>
      <w:r>
        <w:rPr>
          <w:rFonts w:hint="eastAsia" w:ascii="宋体" w:hAnsi="宋体"/>
          <w:b/>
          <w:color w:val="auto"/>
          <w:sz w:val="21"/>
          <w:szCs w:val="21"/>
          <w:highlight w:val="none"/>
        </w:rPr>
        <w:t>2、</w:t>
      </w:r>
      <w:r>
        <w:rPr>
          <w:rFonts w:hint="eastAsia" w:ascii="宋体" w:hAnsi="宋体"/>
          <w:color w:val="auto"/>
          <w:sz w:val="21"/>
          <w:szCs w:val="21"/>
          <w:highlight w:val="none"/>
        </w:rPr>
        <w:t xml:space="preserve"> </w:t>
      </w:r>
      <w:r>
        <w:rPr>
          <w:rFonts w:hint="eastAsia" w:ascii="宋体" w:hAnsi="宋体"/>
          <w:b/>
          <w:color w:val="auto"/>
          <w:sz w:val="21"/>
          <w:szCs w:val="21"/>
          <w:highlight w:val="none"/>
        </w:rPr>
        <w:t>结算方法</w:t>
      </w:r>
    </w:p>
    <w:p>
      <w:pPr>
        <w:pStyle w:val="43"/>
        <w:spacing w:after="0" w:line="360" w:lineRule="auto"/>
        <w:ind w:left="0" w:leftChars="0"/>
        <w:rPr>
          <w:rFonts w:ascii="宋体" w:hAnsi="宋体" w:cs="宋体"/>
          <w:color w:val="auto"/>
          <w:highlight w:val="none"/>
        </w:rPr>
      </w:pPr>
      <w:r>
        <w:rPr>
          <w:rFonts w:hint="eastAsia" w:ascii="宋体" w:hAnsi="宋体" w:cs="宋体"/>
          <w:color w:val="auto"/>
          <w:highlight w:val="none"/>
        </w:rPr>
        <w:t>2.1结算方式：根据每月保洁人员实际到岗人数和</w:t>
      </w:r>
      <w:r>
        <w:rPr>
          <w:rFonts w:hint="eastAsia" w:ascii="宋体" w:hAnsi="宋体" w:cs="宋体"/>
          <w:bCs/>
          <w:color w:val="auto"/>
          <w:szCs w:val="21"/>
          <w:highlight w:val="none"/>
        </w:rPr>
        <w:t>服务质量考核标准，综合评估后</w:t>
      </w:r>
      <w:r>
        <w:rPr>
          <w:rFonts w:hint="eastAsia" w:ascii="宋体" w:hAnsi="宋体" w:cs="宋体"/>
          <w:color w:val="auto"/>
          <w:highlight w:val="none"/>
        </w:rPr>
        <w:t>按实结算，具体结算金额以投标人的单项投标报价为准。</w:t>
      </w:r>
    </w:p>
    <w:p>
      <w:pPr>
        <w:spacing w:line="360" w:lineRule="auto"/>
        <w:ind w:firstLine="420" w:firstLineChars="200"/>
        <w:rPr>
          <w:rFonts w:hint="eastAsia" w:ascii="宋体" w:hAnsi="宋体" w:cs="宋体"/>
          <w:bCs/>
          <w:color w:val="auto"/>
          <w:sz w:val="21"/>
          <w:szCs w:val="21"/>
          <w:highlight w:val="none"/>
        </w:rPr>
      </w:pPr>
      <w:r>
        <w:rPr>
          <w:rFonts w:hint="eastAsia" w:ascii="宋体" w:hAnsi="宋体" w:cs="宋体"/>
          <w:bCs/>
          <w:color w:val="auto"/>
          <w:sz w:val="21"/>
          <w:szCs w:val="21"/>
          <w:highlight w:val="none"/>
        </w:rPr>
        <w:t>2.2支付人：湖南智谷鑫服物业管理有限公司（自主支付）</w:t>
      </w:r>
    </w:p>
    <w:p>
      <w:pPr>
        <w:pStyle w:val="20"/>
        <w:keepNext w:val="0"/>
        <w:keepLines w:val="0"/>
        <w:pageBreakBefore w:val="0"/>
        <w:widowControl w:val="0"/>
        <w:kinsoku/>
        <w:wordWrap/>
        <w:overflowPunct/>
        <w:topLinePunct w:val="0"/>
        <w:autoSpaceDE/>
        <w:autoSpaceDN/>
        <w:bidi w:val="0"/>
        <w:spacing w:after="0" w:line="360" w:lineRule="auto"/>
        <w:ind w:firstLine="420" w:firstLineChars="200"/>
        <w:textAlignment w:val="auto"/>
        <w:rPr>
          <w:color w:val="auto"/>
          <w:sz w:val="21"/>
          <w:highlight w:val="none"/>
        </w:rPr>
      </w:pPr>
      <w:r>
        <w:rPr>
          <w:rFonts w:hint="eastAsia" w:ascii="宋体" w:hAnsi="宋体" w:eastAsia="宋体" w:cs="宋体"/>
          <w:color w:val="auto"/>
          <w:sz w:val="21"/>
          <w:highlight w:val="none"/>
          <w:lang w:val="en-US" w:eastAsia="zh-CN"/>
        </w:rPr>
        <w:t>2.3</w:t>
      </w:r>
      <w:r>
        <w:rPr>
          <w:rFonts w:hint="eastAsia" w:ascii="宋体" w:hAnsi="宋体" w:eastAsia="宋体" w:cs="宋体"/>
          <w:color w:val="auto"/>
          <w:sz w:val="21"/>
          <w:highlight w:val="none"/>
        </w:rPr>
        <w:t>付款方式：</w:t>
      </w:r>
      <w:r>
        <w:rPr>
          <w:rFonts w:hint="eastAsia" w:asciiTheme="minorEastAsia" w:hAnsiTheme="minorEastAsia" w:eastAsiaTheme="minorEastAsia" w:cstheme="minorEastAsia"/>
          <w:color w:val="auto"/>
          <w:sz w:val="21"/>
          <w:highlight w:val="none"/>
        </w:rPr>
        <w:t>采取按月支付方式，由乙方向甲方报请支付，支付费用根据结算方式经甲方确认后，凭乙方开具的发票，</w:t>
      </w:r>
      <w:r>
        <w:rPr>
          <w:rFonts w:hint="eastAsia" w:ascii="宋体" w:hAnsi="宋体" w:cs="宋体"/>
          <w:bCs/>
          <w:color w:val="auto"/>
          <w:sz w:val="21"/>
          <w:szCs w:val="21"/>
          <w:highlight w:val="none"/>
          <w:lang w:val="en-US" w:eastAsia="zh-CN"/>
        </w:rPr>
        <w:t>每月前15个工作日内支付上个月服务费用</w:t>
      </w:r>
      <w:r>
        <w:rPr>
          <w:rFonts w:hint="eastAsia" w:ascii="宋体" w:hAnsi="宋体" w:cs="宋体"/>
          <w:bCs/>
          <w:color w:val="auto"/>
          <w:sz w:val="21"/>
          <w:szCs w:val="21"/>
          <w:highlight w:val="none"/>
        </w:rPr>
        <w:t>。</w:t>
      </w:r>
      <w:r>
        <w:rPr>
          <w:rFonts w:ascii="宋体" w:hAnsi="宋体" w:cs="宋体"/>
          <w:color w:val="auto"/>
          <w:sz w:val="21"/>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color w:val="auto"/>
          <w:sz w:val="21"/>
          <w:szCs w:val="21"/>
          <w:highlight w:val="none"/>
        </w:rPr>
      </w:pPr>
      <w:r>
        <w:rPr>
          <w:rFonts w:hint="eastAsia" w:ascii="宋体" w:hAnsi="宋体"/>
          <w:color w:val="auto"/>
          <w:sz w:val="21"/>
          <w:szCs w:val="21"/>
          <w:highlight w:val="none"/>
        </w:rPr>
        <w:t>3、项目验收程序：</w:t>
      </w:r>
      <w:bookmarkStart w:id="2" w:name="_Toc225336551"/>
      <w:r>
        <w:rPr>
          <w:rFonts w:hint="eastAsia" w:ascii="宋体" w:hAnsi="宋体"/>
          <w:color w:val="auto"/>
          <w:sz w:val="21"/>
          <w:szCs w:val="21"/>
          <w:highlight w:val="none"/>
        </w:rPr>
        <w:t>本项目采取简易程序验收</w:t>
      </w:r>
      <w:bookmarkEnd w:id="2"/>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rPr>
          <w:rFonts w:hint="eastAsia" w:eastAsia="宋体"/>
          <w:color w:val="auto"/>
          <w:lang w:val="en-US" w:eastAsia="zh-CN"/>
        </w:rPr>
      </w:pPr>
      <w:r>
        <w:rPr>
          <w:rFonts w:hint="eastAsia" w:ascii="宋体" w:hAnsi="宋体"/>
          <w:b/>
          <w:bCs/>
          <w:color w:val="auto"/>
          <w:sz w:val="21"/>
          <w:szCs w:val="21"/>
          <w:highlight w:val="none"/>
        </w:rPr>
        <w:t>4、对于上述项目要求，投标人应在投标文件中进行回应，作出承诺及说</w:t>
      </w:r>
      <w:r>
        <w:rPr>
          <w:rFonts w:hint="eastAsia" w:ascii="宋体" w:hAnsi="宋体"/>
          <w:b/>
          <w:bCs/>
          <w:color w:val="auto"/>
          <w:sz w:val="21"/>
          <w:szCs w:val="21"/>
          <w:highlight w:val="none"/>
          <w:lang w:val="en-US" w:eastAsia="zh-CN"/>
        </w:rPr>
        <w:t>明</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22" w:firstLineChars="200"/>
        <w:textAlignment w:val="auto"/>
        <w:rPr>
          <w:rFonts w:hint="eastAsia" w:ascii="宋体" w:hAnsi="宋体"/>
          <w:b/>
          <w:bCs/>
          <w:color w:val="auto"/>
          <w:sz w:val="21"/>
          <w:szCs w:val="21"/>
          <w:highlight w:val="none"/>
        </w:rPr>
      </w:pPr>
      <w:r>
        <w:rPr>
          <w:rFonts w:hint="eastAsia" w:ascii="宋体" w:hAnsi="宋体"/>
          <w:b/>
          <w:bCs/>
          <w:color w:val="auto"/>
          <w:sz w:val="21"/>
          <w:szCs w:val="21"/>
          <w:highlight w:val="none"/>
          <w:lang w:val="en-US" w:eastAsia="zh-CN"/>
        </w:rPr>
        <w:t>5、</w:t>
      </w:r>
      <w:r>
        <w:rPr>
          <w:rFonts w:hint="eastAsia" w:ascii="宋体" w:hAnsi="宋体"/>
          <w:b/>
          <w:bCs/>
          <w:color w:val="auto"/>
          <w:sz w:val="21"/>
          <w:szCs w:val="21"/>
          <w:highlight w:val="none"/>
        </w:rPr>
        <w:t>因集团扁平化管理，采购人为湖南智谷投资发展集团有限公司，但合同签订、项目验收及项目付款为湖南智谷鑫服物业管理有限公司，该公司系湖南智谷投资发展集团有限公司的</w:t>
      </w:r>
      <w:r>
        <w:rPr>
          <w:rFonts w:hint="eastAsia" w:ascii="宋体" w:hAnsi="宋体"/>
          <w:b/>
          <w:bCs/>
          <w:color w:val="auto"/>
          <w:sz w:val="21"/>
          <w:szCs w:val="21"/>
          <w:highlight w:val="none"/>
          <w:lang w:val="en-US" w:eastAsia="zh-CN"/>
        </w:rPr>
        <w:t>项目</w:t>
      </w:r>
      <w:r>
        <w:rPr>
          <w:rFonts w:hint="eastAsia" w:ascii="宋体" w:hAnsi="宋体"/>
          <w:b/>
          <w:bCs/>
          <w:color w:val="auto"/>
          <w:sz w:val="21"/>
          <w:szCs w:val="21"/>
          <w:highlight w:val="none"/>
        </w:rPr>
        <w:t>公司。</w:t>
      </w:r>
    </w:p>
    <w:p>
      <w:pPr>
        <w:pStyle w:val="20"/>
        <w:keepNext w:val="0"/>
        <w:keepLines w:val="0"/>
        <w:pageBreakBefore w:val="0"/>
        <w:widowControl w:val="0"/>
        <w:kinsoku/>
        <w:wordWrap/>
        <w:overflowPunct/>
        <w:topLinePunct w:val="0"/>
        <w:autoSpaceDE/>
        <w:autoSpaceDN/>
        <w:bidi w:val="0"/>
        <w:spacing w:after="0" w:line="360" w:lineRule="auto"/>
        <w:ind w:left="0" w:firstLine="560" w:firstLineChars="200"/>
        <w:textAlignment w:val="auto"/>
        <w:rPr>
          <w:color w:val="auto"/>
          <w:highlight w:val="none"/>
        </w:rPr>
        <w:sectPr>
          <w:pgSz w:w="11906" w:h="16838"/>
          <w:pgMar w:top="726" w:right="1247" w:bottom="1077" w:left="1247" w:header="851" w:footer="907" w:gutter="0"/>
          <w:pgNumType w:fmt="decimal"/>
          <w:cols w:space="720" w:num="1"/>
          <w:docGrid w:linePitch="312" w:charSpace="0"/>
        </w:sectPr>
      </w:pPr>
    </w:p>
    <w:p>
      <w:pPr>
        <w:pStyle w:val="5"/>
        <w:spacing w:before="240" w:beforeLines="100"/>
        <w:rPr>
          <w:rFonts w:hint="eastAsia" w:ascii="宋体" w:hAnsi="宋体"/>
          <w:bCs w:val="0"/>
          <w:color w:val="auto"/>
          <w:sz w:val="28"/>
          <w:szCs w:val="28"/>
          <w:highlight w:val="none"/>
        </w:rPr>
      </w:pPr>
      <w:r>
        <w:rPr>
          <w:rFonts w:hint="eastAsia" w:ascii="宋体" w:hAnsi="宋体"/>
          <w:bCs w:val="0"/>
          <w:color w:val="auto"/>
          <w:sz w:val="28"/>
          <w:szCs w:val="28"/>
          <w:highlight w:val="none"/>
        </w:rPr>
        <w:t>第五章 响应文件组成</w:t>
      </w:r>
    </w:p>
    <w:p>
      <w:pPr>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供应商的响应文件应包含以下十一个部分：</w:t>
      </w:r>
    </w:p>
    <w:p>
      <w:pPr>
        <w:spacing w:line="360" w:lineRule="exact"/>
        <w:rPr>
          <w:rFonts w:hint="eastAsia" w:ascii="宋体" w:hAnsi="宋体"/>
          <w:color w:val="auto"/>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一、磋商响应声明</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附件1：法定代表人身份证明</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附件2：法定代表人授权书</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二、保证金</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三、供应商的资格证明材料</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附件3：资格证明文件承诺函</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附件4：供应商基本情况表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附件5：磋商文件规定的基本资格条件证明资料</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附件6：磋商文件规定的特定资格条件证明资料</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附件7：其它说明</w:t>
      </w:r>
    </w:p>
    <w:p>
      <w:pPr>
        <w:pStyle w:val="25"/>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四、货物说明、服务方案</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附件8-1：服务方案（服务类适用）</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附件8-2：主要人员简历表（服务类适用）</w:t>
      </w:r>
    </w:p>
    <w:p>
      <w:pPr>
        <w:pStyle w:val="25"/>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五、技术/商务响应与偏离表</w:t>
      </w:r>
    </w:p>
    <w:p>
      <w:pPr>
        <w:pStyle w:val="25"/>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六、提供享受政府采购政策的证明材料和清单表</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附件9-1：中小企业声明函</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附件9-2：残疾人福利性单位声明函</w:t>
      </w:r>
    </w:p>
    <w:p>
      <w:pPr>
        <w:pStyle w:val="25"/>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七、报价一览表及报价文件</w:t>
      </w:r>
    </w:p>
    <w:p>
      <w:pPr>
        <w:keepNext w:val="0"/>
        <w:keepLines w:val="0"/>
        <w:pageBreakBefore w:val="0"/>
        <w:widowControl w:val="0"/>
        <w:kinsoku/>
        <w:wordWrap/>
        <w:overflowPunct/>
        <w:topLinePunct w:val="0"/>
        <w:autoSpaceDE/>
        <w:autoSpaceDN/>
        <w:bidi w:val="0"/>
        <w:spacing w:line="360" w:lineRule="auto"/>
        <w:ind w:firstLine="420" w:firstLineChars="200"/>
        <w:textAlignment w:val="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附件10：报价一览表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1"/>
          <w:szCs w:val="21"/>
          <w:highlight w:val="none"/>
        </w:rPr>
        <w:t xml:space="preserve">附件10-1：分项价格表 </w:t>
      </w:r>
    </w:p>
    <w:p>
      <w:pPr>
        <w:pStyle w:val="25"/>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八、供应商认为需要提供的其它资料</w:t>
      </w:r>
    </w:p>
    <w:p>
      <w:pPr>
        <w:pStyle w:val="25"/>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九、最后报价</w:t>
      </w:r>
    </w:p>
    <w:p>
      <w:pPr>
        <w:spacing w:line="360" w:lineRule="exact"/>
        <w:rPr>
          <w:rFonts w:hint="eastAsia" w:ascii="宋体" w:hAnsi="宋体"/>
          <w:b/>
          <w:color w:val="auto"/>
          <w:sz w:val="21"/>
          <w:szCs w:val="21"/>
          <w:highlight w:val="none"/>
        </w:rPr>
      </w:pPr>
    </w:p>
    <w:p>
      <w:pPr>
        <w:pStyle w:val="25"/>
        <w:adjustRightInd w:val="0"/>
        <w:snapToGrid w:val="0"/>
        <w:spacing w:line="360" w:lineRule="auto"/>
        <w:rPr>
          <w:rFonts w:hint="eastAsia" w:hAnsi="宋体" w:cs="宋体"/>
          <w:b/>
          <w:color w:val="auto"/>
          <w:highlight w:val="none"/>
        </w:rPr>
      </w:pPr>
      <w:r>
        <w:rPr>
          <w:rFonts w:hint="eastAsia" w:hAnsi="宋体" w:cs="宋体"/>
          <w:b/>
          <w:color w:val="auto"/>
          <w:highlight w:val="none"/>
        </w:rPr>
        <w:t>（备注：响应文件中凡涉及法定代表人或其委托代理人签字必须为亲笔签名，否则视为无效投标）</w:t>
      </w:r>
    </w:p>
    <w:p>
      <w:pPr>
        <w:spacing w:line="360" w:lineRule="exact"/>
        <w:rPr>
          <w:rFonts w:ascii="宋体" w:hAnsi="宋体"/>
          <w:b/>
          <w:color w:val="auto"/>
          <w:sz w:val="21"/>
          <w:szCs w:val="21"/>
          <w:highlight w:val="none"/>
        </w:rPr>
        <w:sectPr>
          <w:pgSz w:w="11906" w:h="16838"/>
          <w:pgMar w:top="1191" w:right="1531" w:bottom="1361" w:left="1418" w:header="992" w:footer="992" w:gutter="0"/>
          <w:pgNumType w:fmt="decimal"/>
          <w:cols w:space="720" w:num="1"/>
          <w:docGrid w:linePitch="312" w:charSpace="0"/>
        </w:sectPr>
      </w:pPr>
    </w:p>
    <w:p>
      <w:pPr>
        <w:pStyle w:val="6"/>
        <w:rPr>
          <w:rFonts w:hint="eastAsia"/>
          <w:color w:val="auto"/>
          <w:sz w:val="30"/>
          <w:szCs w:val="30"/>
          <w:highlight w:val="none"/>
        </w:rPr>
      </w:pPr>
      <w:r>
        <w:rPr>
          <w:rFonts w:hint="eastAsia"/>
          <w:color w:val="auto"/>
          <w:sz w:val="30"/>
          <w:szCs w:val="30"/>
          <w:highlight w:val="none"/>
        </w:rPr>
        <w:t>一、磋商响应声明</w:t>
      </w:r>
    </w:p>
    <w:p>
      <w:pPr>
        <w:adjustRightInd w:val="0"/>
        <w:snapToGri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(采购人或采购代理机构)：</w:t>
      </w:r>
    </w:p>
    <w:p>
      <w:pPr>
        <w:adjustRightInd w:val="0"/>
        <w:snapToGrid w:val="0"/>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我方已仔细研究了</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项目名称)的竞争性磋商文件（采购代理编号：</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）的全部内容，知悉参加竞争性磋商的风险，我方承诺接受磋商文件的全部条款且无任何异议。</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一、我方同意在磋商文件中规定的提交首次响应文件截止时间起</w:t>
      </w:r>
      <w:r>
        <w:rPr>
          <w:rFonts w:hint="eastAsia" w:hAnsi="宋体" w:cs="宋体"/>
          <w:color w:val="auto"/>
          <w:highlight w:val="none"/>
          <w:u w:val="single"/>
        </w:rPr>
        <w:t xml:space="preserve">    </w:t>
      </w:r>
      <w:r>
        <w:rPr>
          <w:rFonts w:hint="eastAsia" w:hAnsi="宋体" w:cs="宋体"/>
          <w:color w:val="auto"/>
          <w:highlight w:val="none"/>
        </w:rPr>
        <w:t>日内(响应文件有效期)遵守本响应文件中的承诺且在此期限期满之前均具有法律约束力。</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二、我方提交响应文件正本一份和副本一式</w:t>
      </w:r>
      <w:r>
        <w:rPr>
          <w:rFonts w:hint="eastAsia" w:hAnsi="宋体" w:cs="宋体"/>
          <w:color w:val="auto"/>
          <w:highlight w:val="none"/>
          <w:u w:val="single"/>
        </w:rPr>
        <w:t xml:space="preserve">     </w:t>
      </w:r>
      <w:r>
        <w:rPr>
          <w:rFonts w:hint="eastAsia" w:hAnsi="宋体" w:cs="宋体"/>
          <w:color w:val="auto"/>
          <w:highlight w:val="none"/>
        </w:rPr>
        <w:t>份，并保证响应文件提供的数据和资料全部内容真实、合法、准确和完整，我们对此负责，并愿承担由此引起的法律责任。</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三、我方愿意向贵方提供任何与本项采购有关的数据、情况和技术资料。若贵方需要，我方愿意提供我方作出的一切承诺的证明资料。</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四、我方愿意按磋商文件规定和磋商小组要求重新提交响应文件。</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五、我方承诺遵守《中华人民共和国政府采购法》的有关规定，保证在获得成交资格后，按照磋商文件确定的事项签订政府采购合同，履行双方所签订的合同，并承担合同规定的责任和义务。</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 xml:space="preserve">六、我方在此声明： </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（一）我方与采购人或采购代理机构不存在隶属关系或者其它利害关系。</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（二）我方与参加本项目的其它供应商不存在直接控股、管理关系，或者与其它供应商法定代表人为同一人。</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（三）我方未为本项目前期准备提供设计或咨询服务。</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（四）我方承诺（承诺期：成立三年以上的，为提交首次响应文件截止时间前三年内；成立不足三年的，为实际时间）：</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1、我方依法缴纳了各项税费及各项社会保障资金，没有偷税、漏税及欠缴行为。</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2、我方在经营活动中没有存在下列重大违法记录：</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(1)受到刑事处罚；</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(2)受到三万元以上的罚款、责令停产停业、在一至三年内禁止参加政府采购活动、暂扣或者吊销许可证、暂扣或者吊销执照的行政处罚。</w:t>
      </w:r>
    </w:p>
    <w:p>
      <w:pPr>
        <w:adjustRightInd w:val="0"/>
        <w:snapToGrid w:val="0"/>
        <w:spacing w:line="360" w:lineRule="auto"/>
        <w:ind w:right="24"/>
        <w:rPr>
          <w:rFonts w:hint="eastAsia" w:ascii="宋体" w:hAnsi="宋体" w:cs="宋体"/>
          <w:color w:val="auto"/>
          <w:sz w:val="21"/>
          <w:szCs w:val="21"/>
          <w:highlight w:val="none"/>
        </w:rPr>
      </w:pPr>
      <w:r>
        <w:rPr>
          <w:rFonts w:hint="eastAsia" w:ascii="宋体" w:hAnsi="宋体" w:cs="宋体"/>
          <w:bCs/>
          <w:color w:val="auto"/>
          <w:sz w:val="21"/>
          <w:szCs w:val="21"/>
          <w:highlight w:val="none"/>
        </w:rPr>
        <w:t>附件1：</w:t>
      </w:r>
      <w:r>
        <w:rPr>
          <w:rFonts w:hint="eastAsia" w:ascii="宋体" w:hAnsi="宋体" w:cs="宋体"/>
          <w:color w:val="auto"/>
          <w:sz w:val="21"/>
          <w:szCs w:val="21"/>
          <w:highlight w:val="none"/>
        </w:rPr>
        <w:t>法定代表人身份证明</w:t>
      </w:r>
    </w:p>
    <w:p>
      <w:pPr>
        <w:adjustRightInd w:val="0"/>
        <w:snapToGrid w:val="0"/>
        <w:spacing w:line="360" w:lineRule="auto"/>
        <w:ind w:right="24"/>
        <w:rPr>
          <w:rFonts w:hint="eastAsia" w:ascii="宋体" w:hAnsi="宋体" w:cs="宋体"/>
          <w:color w:val="auto"/>
          <w:sz w:val="21"/>
          <w:szCs w:val="21"/>
          <w:highlight w:val="none"/>
        </w:rPr>
      </w:pPr>
      <w:r>
        <w:rPr>
          <w:rFonts w:hint="eastAsia" w:ascii="宋体" w:hAnsi="宋体" w:cs="宋体"/>
          <w:bCs/>
          <w:color w:val="auto"/>
          <w:sz w:val="21"/>
          <w:szCs w:val="21"/>
          <w:highlight w:val="none"/>
        </w:rPr>
        <w:t>附件2</w:t>
      </w:r>
      <w:r>
        <w:rPr>
          <w:rFonts w:hint="eastAsia" w:ascii="宋体" w:hAnsi="宋体" w:cs="宋体"/>
          <w:color w:val="auto"/>
          <w:sz w:val="21"/>
          <w:szCs w:val="21"/>
          <w:highlight w:val="none"/>
        </w:rPr>
        <w:t>：法定代表人授权书</w:t>
      </w:r>
    </w:p>
    <w:p>
      <w:pPr>
        <w:pStyle w:val="25"/>
        <w:adjustRightInd w:val="0"/>
        <w:snapToGrid w:val="0"/>
        <w:spacing w:line="360" w:lineRule="auto"/>
        <w:rPr>
          <w:rFonts w:hint="eastAsia" w:hAnsi="宋体" w:cs="宋体"/>
          <w:color w:val="auto"/>
          <w:highlight w:val="none"/>
        </w:rPr>
      </w:pPr>
    </w:p>
    <w:p>
      <w:pPr>
        <w:pStyle w:val="25"/>
        <w:adjustRightInd w:val="0"/>
        <w:snapToGrid w:val="0"/>
        <w:spacing w:line="360" w:lineRule="auto"/>
        <w:rPr>
          <w:rFonts w:hint="eastAsia" w:hAnsi="宋体" w:cs="宋体"/>
          <w:color w:val="auto"/>
          <w:highlight w:val="none"/>
        </w:rPr>
      </w:pPr>
      <w:r>
        <w:rPr>
          <w:rFonts w:hint="eastAsia" w:hAnsi="宋体" w:cs="宋体"/>
          <w:color w:val="auto"/>
          <w:highlight w:val="none"/>
        </w:rPr>
        <w:t>供应商名称(盖单位章)：</w:t>
      </w:r>
    </w:p>
    <w:p>
      <w:pPr>
        <w:adjustRightInd w:val="0"/>
        <w:snapToGri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法定代表人或其委托代理人 (签字)：</w:t>
      </w:r>
      <w:r>
        <w:rPr>
          <w:rFonts w:hint="eastAsia" w:ascii="宋体" w:hAnsi="宋体" w:cs="宋体"/>
          <w:color w:val="auto"/>
          <w:sz w:val="21"/>
          <w:szCs w:val="21"/>
          <w:highlight w:val="none"/>
          <w:u w:val="single"/>
        </w:rPr>
        <w:t xml:space="preserve">            </w:t>
      </w:r>
    </w:p>
    <w:p>
      <w:pPr>
        <w:adjustRightInd w:val="0"/>
        <w:snapToGri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日     期：</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w:t>
      </w:r>
    </w:p>
    <w:p>
      <w:pPr>
        <w:adjustRightInd w:val="0"/>
        <w:snapToGrid w:val="0"/>
        <w:spacing w:before="156" w:beforeLines="50" w:line="360" w:lineRule="auto"/>
        <w:rPr>
          <w:rFonts w:hint="eastAsia" w:ascii="宋体" w:hAnsi="宋体" w:cs="宋体"/>
          <w:color w:val="auto"/>
          <w:sz w:val="21"/>
          <w:szCs w:val="21"/>
          <w:highlight w:val="none"/>
        </w:rPr>
      </w:pPr>
      <w:r>
        <w:rPr>
          <w:rFonts w:hint="eastAsia" w:ascii="宋体" w:hAnsi="宋体" w:cs="宋体"/>
          <w:bCs/>
          <w:color w:val="auto"/>
          <w:sz w:val="21"/>
          <w:szCs w:val="21"/>
          <w:highlight w:val="none"/>
        </w:rPr>
        <w:t>附件1</w:t>
      </w:r>
    </w:p>
    <w:p>
      <w:pPr>
        <w:pStyle w:val="7"/>
        <w:jc w:val="center"/>
        <w:rPr>
          <w:rFonts w:hint="eastAsia"/>
          <w:color w:val="auto"/>
          <w:sz w:val="30"/>
          <w:szCs w:val="30"/>
          <w:highlight w:val="none"/>
        </w:rPr>
      </w:pPr>
      <w:r>
        <w:rPr>
          <w:rFonts w:hint="eastAsia"/>
          <w:color w:val="auto"/>
          <w:sz w:val="30"/>
          <w:szCs w:val="30"/>
          <w:highlight w:val="none"/>
        </w:rPr>
        <w:t>法定代表人身份证明</w:t>
      </w:r>
    </w:p>
    <w:p>
      <w:pPr>
        <w:snapToGrid w:val="0"/>
        <w:spacing w:line="480" w:lineRule="auto"/>
        <w:rPr>
          <w:rFonts w:hint="eastAsia" w:ascii="宋体" w:hAnsi="宋体" w:cs="宋体"/>
          <w:color w:val="auto"/>
          <w:sz w:val="21"/>
          <w:szCs w:val="21"/>
          <w:highlight w:val="none"/>
        </w:rPr>
      </w:pPr>
    </w:p>
    <w:p>
      <w:pPr>
        <w:autoSpaceDE w:val="0"/>
        <w:autoSpaceDN w:val="0"/>
        <w:adjustRightInd w:val="0"/>
        <w:snapToGrid w:val="0"/>
        <w:spacing w:line="360" w:lineRule="auto"/>
        <w:jc w:val="left"/>
        <w:rPr>
          <w:rFonts w:hint="eastAsia" w:ascii="宋体" w:hAnsi="宋体" w:cs="宋体"/>
          <w:color w:val="auto"/>
          <w:kern w:val="0"/>
          <w:sz w:val="21"/>
          <w:szCs w:val="21"/>
          <w:highlight w:val="none"/>
        </w:rPr>
      </w:pPr>
      <w:r>
        <w:rPr>
          <w:rFonts w:hint="eastAsia" w:ascii="宋体" w:hAnsi="宋体" w:cs="宋体"/>
          <w:color w:val="auto"/>
          <w:sz w:val="21"/>
          <w:szCs w:val="21"/>
          <w:highlight w:val="none"/>
        </w:rPr>
        <w:t>供应商</w:t>
      </w:r>
      <w:r>
        <w:rPr>
          <w:rFonts w:hint="eastAsia" w:ascii="宋体" w:hAnsi="宋体" w:cs="宋体"/>
          <w:color w:val="auto"/>
          <w:kern w:val="0"/>
          <w:sz w:val="21"/>
          <w:szCs w:val="21"/>
          <w:highlight w:val="none"/>
        </w:rPr>
        <w:t>名称：</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 </w:t>
      </w:r>
    </w:p>
    <w:p>
      <w:pPr>
        <w:autoSpaceDE w:val="0"/>
        <w:autoSpaceDN w:val="0"/>
        <w:adjustRightInd w:val="0"/>
        <w:snapToGrid w:val="0"/>
        <w:spacing w:line="360" w:lineRule="auto"/>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注册号：</w:t>
      </w:r>
      <w:r>
        <w:rPr>
          <w:rFonts w:hint="eastAsia" w:ascii="宋体" w:hAnsi="宋体" w:cs="宋体"/>
          <w:color w:val="auto"/>
          <w:kern w:val="0"/>
          <w:sz w:val="21"/>
          <w:szCs w:val="21"/>
          <w:highlight w:val="none"/>
          <w:u w:val="single"/>
        </w:rPr>
        <w:t xml:space="preserve">                  </w:t>
      </w:r>
    </w:p>
    <w:p>
      <w:pPr>
        <w:autoSpaceDE w:val="0"/>
        <w:autoSpaceDN w:val="0"/>
        <w:adjustRightInd w:val="0"/>
        <w:snapToGrid w:val="0"/>
        <w:spacing w:line="360" w:lineRule="auto"/>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注册地址：</w:t>
      </w:r>
      <w:r>
        <w:rPr>
          <w:rFonts w:hint="eastAsia" w:ascii="宋体" w:hAnsi="宋体" w:cs="宋体"/>
          <w:color w:val="auto"/>
          <w:kern w:val="0"/>
          <w:sz w:val="21"/>
          <w:szCs w:val="21"/>
          <w:highlight w:val="none"/>
          <w:u w:val="single"/>
        </w:rPr>
        <w:t xml:space="preserve">                                    </w:t>
      </w:r>
    </w:p>
    <w:p>
      <w:pPr>
        <w:autoSpaceDE w:val="0"/>
        <w:autoSpaceDN w:val="0"/>
        <w:adjustRightInd w:val="0"/>
        <w:snapToGrid w:val="0"/>
        <w:spacing w:line="360" w:lineRule="auto"/>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成立时间： </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年 </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月</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 日</w:t>
      </w:r>
    </w:p>
    <w:p>
      <w:pPr>
        <w:autoSpaceDE w:val="0"/>
        <w:autoSpaceDN w:val="0"/>
        <w:adjustRightInd w:val="0"/>
        <w:snapToGrid w:val="0"/>
        <w:spacing w:line="360" w:lineRule="auto"/>
        <w:jc w:val="left"/>
        <w:rPr>
          <w:rFonts w:hint="eastAsia" w:ascii="宋体" w:hAnsi="宋体" w:cs="宋体"/>
          <w:color w:val="auto"/>
          <w:kern w:val="0"/>
          <w:sz w:val="21"/>
          <w:szCs w:val="21"/>
          <w:highlight w:val="none"/>
          <w:u w:val="single"/>
        </w:rPr>
      </w:pPr>
      <w:r>
        <w:rPr>
          <w:rFonts w:hint="eastAsia" w:ascii="宋体" w:hAnsi="宋体" w:cs="宋体"/>
          <w:color w:val="auto"/>
          <w:kern w:val="0"/>
          <w:sz w:val="21"/>
          <w:szCs w:val="21"/>
          <w:highlight w:val="none"/>
        </w:rPr>
        <w:t>经营期限：</w:t>
      </w:r>
      <w:r>
        <w:rPr>
          <w:rFonts w:hint="eastAsia" w:ascii="宋体" w:hAnsi="宋体" w:cs="宋体"/>
          <w:color w:val="auto"/>
          <w:kern w:val="0"/>
          <w:sz w:val="21"/>
          <w:szCs w:val="21"/>
          <w:highlight w:val="none"/>
          <w:u w:val="single"/>
        </w:rPr>
        <w:t xml:space="preserve">                  </w:t>
      </w:r>
    </w:p>
    <w:p>
      <w:pPr>
        <w:autoSpaceDE w:val="0"/>
        <w:autoSpaceDN w:val="0"/>
        <w:adjustRightInd w:val="0"/>
        <w:snapToGrid w:val="0"/>
        <w:spacing w:line="360" w:lineRule="auto"/>
        <w:jc w:val="left"/>
        <w:rPr>
          <w:rFonts w:hint="eastAsia" w:ascii="宋体" w:hAnsi="宋体" w:cs="宋体"/>
          <w:color w:val="auto"/>
          <w:kern w:val="0"/>
          <w:sz w:val="21"/>
          <w:szCs w:val="21"/>
          <w:highlight w:val="none"/>
          <w:u w:val="single"/>
        </w:rPr>
      </w:pPr>
      <w:r>
        <w:rPr>
          <w:rFonts w:hint="eastAsia" w:ascii="宋体" w:hAnsi="宋体" w:cs="宋体"/>
          <w:color w:val="auto"/>
          <w:kern w:val="0"/>
          <w:sz w:val="21"/>
          <w:szCs w:val="21"/>
          <w:highlight w:val="none"/>
        </w:rPr>
        <w:t>经营范围：主营：</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 ；兼营：</w:t>
      </w:r>
      <w:r>
        <w:rPr>
          <w:rFonts w:hint="eastAsia" w:ascii="宋体" w:hAnsi="宋体" w:cs="宋体"/>
          <w:color w:val="auto"/>
          <w:kern w:val="0"/>
          <w:sz w:val="21"/>
          <w:szCs w:val="21"/>
          <w:highlight w:val="none"/>
          <w:u w:val="single"/>
        </w:rPr>
        <w:t xml:space="preserve">              </w:t>
      </w:r>
    </w:p>
    <w:p>
      <w:pPr>
        <w:autoSpaceDE w:val="0"/>
        <w:autoSpaceDN w:val="0"/>
        <w:adjustRightInd w:val="0"/>
        <w:snapToGrid w:val="0"/>
        <w:spacing w:line="360" w:lineRule="auto"/>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姓名：</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 性别：</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 年龄：</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 系</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w:t>
      </w:r>
      <w:r>
        <w:rPr>
          <w:rFonts w:hint="eastAsia" w:ascii="宋体" w:hAnsi="宋体" w:cs="宋体"/>
          <w:color w:val="auto"/>
          <w:sz w:val="21"/>
          <w:szCs w:val="21"/>
          <w:highlight w:val="none"/>
        </w:rPr>
        <w:t>供应商</w:t>
      </w:r>
      <w:r>
        <w:rPr>
          <w:rFonts w:hint="eastAsia" w:ascii="宋体" w:hAnsi="宋体" w:cs="宋体"/>
          <w:color w:val="auto"/>
          <w:kern w:val="0"/>
          <w:sz w:val="21"/>
          <w:szCs w:val="21"/>
          <w:highlight w:val="none"/>
        </w:rPr>
        <w:t>名称）的法定代表人。</w:t>
      </w:r>
    </w:p>
    <w:p>
      <w:pPr>
        <w:autoSpaceDE w:val="0"/>
        <w:autoSpaceDN w:val="0"/>
        <w:adjustRightInd w:val="0"/>
        <w:snapToGrid w:val="0"/>
        <w:spacing w:line="360" w:lineRule="auto"/>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特此证明。</w:t>
      </w:r>
    </w:p>
    <w:p>
      <w:pPr>
        <w:autoSpaceDE w:val="0"/>
        <w:autoSpaceDN w:val="0"/>
        <w:adjustRightInd w:val="0"/>
        <w:snapToGrid w:val="0"/>
        <w:spacing w:line="360" w:lineRule="auto"/>
        <w:jc w:val="left"/>
        <w:rPr>
          <w:rFonts w:hint="eastAsia" w:ascii="宋体" w:hAnsi="宋体" w:cs="宋体"/>
          <w:color w:val="auto"/>
          <w:kern w:val="0"/>
          <w:sz w:val="21"/>
          <w:szCs w:val="21"/>
          <w:highlight w:val="none"/>
        </w:rPr>
      </w:pPr>
      <w:r>
        <w:rPr>
          <w:rFonts w:hint="eastAsia" w:ascii="宋体" w:hAnsi="宋体" w:cs="宋体"/>
          <w:color w:val="auto"/>
          <w:sz w:val="21"/>
          <w:szCs w:val="21"/>
          <w:highlight w:val="none"/>
        </w:rPr>
        <w:t>附：法定代表人身份证复印件</w:t>
      </w:r>
    </w:p>
    <w:p>
      <w:pPr>
        <w:snapToGrid w:val="0"/>
        <w:spacing w:line="480" w:lineRule="auto"/>
        <w:rPr>
          <w:rFonts w:hint="eastAsia" w:ascii="宋体" w:hAnsi="宋体" w:cs="宋体"/>
          <w:color w:val="auto"/>
          <w:sz w:val="21"/>
          <w:szCs w:val="21"/>
          <w:highlight w:val="none"/>
        </w:rPr>
      </w:pPr>
    </w:p>
    <w:p>
      <w:pPr>
        <w:snapToGrid w:val="0"/>
        <w:rPr>
          <w:rFonts w:hint="eastAsia" w:ascii="宋体" w:hAnsi="宋体" w:cs="宋体"/>
          <w:color w:val="auto"/>
          <w:sz w:val="21"/>
          <w:szCs w:val="21"/>
          <w:highlight w:val="none"/>
        </w:rPr>
      </w:pPr>
    </w:p>
    <w:p>
      <w:pPr>
        <w:snapToGrid w:val="0"/>
        <w:rPr>
          <w:rFonts w:hint="eastAsia" w:ascii="宋体" w:hAnsi="宋体" w:cs="宋体"/>
          <w:color w:val="auto"/>
          <w:sz w:val="21"/>
          <w:szCs w:val="21"/>
          <w:highlight w:val="none"/>
        </w:rPr>
      </w:pPr>
    </w:p>
    <w:p>
      <w:pPr>
        <w:snapToGrid w:val="0"/>
        <w:rPr>
          <w:rFonts w:hint="eastAsia" w:ascii="宋体" w:hAnsi="宋体" w:cs="宋体"/>
          <w:color w:val="auto"/>
          <w:sz w:val="21"/>
          <w:szCs w:val="21"/>
          <w:highlight w:val="none"/>
        </w:rPr>
      </w:pPr>
    </w:p>
    <w:p>
      <w:pPr>
        <w:snapToGrid w:val="0"/>
        <w:rPr>
          <w:rFonts w:hint="eastAsia" w:ascii="宋体" w:hAnsi="宋体" w:cs="宋体"/>
          <w:color w:val="auto"/>
          <w:sz w:val="21"/>
          <w:szCs w:val="21"/>
          <w:highlight w:val="none"/>
        </w:rPr>
      </w:pPr>
    </w:p>
    <w:p>
      <w:pPr>
        <w:adjustRightInd w:val="0"/>
        <w:snapToGrid w:val="0"/>
        <w:spacing w:line="360" w:lineRule="auto"/>
        <w:rPr>
          <w:rFonts w:hint="eastAsia" w:ascii="宋体" w:hAnsi="宋体" w:cs="宋体"/>
          <w:color w:val="auto"/>
          <w:sz w:val="21"/>
          <w:szCs w:val="21"/>
          <w:highlight w:val="none"/>
        </w:rPr>
      </w:pPr>
    </w:p>
    <w:p>
      <w:pPr>
        <w:adjustRightInd w:val="0"/>
        <w:snapToGrid w:val="0"/>
        <w:spacing w:line="360" w:lineRule="auto"/>
        <w:ind w:right="420"/>
        <w:rPr>
          <w:rFonts w:hint="eastAsia" w:ascii="宋体" w:hAnsi="宋体" w:cs="宋体"/>
          <w:color w:val="auto"/>
          <w:sz w:val="21"/>
          <w:szCs w:val="21"/>
          <w:highlight w:val="none"/>
        </w:rPr>
      </w:pPr>
      <w:r>
        <w:rPr>
          <w:rFonts w:hint="eastAsia" w:ascii="宋体" w:hAnsi="宋体" w:cs="宋体"/>
          <w:color w:val="auto"/>
          <w:sz w:val="21"/>
          <w:szCs w:val="21"/>
          <w:highlight w:val="none"/>
        </w:rPr>
        <w:t>供应商名称（盖单位章）：</w:t>
      </w:r>
    </w:p>
    <w:p>
      <w:pPr>
        <w:adjustRightInd w:val="0"/>
        <w:snapToGrid w:val="0"/>
        <w:spacing w:line="360" w:lineRule="auto"/>
        <w:ind w:right="420"/>
        <w:rPr>
          <w:rFonts w:hint="eastAsia" w:ascii="宋体" w:hAnsi="宋体" w:cs="宋体"/>
          <w:color w:val="auto"/>
          <w:sz w:val="21"/>
          <w:szCs w:val="21"/>
          <w:highlight w:val="none"/>
        </w:rPr>
      </w:pPr>
      <w:r>
        <w:rPr>
          <w:rFonts w:hint="eastAsia" w:ascii="宋体" w:hAnsi="宋体" w:cs="宋体"/>
          <w:color w:val="auto"/>
          <w:sz w:val="21"/>
          <w:szCs w:val="21"/>
          <w:highlight w:val="none"/>
        </w:rPr>
        <w:t>日期：</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日      </w:t>
      </w:r>
    </w:p>
    <w:p>
      <w:pPr>
        <w:adjustRightInd w:val="0"/>
        <w:snapToGrid w:val="0"/>
        <w:spacing w:before="156" w:beforeLines="50" w:line="360" w:lineRule="auto"/>
        <w:rPr>
          <w:rFonts w:hint="eastAsia" w:ascii="宋体" w:hAnsi="宋体" w:cs="宋体"/>
          <w:color w:val="auto"/>
          <w:sz w:val="21"/>
          <w:szCs w:val="21"/>
          <w:highlight w:val="none"/>
        </w:rPr>
      </w:pPr>
    </w:p>
    <w:p>
      <w:pPr>
        <w:adjustRightInd w:val="0"/>
        <w:snapToGrid w:val="0"/>
        <w:spacing w:before="156" w:beforeLines="50" w:line="360" w:lineRule="auto"/>
        <w:rPr>
          <w:rFonts w:hint="eastAsia" w:ascii="宋体" w:hAnsi="宋体" w:cs="宋体"/>
          <w:color w:val="auto"/>
          <w:sz w:val="21"/>
          <w:szCs w:val="21"/>
          <w:highlight w:val="none"/>
        </w:rPr>
      </w:pPr>
    </w:p>
    <w:p>
      <w:pPr>
        <w:adjustRightInd w:val="0"/>
        <w:snapToGrid w:val="0"/>
        <w:spacing w:before="156" w:beforeLines="50" w:line="360" w:lineRule="auto"/>
        <w:rPr>
          <w:rFonts w:hint="eastAsia" w:ascii="宋体" w:hAnsi="宋体" w:cs="宋体"/>
          <w:bCs/>
          <w:color w:val="auto"/>
          <w:sz w:val="21"/>
          <w:szCs w:val="21"/>
          <w:highlight w:val="none"/>
        </w:rPr>
      </w:pPr>
    </w:p>
    <w:p>
      <w:pPr>
        <w:adjustRightInd w:val="0"/>
        <w:snapToGrid w:val="0"/>
        <w:spacing w:before="156" w:beforeLines="50" w:line="360" w:lineRule="auto"/>
        <w:rPr>
          <w:rFonts w:hint="eastAsia" w:ascii="宋体" w:hAnsi="宋体" w:cs="宋体"/>
          <w:bCs/>
          <w:color w:val="auto"/>
          <w:sz w:val="21"/>
          <w:szCs w:val="21"/>
          <w:highlight w:val="none"/>
        </w:rPr>
      </w:pPr>
    </w:p>
    <w:p>
      <w:pPr>
        <w:adjustRightInd w:val="0"/>
        <w:snapToGrid w:val="0"/>
        <w:spacing w:before="156" w:beforeLines="50" w:line="360" w:lineRule="auto"/>
        <w:rPr>
          <w:rFonts w:hint="eastAsia" w:ascii="宋体" w:hAnsi="宋体" w:cs="宋体"/>
          <w:bCs/>
          <w:color w:val="auto"/>
          <w:sz w:val="21"/>
          <w:szCs w:val="21"/>
          <w:highlight w:val="none"/>
        </w:rPr>
      </w:pPr>
    </w:p>
    <w:p>
      <w:pPr>
        <w:adjustRightInd w:val="0"/>
        <w:snapToGrid w:val="0"/>
        <w:spacing w:before="156" w:beforeLines="50" w:line="360" w:lineRule="auto"/>
        <w:rPr>
          <w:rFonts w:hint="eastAsia" w:ascii="宋体" w:hAnsi="宋体" w:cs="宋体"/>
          <w:bCs/>
          <w:color w:val="auto"/>
          <w:sz w:val="21"/>
          <w:szCs w:val="21"/>
          <w:highlight w:val="none"/>
        </w:rPr>
      </w:pPr>
    </w:p>
    <w:p>
      <w:pPr>
        <w:adjustRightInd w:val="0"/>
        <w:snapToGrid w:val="0"/>
        <w:spacing w:before="156" w:beforeLines="50" w:line="360" w:lineRule="auto"/>
        <w:rPr>
          <w:rFonts w:hint="eastAsia" w:ascii="宋体" w:hAnsi="宋体" w:cs="宋体"/>
          <w:bCs/>
          <w:color w:val="auto"/>
          <w:sz w:val="21"/>
          <w:szCs w:val="21"/>
          <w:highlight w:val="none"/>
        </w:rPr>
      </w:pPr>
    </w:p>
    <w:p>
      <w:pPr>
        <w:adjustRightInd w:val="0"/>
        <w:snapToGrid w:val="0"/>
        <w:spacing w:before="156" w:beforeLines="50" w:line="360" w:lineRule="auto"/>
        <w:rPr>
          <w:rFonts w:hint="eastAsia" w:ascii="宋体" w:hAnsi="宋体" w:cs="宋体"/>
          <w:bCs/>
          <w:color w:val="auto"/>
          <w:sz w:val="21"/>
          <w:szCs w:val="21"/>
          <w:highlight w:val="none"/>
        </w:rPr>
      </w:pPr>
    </w:p>
    <w:p>
      <w:pPr>
        <w:adjustRightInd w:val="0"/>
        <w:snapToGrid w:val="0"/>
        <w:spacing w:before="156" w:beforeLines="50" w:line="360" w:lineRule="auto"/>
        <w:rPr>
          <w:rFonts w:hint="eastAsia" w:ascii="宋体" w:hAnsi="宋体" w:cs="宋体"/>
          <w:bCs/>
          <w:color w:val="auto"/>
          <w:sz w:val="21"/>
          <w:szCs w:val="21"/>
          <w:highlight w:val="none"/>
        </w:rPr>
      </w:pPr>
    </w:p>
    <w:p>
      <w:pPr>
        <w:adjustRightInd w:val="0"/>
        <w:snapToGrid w:val="0"/>
        <w:spacing w:before="156" w:beforeLines="50" w:line="360" w:lineRule="auto"/>
        <w:rPr>
          <w:rFonts w:hint="eastAsia" w:ascii="宋体" w:hAnsi="宋体" w:cs="宋体"/>
          <w:color w:val="auto"/>
          <w:sz w:val="21"/>
          <w:szCs w:val="21"/>
          <w:highlight w:val="none"/>
        </w:rPr>
      </w:pPr>
      <w:r>
        <w:rPr>
          <w:rFonts w:hint="eastAsia" w:ascii="宋体" w:hAnsi="宋体" w:cs="宋体"/>
          <w:bCs/>
          <w:color w:val="auto"/>
          <w:sz w:val="21"/>
          <w:szCs w:val="21"/>
          <w:highlight w:val="none"/>
        </w:rPr>
        <w:t>附件2</w:t>
      </w:r>
    </w:p>
    <w:p>
      <w:pPr>
        <w:pStyle w:val="7"/>
        <w:jc w:val="center"/>
        <w:rPr>
          <w:rFonts w:hint="eastAsia"/>
          <w:color w:val="auto"/>
          <w:sz w:val="30"/>
          <w:szCs w:val="30"/>
          <w:highlight w:val="none"/>
        </w:rPr>
      </w:pPr>
      <w:r>
        <w:rPr>
          <w:rFonts w:hint="eastAsia"/>
          <w:color w:val="auto"/>
          <w:sz w:val="30"/>
          <w:szCs w:val="30"/>
          <w:highlight w:val="none"/>
        </w:rPr>
        <w:t>法定代表人授权委托书</w:t>
      </w:r>
    </w:p>
    <w:p>
      <w:pPr>
        <w:adjustRightInd w:val="0"/>
        <w:snapToGrid w:val="0"/>
        <w:spacing w:line="360" w:lineRule="auto"/>
        <w:jc w:val="center"/>
        <w:rPr>
          <w:rFonts w:hint="eastAsia" w:ascii="宋体" w:hAnsi="宋体" w:cs="宋体"/>
          <w:b/>
          <w:color w:val="auto"/>
          <w:sz w:val="21"/>
          <w:szCs w:val="21"/>
          <w:highlight w:val="none"/>
        </w:rPr>
      </w:pPr>
    </w:p>
    <w:p>
      <w:pPr>
        <w:autoSpaceDE w:val="0"/>
        <w:autoSpaceDN w:val="0"/>
        <w:adjustRightInd w:val="0"/>
        <w:snapToGrid w:val="0"/>
        <w:spacing w:before="156" w:beforeLines="50" w:line="360" w:lineRule="auto"/>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本人</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（姓名、职务）系</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 （</w:t>
      </w:r>
      <w:r>
        <w:rPr>
          <w:rFonts w:hint="eastAsia" w:ascii="宋体" w:hAnsi="宋体"/>
          <w:color w:val="auto"/>
          <w:sz w:val="21"/>
          <w:szCs w:val="21"/>
          <w:highlight w:val="none"/>
        </w:rPr>
        <w:t>供应商</w:t>
      </w:r>
      <w:r>
        <w:rPr>
          <w:rFonts w:hint="eastAsia" w:ascii="宋体" w:hAnsi="宋体" w:cs="宋体"/>
          <w:color w:val="auto"/>
          <w:kern w:val="0"/>
          <w:sz w:val="21"/>
          <w:szCs w:val="21"/>
          <w:highlight w:val="none"/>
        </w:rPr>
        <w:t>名称）的法定代表人，现授权</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（姓名、职务）为我方代理人。代理人根据授权，以我方名义：(1)签署、澄清、补正、修改、撤回、提交</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项目名称、采购代理机构编号）响应文件；(2)签署并重新提交响应文件及最后报价；(3)退出磋商；(4)签订合同和处理有关事宜，其法律后果由我方承担；（5）询问、质疑、投诉等相关事项，其法律后果由我方承担。 </w:t>
      </w:r>
    </w:p>
    <w:p>
      <w:pPr>
        <w:autoSpaceDE w:val="0"/>
        <w:autoSpaceDN w:val="0"/>
        <w:adjustRightInd w:val="0"/>
        <w:snapToGrid w:val="0"/>
        <w:spacing w:before="156" w:beforeLines="50" w:line="360" w:lineRule="auto"/>
        <w:ind w:firstLine="420" w:firstLineChars="20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委托期限：</w:t>
      </w:r>
      <w:r>
        <w:rPr>
          <w:rFonts w:hint="eastAsia" w:ascii="宋体" w:hAnsi="宋体" w:cs="宋体"/>
          <w:color w:val="auto"/>
          <w:kern w:val="0"/>
          <w:sz w:val="21"/>
          <w:szCs w:val="21"/>
          <w:highlight w:val="none"/>
          <w:u w:val="single"/>
        </w:rPr>
        <w:t xml:space="preserve">                                     </w:t>
      </w:r>
      <w:r>
        <w:rPr>
          <w:rFonts w:hint="eastAsia" w:ascii="宋体" w:hAnsi="宋体" w:cs="宋体"/>
          <w:color w:val="auto"/>
          <w:kern w:val="0"/>
          <w:sz w:val="21"/>
          <w:szCs w:val="21"/>
          <w:highlight w:val="none"/>
        </w:rPr>
        <w:t xml:space="preserve"> 。</w:t>
      </w:r>
    </w:p>
    <w:p>
      <w:pPr>
        <w:spacing w:line="360" w:lineRule="auto"/>
        <w:ind w:firstLine="435"/>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代理人无转委托权。</w:t>
      </w:r>
    </w:p>
    <w:p>
      <w:pPr>
        <w:spacing w:line="360" w:lineRule="auto"/>
        <w:ind w:firstLine="435"/>
        <w:rPr>
          <w:rFonts w:hint="eastAsia" w:ascii="宋体" w:hAnsi="宋体"/>
          <w:color w:val="auto"/>
          <w:sz w:val="21"/>
          <w:szCs w:val="21"/>
          <w:highlight w:val="none"/>
        </w:rPr>
      </w:pPr>
      <w:r>
        <w:rPr>
          <w:rFonts w:hint="eastAsia" w:ascii="宋体" w:hAnsi="宋体"/>
          <w:color w:val="auto"/>
          <w:sz w:val="21"/>
          <w:szCs w:val="21"/>
          <w:highlight w:val="none"/>
        </w:rPr>
        <w:t>本授权书于</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年</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月</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日签字生效，特此声明。</w:t>
      </w:r>
    </w:p>
    <w:p>
      <w:pPr>
        <w:adjustRightInd w:val="0"/>
        <w:snapToGrid w:val="0"/>
        <w:spacing w:before="156" w:beforeLines="50"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附：委托代理人身份证复印件及法定代表人身份证明(附件1，原件)</w:t>
      </w:r>
    </w:p>
    <w:p>
      <w:pPr>
        <w:adjustRightInd w:val="0"/>
        <w:snapToGrid w:val="0"/>
        <w:spacing w:line="360" w:lineRule="auto"/>
        <w:ind w:right="420"/>
        <w:rPr>
          <w:rFonts w:hint="eastAsia" w:ascii="宋体" w:hAnsi="宋体" w:cs="宋体"/>
          <w:color w:val="auto"/>
          <w:sz w:val="21"/>
          <w:szCs w:val="21"/>
          <w:highlight w:val="none"/>
        </w:rPr>
      </w:pPr>
    </w:p>
    <w:p>
      <w:pPr>
        <w:adjustRightInd w:val="0"/>
        <w:snapToGrid w:val="0"/>
        <w:spacing w:line="360" w:lineRule="auto"/>
        <w:ind w:right="420"/>
        <w:rPr>
          <w:rFonts w:hint="eastAsia" w:ascii="宋体" w:hAnsi="宋体" w:cs="宋体"/>
          <w:color w:val="auto"/>
          <w:sz w:val="21"/>
          <w:szCs w:val="21"/>
          <w:highlight w:val="none"/>
        </w:rPr>
      </w:pPr>
    </w:p>
    <w:p>
      <w:pPr>
        <w:adjustRightInd w:val="0"/>
        <w:snapToGrid w:val="0"/>
        <w:spacing w:line="360" w:lineRule="auto"/>
        <w:ind w:right="420"/>
        <w:rPr>
          <w:rFonts w:hint="eastAsia" w:ascii="宋体" w:hAnsi="宋体" w:cs="宋体"/>
          <w:color w:val="auto"/>
          <w:sz w:val="21"/>
          <w:szCs w:val="21"/>
          <w:highlight w:val="none"/>
        </w:rPr>
      </w:pPr>
      <w:r>
        <w:rPr>
          <w:rFonts w:hint="eastAsia" w:ascii="宋体" w:hAnsi="宋体" w:cs="宋体"/>
          <w:color w:val="auto"/>
          <w:sz w:val="21"/>
          <w:szCs w:val="21"/>
          <w:highlight w:val="none"/>
        </w:rPr>
        <w:t>法定代表人（签字）：</w:t>
      </w:r>
      <w:r>
        <w:rPr>
          <w:rFonts w:hint="eastAsia" w:ascii="宋体" w:hAnsi="宋体" w:cs="宋体"/>
          <w:color w:val="auto"/>
          <w:sz w:val="21"/>
          <w:szCs w:val="21"/>
          <w:highlight w:val="none"/>
          <w:u w:val="single"/>
        </w:rPr>
        <w:t xml:space="preserve">                     </w:t>
      </w:r>
    </w:p>
    <w:p>
      <w:pPr>
        <w:adjustRightInd w:val="0"/>
        <w:snapToGrid w:val="0"/>
        <w:spacing w:line="360" w:lineRule="auto"/>
        <w:ind w:right="420"/>
        <w:rPr>
          <w:rFonts w:hint="eastAsia" w:ascii="宋体" w:hAnsi="宋体" w:cs="宋体"/>
          <w:color w:val="auto"/>
          <w:sz w:val="21"/>
          <w:szCs w:val="21"/>
          <w:highlight w:val="none"/>
        </w:rPr>
      </w:pPr>
      <w:r>
        <w:rPr>
          <w:rFonts w:hint="eastAsia" w:ascii="宋体" w:hAnsi="宋体" w:cs="宋体"/>
          <w:color w:val="auto"/>
          <w:sz w:val="21"/>
          <w:szCs w:val="21"/>
          <w:highlight w:val="none"/>
        </w:rPr>
        <w:t>委托代理人（签字）：</w:t>
      </w:r>
      <w:r>
        <w:rPr>
          <w:rFonts w:hint="eastAsia" w:ascii="宋体" w:hAnsi="宋体" w:cs="宋体"/>
          <w:color w:val="auto"/>
          <w:sz w:val="21"/>
          <w:szCs w:val="21"/>
          <w:highlight w:val="none"/>
          <w:u w:val="single"/>
        </w:rPr>
        <w:t xml:space="preserve">                     </w:t>
      </w:r>
    </w:p>
    <w:p>
      <w:pPr>
        <w:adjustRightInd w:val="0"/>
        <w:snapToGrid w:val="0"/>
        <w:spacing w:line="360" w:lineRule="auto"/>
        <w:ind w:right="24"/>
        <w:rPr>
          <w:rFonts w:hint="eastAsia" w:ascii="宋体" w:hAnsi="宋体" w:cs="宋体"/>
          <w:color w:val="auto"/>
          <w:sz w:val="21"/>
          <w:szCs w:val="21"/>
          <w:highlight w:val="none"/>
        </w:rPr>
      </w:pPr>
      <w:r>
        <w:rPr>
          <w:rFonts w:hint="eastAsia" w:ascii="宋体" w:hAnsi="宋体" w:cs="宋体"/>
          <w:color w:val="auto"/>
          <w:sz w:val="21"/>
          <w:szCs w:val="21"/>
          <w:highlight w:val="none"/>
        </w:rPr>
        <w:t>日期：</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w:t>
      </w:r>
    </w:p>
    <w:p>
      <w:pPr>
        <w:spacing w:line="360" w:lineRule="exact"/>
        <w:rPr>
          <w:rFonts w:hint="eastAsia" w:ascii="宋体" w:hAnsi="宋体" w:cs="宋体"/>
          <w:b/>
          <w:color w:val="auto"/>
          <w:sz w:val="21"/>
          <w:szCs w:val="21"/>
          <w:highlight w:val="none"/>
        </w:rPr>
      </w:pPr>
    </w:p>
    <w:p>
      <w:pPr>
        <w:spacing w:line="360" w:lineRule="exact"/>
        <w:rPr>
          <w:rFonts w:hint="eastAsia" w:ascii="宋体" w:hAnsi="宋体" w:cs="宋体"/>
          <w:b/>
          <w:color w:val="auto"/>
          <w:sz w:val="21"/>
          <w:szCs w:val="21"/>
          <w:highlight w:val="none"/>
        </w:rPr>
      </w:pPr>
    </w:p>
    <w:p>
      <w:pPr>
        <w:spacing w:line="360" w:lineRule="exact"/>
        <w:rPr>
          <w:rFonts w:hint="eastAsia" w:ascii="宋体" w:hAnsi="宋体" w:cs="宋体"/>
          <w:b/>
          <w:color w:val="auto"/>
          <w:sz w:val="21"/>
          <w:szCs w:val="21"/>
          <w:highlight w:val="none"/>
        </w:rPr>
      </w:pPr>
    </w:p>
    <w:p>
      <w:pPr>
        <w:spacing w:line="360" w:lineRule="exact"/>
        <w:rPr>
          <w:rFonts w:hint="eastAsia" w:ascii="宋体" w:hAnsi="宋体" w:cs="宋体"/>
          <w:b/>
          <w:color w:val="auto"/>
          <w:sz w:val="21"/>
          <w:szCs w:val="21"/>
          <w:highlight w:val="none"/>
        </w:rPr>
      </w:pPr>
    </w:p>
    <w:p>
      <w:pPr>
        <w:spacing w:line="360" w:lineRule="exact"/>
        <w:rPr>
          <w:rFonts w:hint="eastAsia" w:ascii="宋体" w:hAnsi="宋体" w:cs="宋体"/>
          <w:b/>
          <w:color w:val="auto"/>
          <w:sz w:val="21"/>
          <w:szCs w:val="21"/>
          <w:highlight w:val="none"/>
        </w:rPr>
      </w:pPr>
    </w:p>
    <w:p>
      <w:pPr>
        <w:pStyle w:val="6"/>
        <w:rPr>
          <w:rFonts w:hint="eastAsia"/>
          <w:color w:val="auto"/>
          <w:sz w:val="21"/>
          <w:szCs w:val="21"/>
          <w:highlight w:val="none"/>
        </w:rPr>
      </w:pPr>
    </w:p>
    <w:p>
      <w:pPr>
        <w:rPr>
          <w:rFonts w:hint="eastAsia"/>
          <w:color w:val="auto"/>
          <w:highlight w:val="none"/>
        </w:rPr>
      </w:pPr>
    </w:p>
    <w:p>
      <w:pPr>
        <w:pStyle w:val="6"/>
        <w:rPr>
          <w:rFonts w:hint="eastAsia"/>
          <w:color w:val="auto"/>
          <w:sz w:val="21"/>
          <w:szCs w:val="21"/>
          <w:highlight w:val="none"/>
        </w:rPr>
      </w:pPr>
    </w:p>
    <w:p>
      <w:pPr>
        <w:adjustRightInd w:val="0"/>
        <w:snapToGrid w:val="0"/>
        <w:spacing w:before="156" w:beforeLines="50" w:line="360" w:lineRule="auto"/>
        <w:rPr>
          <w:rFonts w:ascii="宋体" w:hAnsi="宋体"/>
          <w:bCs/>
          <w:color w:val="auto"/>
          <w:sz w:val="30"/>
          <w:szCs w:val="30"/>
          <w:highlight w:val="none"/>
        </w:rPr>
      </w:pPr>
      <w:r>
        <w:rPr>
          <w:color w:val="auto"/>
          <w:sz w:val="21"/>
          <w:szCs w:val="21"/>
          <w:highlight w:val="none"/>
        </w:rPr>
        <w:br w:type="page"/>
      </w:r>
      <w:r>
        <w:rPr>
          <w:rFonts w:hint="eastAsia" w:ascii="宋体" w:hAnsi="宋体" w:cs="宋体"/>
          <w:bCs/>
          <w:color w:val="auto"/>
          <w:sz w:val="21"/>
          <w:szCs w:val="21"/>
          <w:highlight w:val="none"/>
        </w:rPr>
        <w:t>附件3</w:t>
      </w:r>
      <w:r>
        <w:rPr>
          <w:rFonts w:hint="eastAsia" w:ascii="宋体" w:hAnsi="宋体"/>
          <w:bCs/>
          <w:color w:val="auto"/>
          <w:sz w:val="30"/>
          <w:szCs w:val="30"/>
          <w:highlight w:val="none"/>
        </w:rPr>
        <w:t>：</w:t>
      </w:r>
    </w:p>
    <w:p>
      <w:pPr>
        <w:spacing w:line="600" w:lineRule="auto"/>
        <w:jc w:val="center"/>
        <w:rPr>
          <w:rFonts w:hint="eastAsia" w:ascii="黑体" w:hAnsi="Times New Roman" w:eastAsia="黑体" w:cs="Times New Roman"/>
          <w:b/>
          <w:color w:val="auto"/>
          <w:sz w:val="30"/>
          <w:szCs w:val="30"/>
        </w:rPr>
      </w:pPr>
      <w:r>
        <w:rPr>
          <w:rFonts w:hint="eastAsia" w:ascii="黑体" w:hAnsi="Times New Roman" w:eastAsia="黑体" w:cs="Times New Roman"/>
          <w:b/>
          <w:color w:val="auto"/>
          <w:sz w:val="30"/>
          <w:szCs w:val="30"/>
        </w:rPr>
        <w:t>湖南省政府采购供应商资格承诺函</w:t>
      </w:r>
    </w:p>
    <w:p>
      <w:pPr>
        <w:spacing w:line="600" w:lineRule="auto"/>
        <w:rPr>
          <w:rFonts w:hint="eastAsia" w:ascii="宋体" w:hAnsi="宋体" w:eastAsia="宋体" w:cs="宋体"/>
          <w:color w:val="auto"/>
          <w:sz w:val="21"/>
          <w:szCs w:val="21"/>
        </w:rPr>
      </w:pPr>
    </w:p>
    <w:p>
      <w:pPr>
        <w:spacing w:line="60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本公司独立承担民事责任、具有良好的商业信誉和健全的财务会计制度、依法缴纳税收和社会保障资金，在前三年的经营活动中无重大违法记录，未列入严重失信行为名单，符合政府采购供应商的基本资格要求。</w:t>
      </w:r>
    </w:p>
    <w:p>
      <w:pPr>
        <w:spacing w:line="60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按照《政府采购促进中小企业发展管理办法》(财库〔2020〕46号)本公司企业规模为:大型</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highlight w:val="none"/>
        </w:rPr>
        <w:sym w:font="Wingdings 2" w:char="00A3"/>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rPr>
        <w:t>中型</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highlight w:val="none"/>
        </w:rPr>
        <w:sym w:font="Wingdings 2" w:char="00A3"/>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rPr>
        <w:t>小型</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rPr>
        <w:t>微型</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highlight w:val="none"/>
        </w:rPr>
        <w:sym w:font="Wingdings 2" w:char="00A3"/>
      </w:r>
    </w:p>
    <w:p>
      <w:pPr>
        <w:spacing w:line="60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highlight w:val="none"/>
        </w:rPr>
        <w:sym w:font="Wingdings 2" w:char="00A3"/>
      </w:r>
      <w:r>
        <w:rPr>
          <w:rFonts w:hint="eastAsia" w:ascii="宋体" w:hAnsi="宋体" w:eastAsia="宋体" w:cs="宋体"/>
          <w:color w:val="auto"/>
          <w:sz w:val="21"/>
          <w:szCs w:val="21"/>
        </w:rPr>
        <w:t>本公司自愿入驻湖南省政府采购电子卖场，遵守《湖南省政府采购电子卖场管理办法》(湘财购〔2019〕27号)，如违反承诺，同意金融机构将增信保证划缴国库(非电子卖场采购活动项目不需勾选)。</w:t>
      </w:r>
    </w:p>
    <w:p>
      <w:pPr>
        <w:spacing w:line="600" w:lineRule="auto"/>
        <w:rPr>
          <w:rFonts w:hint="eastAsia" w:ascii="宋体" w:hAnsi="宋体" w:eastAsia="宋体" w:cs="宋体"/>
          <w:color w:val="auto"/>
          <w:sz w:val="21"/>
          <w:szCs w:val="21"/>
        </w:rPr>
      </w:pPr>
    </w:p>
    <w:p>
      <w:pPr>
        <w:spacing w:line="600" w:lineRule="auto"/>
        <w:jc w:val="right"/>
        <w:rPr>
          <w:rFonts w:hint="eastAsia" w:ascii="宋体" w:hAnsi="宋体" w:eastAsia="宋体" w:cs="宋体"/>
          <w:color w:val="auto"/>
          <w:sz w:val="21"/>
          <w:szCs w:val="21"/>
        </w:rPr>
      </w:pPr>
      <w:r>
        <w:rPr>
          <w:rFonts w:hint="eastAsia" w:ascii="宋体" w:hAnsi="宋体" w:eastAsia="宋体" w:cs="宋体"/>
          <w:color w:val="auto"/>
          <w:sz w:val="21"/>
          <w:szCs w:val="21"/>
        </w:rPr>
        <w:t>公司(单位)名称:(盖章)</w:t>
      </w:r>
    </w:p>
    <w:p>
      <w:pPr>
        <w:spacing w:line="600" w:lineRule="auto"/>
        <w:jc w:val="right"/>
        <w:rPr>
          <w:rFonts w:hint="eastAsia" w:ascii="宋体" w:hAnsi="宋体" w:eastAsia="宋体" w:cs="宋体"/>
          <w:color w:val="auto"/>
          <w:sz w:val="21"/>
          <w:szCs w:val="21"/>
        </w:rPr>
      </w:pP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日</w:t>
      </w:r>
    </w:p>
    <w:p>
      <w:pPr>
        <w:spacing w:line="600" w:lineRule="auto"/>
        <w:rPr>
          <w:rFonts w:hint="eastAsia" w:ascii="宋体" w:hAnsi="宋体" w:eastAsia="宋体" w:cs="宋体"/>
          <w:color w:val="auto"/>
          <w:sz w:val="21"/>
          <w:szCs w:val="21"/>
        </w:rPr>
      </w:pPr>
      <w:r>
        <w:rPr>
          <w:rFonts w:hint="eastAsia" w:ascii="宋体" w:hAnsi="宋体" w:eastAsia="宋体" w:cs="宋体"/>
          <w:color w:val="auto"/>
          <w:sz w:val="21"/>
          <w:szCs w:val="21"/>
        </w:rPr>
        <w:t>机构代码、注册登记机构、日期、有效期、注册资本、地址、 经济行业、经济性质</w:t>
      </w:r>
    </w:p>
    <w:p>
      <w:pPr>
        <w:spacing w:line="600" w:lineRule="auto"/>
        <w:rPr>
          <w:rFonts w:hint="eastAsia" w:ascii="宋体" w:hAnsi="宋体" w:eastAsia="宋体" w:cs="宋体"/>
          <w:color w:val="auto"/>
          <w:sz w:val="21"/>
          <w:szCs w:val="21"/>
        </w:rPr>
      </w:pPr>
      <w:r>
        <w:rPr>
          <w:rFonts w:hint="eastAsia" w:ascii="宋体" w:hAnsi="宋体" w:eastAsia="宋体" w:cs="宋体"/>
          <w:color w:val="auto"/>
          <w:sz w:val="21"/>
          <w:szCs w:val="21"/>
        </w:rPr>
        <w:t>法定代表人(负责人)姓名(签字)、身份证号、手机号:</w:t>
      </w:r>
    </w:p>
    <w:p>
      <w:pPr>
        <w:spacing w:line="600" w:lineRule="auto"/>
        <w:rPr>
          <w:rFonts w:hint="eastAsia" w:ascii="宋体" w:hAnsi="宋体" w:eastAsia="宋体" w:cs="宋体"/>
          <w:color w:val="auto"/>
          <w:sz w:val="21"/>
          <w:szCs w:val="21"/>
        </w:rPr>
      </w:pPr>
      <w:r>
        <w:rPr>
          <w:rFonts w:hint="eastAsia" w:ascii="宋体" w:hAnsi="宋体" w:eastAsia="宋体" w:cs="宋体"/>
          <w:color w:val="auto"/>
          <w:sz w:val="21"/>
          <w:szCs w:val="21"/>
        </w:rPr>
        <w:t>授权代表人姓名(签字)、身份证号、手机号:</w:t>
      </w:r>
    </w:p>
    <w:p>
      <w:pPr>
        <w:pStyle w:val="6"/>
        <w:jc w:val="both"/>
        <w:rPr>
          <w:rFonts w:hint="eastAsia"/>
          <w:color w:val="auto"/>
          <w:sz w:val="30"/>
          <w:szCs w:val="30"/>
          <w:highlight w:val="none"/>
        </w:rPr>
      </w:pPr>
      <w:r>
        <w:rPr>
          <w:rFonts w:hint="eastAsia"/>
          <w:color w:val="auto"/>
          <w:sz w:val="30"/>
          <w:szCs w:val="30"/>
          <w:highlight w:val="none"/>
        </w:rPr>
        <w:t>二、磋商保证金缴纳证明材料（本项目不需要提供磋商保证金）</w:t>
      </w:r>
    </w:p>
    <w:p>
      <w:pPr>
        <w:pStyle w:val="25"/>
        <w:adjustRightInd w:val="0"/>
        <w:snapToGrid w:val="0"/>
        <w:spacing w:before="156" w:beforeLines="50" w:line="360" w:lineRule="auto"/>
        <w:rPr>
          <w:rFonts w:hint="eastAsia" w:hAnsi="宋体" w:cs="宋体"/>
          <w:color w:val="auto"/>
          <w:highlight w:val="none"/>
        </w:rPr>
      </w:pPr>
    </w:p>
    <w:p>
      <w:pPr>
        <w:numPr>
          <w:ilvl w:val="0"/>
          <w:numId w:val="7"/>
        </w:numPr>
        <w:adjustRightInd w:val="0"/>
        <w:snapToGri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提供付款凭证复印件。</w:t>
      </w:r>
    </w:p>
    <w:p>
      <w:pPr>
        <w:adjustRightInd w:val="0"/>
        <w:snapToGrid w:val="0"/>
        <w:spacing w:line="360" w:lineRule="auto"/>
        <w:ind w:firstLine="420" w:firstLineChars="200"/>
        <w:rPr>
          <w:rFonts w:hint="eastAsia"/>
          <w:color w:val="auto"/>
          <w:sz w:val="21"/>
          <w:szCs w:val="21"/>
          <w:highlight w:val="none"/>
        </w:rPr>
      </w:pPr>
      <w:r>
        <w:rPr>
          <w:rFonts w:hint="eastAsia"/>
          <w:color w:val="auto"/>
          <w:sz w:val="21"/>
          <w:szCs w:val="21"/>
          <w:highlight w:val="none"/>
        </w:rPr>
        <w:t>2、根据供应商递交的《投标保证金退还申请书》上的账户信息，以转账或电汇方式退还至供应商的原缴纳账户。</w:t>
      </w: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pStyle w:val="43"/>
        <w:ind w:left="560"/>
        <w:rPr>
          <w:rFonts w:hint="eastAsia"/>
          <w:color w:val="auto"/>
          <w:szCs w:val="21"/>
          <w:highlight w:val="none"/>
        </w:rPr>
      </w:pPr>
    </w:p>
    <w:p>
      <w:pPr>
        <w:pStyle w:val="43"/>
        <w:ind w:left="560"/>
        <w:rPr>
          <w:rFonts w:hint="eastAsia"/>
          <w:color w:val="auto"/>
          <w:szCs w:val="21"/>
          <w:highlight w:val="none"/>
        </w:rPr>
      </w:pPr>
    </w:p>
    <w:p>
      <w:pPr>
        <w:pStyle w:val="43"/>
        <w:ind w:left="560"/>
        <w:rPr>
          <w:rFonts w:hint="eastAsia"/>
          <w:color w:val="auto"/>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pStyle w:val="43"/>
        <w:ind w:left="560"/>
        <w:rPr>
          <w:rFonts w:hint="eastAsia"/>
          <w:color w:val="auto"/>
          <w:szCs w:val="21"/>
          <w:highlight w:val="none"/>
        </w:rPr>
      </w:pPr>
    </w:p>
    <w:p>
      <w:pPr>
        <w:pStyle w:val="43"/>
        <w:ind w:left="560"/>
        <w:rPr>
          <w:rFonts w:hint="eastAsia"/>
          <w:color w:val="auto"/>
          <w:szCs w:val="21"/>
          <w:highlight w:val="none"/>
        </w:rPr>
      </w:pPr>
    </w:p>
    <w:p>
      <w:pPr>
        <w:pStyle w:val="43"/>
        <w:ind w:left="560"/>
        <w:rPr>
          <w:rFonts w:hint="eastAsia"/>
          <w:color w:val="auto"/>
          <w:szCs w:val="21"/>
          <w:highlight w:val="none"/>
        </w:rPr>
      </w:pPr>
    </w:p>
    <w:p>
      <w:pPr>
        <w:adjustRightInd w:val="0"/>
        <w:snapToGrid w:val="0"/>
        <w:spacing w:line="360" w:lineRule="auto"/>
        <w:rPr>
          <w:rFonts w:hint="eastAsia"/>
          <w:color w:val="auto"/>
          <w:sz w:val="21"/>
          <w:szCs w:val="21"/>
          <w:highlight w:val="none"/>
        </w:rPr>
      </w:pPr>
    </w:p>
    <w:p>
      <w:pPr>
        <w:adjustRightInd w:val="0"/>
        <w:snapToGrid w:val="0"/>
        <w:spacing w:line="360" w:lineRule="auto"/>
        <w:rPr>
          <w:rFonts w:hint="eastAsia"/>
          <w:color w:val="auto"/>
          <w:sz w:val="21"/>
          <w:szCs w:val="21"/>
          <w:highlight w:val="none"/>
        </w:rPr>
      </w:pPr>
    </w:p>
    <w:p>
      <w:pPr>
        <w:pStyle w:val="6"/>
        <w:rPr>
          <w:rStyle w:val="62"/>
          <w:rFonts w:hint="eastAsia"/>
          <w:b/>
          <w:bCs/>
          <w:color w:val="auto"/>
          <w:sz w:val="30"/>
          <w:szCs w:val="30"/>
          <w:highlight w:val="none"/>
        </w:rPr>
      </w:pPr>
      <w:r>
        <w:rPr>
          <w:rStyle w:val="62"/>
          <w:rFonts w:hint="eastAsia"/>
          <w:b/>
          <w:bCs/>
          <w:color w:val="auto"/>
          <w:sz w:val="30"/>
          <w:szCs w:val="30"/>
          <w:highlight w:val="none"/>
        </w:rPr>
        <w:t>三、供应商的资格证明资料</w:t>
      </w:r>
    </w:p>
    <w:p>
      <w:pPr>
        <w:spacing w:line="480" w:lineRule="exact"/>
        <w:rPr>
          <w:rFonts w:hint="eastAsia" w:ascii="宋体" w:hAnsi="宋体" w:cs="宋体"/>
          <w:b/>
          <w:color w:val="auto"/>
          <w:sz w:val="21"/>
          <w:szCs w:val="21"/>
          <w:highlight w:val="none"/>
        </w:rPr>
      </w:pPr>
      <w:r>
        <w:rPr>
          <w:rFonts w:hint="eastAsia" w:ascii="宋体" w:hAnsi="宋体" w:cs="宋体"/>
          <w:b/>
          <w:color w:val="auto"/>
          <w:sz w:val="21"/>
          <w:szCs w:val="21"/>
          <w:highlight w:val="none"/>
        </w:rPr>
        <w:t xml:space="preserve">附件4                   </w:t>
      </w:r>
      <w:r>
        <w:rPr>
          <w:rStyle w:val="63"/>
          <w:rFonts w:hint="eastAsia"/>
          <w:bCs w:val="0"/>
          <w:color w:val="auto"/>
          <w:sz w:val="21"/>
          <w:szCs w:val="21"/>
          <w:highlight w:val="none"/>
        </w:rPr>
        <w:t>供应商基本情况表</w:t>
      </w:r>
    </w:p>
    <w:p>
      <w:pPr>
        <w:adjustRightInd w:val="0"/>
        <w:snapToGrid w:val="0"/>
        <w:spacing w:line="360" w:lineRule="auto"/>
        <w:ind w:firstLine="210" w:firstLineChars="100"/>
        <w:rPr>
          <w:rFonts w:hint="eastAsia" w:ascii="宋体" w:hAnsi="宋体" w:cs="宋体"/>
          <w:b/>
          <w:color w:val="auto"/>
          <w:sz w:val="21"/>
          <w:szCs w:val="21"/>
          <w:highlight w:val="none"/>
        </w:rPr>
      </w:pPr>
      <w:r>
        <w:rPr>
          <w:rFonts w:hint="eastAsia" w:ascii="宋体" w:hAnsi="宋体" w:cs="宋体"/>
          <w:b/>
          <w:color w:val="auto"/>
          <w:sz w:val="21"/>
          <w:szCs w:val="21"/>
          <w:highlight w:val="none"/>
        </w:rPr>
        <w:t>盖供应商单位章</w:t>
      </w:r>
    </w:p>
    <w:tbl>
      <w:tblPr>
        <w:tblStyle w:val="44"/>
        <w:tblW w:w="0" w:type="auto"/>
        <w:tblInd w:w="40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539"/>
        <w:gridCol w:w="362"/>
        <w:gridCol w:w="1143"/>
        <w:gridCol w:w="850"/>
        <w:gridCol w:w="590"/>
        <w:gridCol w:w="294"/>
        <w:gridCol w:w="1083"/>
        <w:gridCol w:w="1329"/>
        <w:gridCol w:w="19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620" w:type="dxa"/>
            <w:gridSpan w:val="3"/>
            <w:tcBorders>
              <w:top w:val="double" w:color="auto" w:sz="4"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供应商名称</w:t>
            </w:r>
          </w:p>
        </w:tc>
        <w:tc>
          <w:tcPr>
            <w:tcW w:w="3960" w:type="dxa"/>
            <w:gridSpan w:val="5"/>
            <w:tcBorders>
              <w:top w:val="double" w:color="auto" w:sz="4"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tc>
        <w:tc>
          <w:tcPr>
            <w:tcW w:w="1329" w:type="dxa"/>
            <w:tcBorders>
              <w:top w:val="double" w:color="auto" w:sz="4"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w:t>
            </w:r>
          </w:p>
        </w:tc>
        <w:tc>
          <w:tcPr>
            <w:tcW w:w="1911" w:type="dxa"/>
            <w:tcBorders>
              <w:top w:val="double" w:color="auto" w:sz="4"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620" w:type="dxa"/>
            <w:gridSpan w:val="3"/>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委托代理人</w:t>
            </w:r>
          </w:p>
        </w:tc>
        <w:tc>
          <w:tcPr>
            <w:tcW w:w="3960" w:type="dxa"/>
            <w:gridSpan w:val="5"/>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1329"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邮政编码</w:t>
            </w:r>
          </w:p>
        </w:tc>
        <w:tc>
          <w:tcPr>
            <w:tcW w:w="1911" w:type="dxa"/>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3960" w:type="dxa"/>
            <w:gridSpan w:val="5"/>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1329"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电子邮箱</w:t>
            </w:r>
          </w:p>
        </w:tc>
        <w:tc>
          <w:tcPr>
            <w:tcW w:w="1911" w:type="dxa"/>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上年营业收入</w:t>
            </w:r>
          </w:p>
        </w:tc>
        <w:tc>
          <w:tcPr>
            <w:tcW w:w="3960" w:type="dxa"/>
            <w:gridSpan w:val="5"/>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1329"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员工总人数</w:t>
            </w:r>
          </w:p>
        </w:tc>
        <w:tc>
          <w:tcPr>
            <w:tcW w:w="1911" w:type="dxa"/>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restart"/>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营业执照</w:t>
            </w:r>
          </w:p>
        </w:tc>
        <w:tc>
          <w:tcPr>
            <w:tcW w:w="2044" w:type="dxa"/>
            <w:gridSpan w:val="3"/>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注册号码</w:t>
            </w:r>
          </w:p>
        </w:tc>
        <w:tc>
          <w:tcPr>
            <w:tcW w:w="1440"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1377"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ind w:firstLine="105" w:firstLineChars="5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注册地址</w:t>
            </w: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ind w:firstLine="105" w:firstLineChars="5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2044" w:type="dxa"/>
            <w:gridSpan w:val="3"/>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发证机关</w:t>
            </w:r>
          </w:p>
        </w:tc>
        <w:tc>
          <w:tcPr>
            <w:tcW w:w="1440"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1377"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ind w:firstLine="105" w:firstLineChars="5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发证日期</w:t>
            </w: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ind w:firstLine="105" w:firstLineChars="5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63" w:hRule="atLeast"/>
        </w:trPr>
        <w:tc>
          <w:tcPr>
            <w:tcW w:w="719" w:type="dxa"/>
            <w:vMerge w:val="continue"/>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2044" w:type="dxa"/>
            <w:gridSpan w:val="3"/>
            <w:tcBorders>
              <w:top w:val="single" w:color="auto" w:sz="6" w:space="0"/>
              <w:left w:val="single" w:color="auto" w:sz="6" w:space="0"/>
              <w:right w:val="single" w:color="auto" w:sz="6" w:space="0"/>
            </w:tcBorders>
            <w:noWrap w:val="0"/>
            <w:vAlign w:val="center"/>
          </w:tcPr>
          <w:p>
            <w:pPr>
              <w:topLinePunct/>
              <w:spacing w:line="44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营业范围</w:t>
            </w:r>
          </w:p>
          <w:p>
            <w:pPr>
              <w:topLinePunct/>
              <w:spacing w:line="440" w:lineRule="exact"/>
              <w:jc w:val="center"/>
              <w:rPr>
                <w:rFonts w:hint="eastAsia" w:ascii="宋体" w:hAnsi="宋体" w:eastAsia="宋体" w:cs="宋体"/>
                <w:color w:val="auto"/>
                <w:sz w:val="21"/>
                <w:szCs w:val="21"/>
                <w:highlight w:val="none"/>
              </w:rPr>
            </w:pPr>
          </w:p>
        </w:tc>
        <w:tc>
          <w:tcPr>
            <w:tcW w:w="6057" w:type="dxa"/>
            <w:gridSpan w:val="6"/>
            <w:tcBorders>
              <w:top w:val="single" w:color="auto" w:sz="6" w:space="0"/>
              <w:left w:val="single" w:color="auto" w:sz="6" w:space="0"/>
              <w:right w:val="double" w:color="auto" w:sz="4" w:space="0"/>
            </w:tcBorders>
            <w:noWrap w:val="0"/>
            <w:vAlign w:val="center"/>
          </w:tcPr>
          <w:p>
            <w:pPr>
              <w:topLinePunct/>
              <w:spacing w:line="440" w:lineRule="exact"/>
              <w:ind w:firstLine="105" w:firstLineChars="5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基本账户开户行及账号</w:t>
            </w:r>
          </w:p>
        </w:tc>
        <w:tc>
          <w:tcPr>
            <w:tcW w:w="6057" w:type="dxa"/>
            <w:gridSpan w:val="6"/>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税务登记机关</w:t>
            </w:r>
          </w:p>
        </w:tc>
        <w:tc>
          <w:tcPr>
            <w:tcW w:w="6057" w:type="dxa"/>
            <w:gridSpan w:val="6"/>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资质名称</w:t>
            </w: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等级</w:t>
            </w: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发证机关</w:t>
            </w: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77" w:hRule="atLeast"/>
        </w:trPr>
        <w:tc>
          <w:tcPr>
            <w:tcW w:w="1258" w:type="dxa"/>
            <w:gridSpan w:val="2"/>
            <w:tcBorders>
              <w:top w:val="single" w:color="auto" w:sz="6" w:space="0"/>
              <w:left w:val="double" w:color="auto" w:sz="4" w:space="0"/>
              <w:bottom w:val="double" w:color="auto" w:sz="4" w:space="0"/>
              <w:right w:val="single" w:color="auto" w:sz="6" w:space="0"/>
            </w:tcBorders>
            <w:noWrap w:val="0"/>
            <w:vAlign w:val="center"/>
          </w:tcPr>
          <w:p>
            <w:pPr>
              <w:topLinePunct/>
              <w:spacing w:line="44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c>
          <w:tcPr>
            <w:tcW w:w="7562" w:type="dxa"/>
            <w:gridSpan w:val="8"/>
            <w:tcBorders>
              <w:top w:val="single" w:color="auto" w:sz="6" w:space="0"/>
              <w:left w:val="single" w:color="auto" w:sz="6" w:space="0"/>
              <w:bottom w:val="double" w:color="auto" w:sz="4" w:space="0"/>
              <w:right w:val="double" w:color="auto" w:sz="4" w:space="0"/>
            </w:tcBorders>
            <w:noWrap w:val="0"/>
            <w:vAlign w:val="center"/>
          </w:tcPr>
          <w:p>
            <w:pPr>
              <w:topLinePunct/>
              <w:spacing w:line="44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附《法人登记证书》或《法人营业执照》（副本）复印件</w:t>
            </w:r>
          </w:p>
        </w:tc>
      </w:tr>
    </w:tbl>
    <w:p>
      <w:pPr>
        <w:spacing w:line="480" w:lineRule="exact"/>
        <w:rPr>
          <w:rFonts w:hint="eastAsia" w:ascii="宋体" w:hAnsi="宋体" w:cs="宋体"/>
          <w:color w:val="auto"/>
          <w:sz w:val="21"/>
          <w:szCs w:val="21"/>
          <w:highlight w:val="none"/>
        </w:rPr>
      </w:pPr>
    </w:p>
    <w:p>
      <w:pPr>
        <w:spacing w:line="480" w:lineRule="exact"/>
        <w:rPr>
          <w:rFonts w:hint="eastAsia" w:ascii="黑体" w:eastAsia="黑体"/>
          <w:color w:val="auto"/>
          <w:sz w:val="30"/>
          <w:szCs w:val="30"/>
          <w:highlight w:val="none"/>
        </w:rPr>
      </w:pPr>
      <w:r>
        <w:rPr>
          <w:rFonts w:hint="eastAsia" w:ascii="宋体" w:hAnsi="宋体" w:cs="宋体"/>
          <w:color w:val="auto"/>
          <w:sz w:val="21"/>
          <w:szCs w:val="21"/>
          <w:highlight w:val="none"/>
        </w:rPr>
        <w:t xml:space="preserve">附件5     </w:t>
      </w:r>
      <w:r>
        <w:rPr>
          <w:rFonts w:hint="eastAsia" w:ascii="黑体" w:eastAsia="黑体"/>
          <w:color w:val="auto"/>
          <w:sz w:val="30"/>
          <w:szCs w:val="30"/>
          <w:highlight w:val="none"/>
        </w:rPr>
        <w:t>磋商文件规定的基本资格条件证明资料</w:t>
      </w:r>
    </w:p>
    <w:p>
      <w:pPr>
        <w:spacing w:line="480" w:lineRule="exact"/>
        <w:rPr>
          <w:rFonts w:hint="eastAsia" w:ascii="黑体" w:hAnsi="宋体" w:eastAsia="黑体"/>
          <w:color w:val="auto"/>
          <w:szCs w:val="21"/>
          <w:highlight w:val="none"/>
        </w:rPr>
      </w:pPr>
    </w:p>
    <w:p>
      <w:pPr>
        <w:spacing w:line="48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备注：</w:t>
      </w:r>
    </w:p>
    <w:p>
      <w:pPr>
        <w:spacing w:line="48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符合《中华人民共和国政府采购法》第二十二条规定的供应商条件，并提供以下资格证明文件：</w:t>
      </w:r>
    </w:p>
    <w:p>
      <w:pPr>
        <w:spacing w:line="480" w:lineRule="exac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（1）法人提交企业法人营业执照副本(或者法人登记证书)以及组织机构代码证副本复印件；</w:t>
      </w:r>
    </w:p>
    <w:p>
      <w:pPr>
        <w:spacing w:line="480" w:lineRule="exac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2</w:t>
      </w:r>
      <w:r>
        <w:rPr>
          <w:rFonts w:hint="eastAsia" w:asciiTheme="minorEastAsia" w:hAnsiTheme="minorEastAsia" w:eastAsiaTheme="minorEastAsia" w:cstheme="minorEastAsia"/>
          <w:color w:val="auto"/>
          <w:sz w:val="21"/>
          <w:szCs w:val="21"/>
          <w:highlight w:val="none"/>
        </w:rPr>
        <w:t>）法人提交法定代表人身份证明原件或者法定代表人授权委托书原件并附法定代表人身份证明原件；自然人提交身份证明复印件</w:t>
      </w:r>
      <w:r>
        <w:rPr>
          <w:rFonts w:hint="eastAsia" w:asciiTheme="minorEastAsia" w:hAnsiTheme="minorEastAsia" w:eastAsiaTheme="minorEastAsia" w:cstheme="minorEastAsia"/>
          <w:color w:val="auto"/>
          <w:sz w:val="21"/>
          <w:szCs w:val="21"/>
          <w:highlight w:val="none"/>
          <w:lang w:eastAsia="zh-CN"/>
        </w:rPr>
        <w:t>；</w:t>
      </w:r>
    </w:p>
    <w:p>
      <w:pPr>
        <w:spacing w:line="480" w:lineRule="exac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（3）</w:t>
      </w:r>
      <w:r>
        <w:rPr>
          <w:rFonts w:hint="eastAsia" w:asciiTheme="minorEastAsia" w:hAnsiTheme="minorEastAsia" w:eastAsiaTheme="minorEastAsia" w:cstheme="minorEastAsia"/>
          <w:color w:val="auto"/>
          <w:sz w:val="21"/>
          <w:szCs w:val="21"/>
          <w:highlight w:val="none"/>
          <w:lang w:val="en-US" w:eastAsia="zh-CN"/>
        </w:rPr>
        <w:t>提供《</w:t>
      </w:r>
      <w:r>
        <w:rPr>
          <w:rFonts w:hint="eastAsia" w:asciiTheme="minorEastAsia" w:hAnsiTheme="minorEastAsia" w:eastAsiaTheme="minorEastAsia" w:cstheme="minorEastAsia"/>
          <w:color w:val="auto"/>
          <w:sz w:val="21"/>
          <w:szCs w:val="21"/>
          <w:highlight w:val="none"/>
          <w:lang w:eastAsia="zh-CN"/>
        </w:rPr>
        <w:t>湖南省政府采购供应商资格承诺函</w:t>
      </w:r>
      <w:r>
        <w:rPr>
          <w:rFonts w:hint="eastAsia" w:asciiTheme="minorEastAsia" w:hAnsiTheme="minorEastAsia" w:eastAsiaTheme="minorEastAsia" w:cstheme="minorEastAsia"/>
          <w:color w:val="auto"/>
          <w:sz w:val="21"/>
          <w:szCs w:val="21"/>
          <w:highlight w:val="none"/>
          <w:lang w:val="en-US" w:eastAsia="zh-CN"/>
        </w:rPr>
        <w:t>》</w:t>
      </w:r>
      <w:r>
        <w:rPr>
          <w:rFonts w:hint="eastAsia" w:asciiTheme="minorEastAsia" w:hAnsiTheme="minorEastAsia" w:eastAsiaTheme="minorEastAsia" w:cstheme="minorEastAsia"/>
          <w:color w:val="auto"/>
          <w:sz w:val="21"/>
          <w:szCs w:val="21"/>
          <w:highlight w:val="none"/>
          <w:lang w:eastAsia="zh-CN"/>
        </w:rPr>
        <w:t>。</w:t>
      </w:r>
    </w:p>
    <w:p>
      <w:pPr>
        <w:spacing w:line="480" w:lineRule="exact"/>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本项目专门面向中小微企业采购，所属行业为“物业管理”，投标人须提供《中小企业声明函》，否则视为无效响应。</w:t>
      </w:r>
    </w:p>
    <w:p>
      <w:pPr>
        <w:spacing w:line="480" w:lineRule="exact"/>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val="en-US" w:eastAsia="zh-CN"/>
        </w:rPr>
        <w:t>其他说明：①</w:t>
      </w:r>
      <w:r>
        <w:rPr>
          <w:rFonts w:hint="eastAsia" w:asciiTheme="minorEastAsia" w:hAnsiTheme="minorEastAsia" w:eastAsiaTheme="minorEastAsia" w:cstheme="minorEastAsia"/>
          <w:color w:val="auto"/>
          <w:sz w:val="21"/>
          <w:szCs w:val="21"/>
          <w:highlight w:val="none"/>
        </w:rPr>
        <w:t>投标人具有实行了“三证合一”登记制度改革的新证，视同为持有工商营业执照、组织机构代码证和税务登记证，实行了“五证合一”登记制度改革的新证，视同为持有工商营业执照、组织机构代码证、税务登记证、社保登记证和统计登记证；符合基本资格条件的相关条款（“三证合一”为国发【2015】33号文件规定，2015年10月1日执行；“五证合一”为国发【2016】53号文件规定，2016年10月1日执行）</w:t>
      </w:r>
      <w:r>
        <w:rPr>
          <w:rFonts w:hint="eastAsia" w:asciiTheme="minorEastAsia" w:hAnsiTheme="minorEastAsia" w:eastAsiaTheme="minorEastAsia" w:cstheme="minorEastAsia"/>
          <w:color w:val="auto"/>
          <w:sz w:val="21"/>
          <w:szCs w:val="21"/>
          <w:highlight w:val="none"/>
          <w:lang w:val="en-US" w:eastAsia="zh-CN"/>
        </w:rPr>
        <w:t>实行了“三证合一”或者“五证合一”的，请自行说明</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②根据长沙市财政局《关于政府采购促进中小企业发展若干措施的通知》（长财采购[2022]10号）文件精神，供应商凭《湖南省政府采购供应商资格承诺函》（格式详见响应文件组成）参与政府采购活动，无需提供财务状况报告、依法缴纳税收和社会保障资金的相关文件材料、参加政府采购活动前3年在经营活动中没有重大违法记录的书面声明。③投标人须如实填写</w:t>
      </w:r>
      <w:r>
        <w:rPr>
          <w:rFonts w:hint="eastAsia" w:asciiTheme="minorEastAsia" w:hAnsiTheme="minorEastAsia" w:eastAsiaTheme="minorEastAsia" w:cstheme="minorEastAsia"/>
          <w:color w:val="auto"/>
          <w:sz w:val="21"/>
          <w:szCs w:val="21"/>
          <w:highlight w:val="none"/>
        </w:rPr>
        <w:t>《中小企业声明函》</w:t>
      </w:r>
      <w:r>
        <w:rPr>
          <w:rFonts w:hint="eastAsia" w:asciiTheme="minorEastAsia" w:hAnsiTheme="minorEastAsia" w:eastAsiaTheme="minorEastAsia" w:cstheme="minorEastAsia"/>
          <w:color w:val="auto"/>
          <w:sz w:val="21"/>
          <w:szCs w:val="21"/>
          <w:highlight w:val="none"/>
          <w:lang w:val="en-US" w:eastAsia="zh-CN"/>
        </w:rPr>
        <w:t>（格式详见响应文件组成）</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lang w:val="en-US" w:eastAsia="zh-CN"/>
        </w:rPr>
        <w:t>若</w:t>
      </w:r>
      <w:r>
        <w:rPr>
          <w:rFonts w:hint="eastAsia" w:asciiTheme="minorEastAsia" w:hAnsiTheme="minorEastAsia" w:eastAsiaTheme="minorEastAsia" w:cstheme="minorEastAsia"/>
          <w:color w:val="auto"/>
          <w:sz w:val="21"/>
          <w:szCs w:val="21"/>
          <w:highlight w:val="none"/>
        </w:rPr>
        <w:t>提供的《中小企业声明函》内容不实，属于提供虚假材料谋取成交，依照《中华人民共和国政府采购法》等国家有关规定追究相应责</w:t>
      </w:r>
      <w:r>
        <w:rPr>
          <w:rFonts w:hint="eastAsia" w:asciiTheme="minorEastAsia" w:hAnsiTheme="minorEastAsia" w:eastAsiaTheme="minorEastAsia" w:cstheme="minorEastAsia"/>
          <w:color w:val="auto"/>
          <w:sz w:val="21"/>
          <w:szCs w:val="21"/>
          <w:highlight w:val="none"/>
          <w:lang w:val="en-US" w:eastAsia="zh-CN"/>
        </w:rPr>
        <w:t>任。④</w:t>
      </w:r>
      <w:r>
        <w:rPr>
          <w:rFonts w:hint="eastAsia" w:asciiTheme="minorEastAsia" w:hAnsiTheme="minorEastAsia" w:eastAsiaTheme="minorEastAsia" w:cstheme="minorEastAsia"/>
          <w:color w:val="auto"/>
          <w:sz w:val="21"/>
          <w:szCs w:val="21"/>
          <w:highlight w:val="none"/>
        </w:rPr>
        <w:t>被“信用中国”网站列入失信被执行人和重大税收违法案件当事人名单的、被“中国政府采购网”网站列入政府采购严重违法失信行为记录名单（处罚期限尚未届满的），不得参与本项目的政府采购活动</w:t>
      </w:r>
      <w:r>
        <w:rPr>
          <w:rFonts w:hint="eastAsia" w:asciiTheme="minorEastAsia" w:hAnsiTheme="minorEastAsia" w:eastAsiaTheme="minorEastAsia" w:cstheme="minorEastAsia"/>
          <w:color w:val="auto"/>
          <w:sz w:val="21"/>
          <w:szCs w:val="21"/>
          <w:highlight w:val="none"/>
          <w:lang w:eastAsia="zh-CN"/>
        </w:rPr>
        <w:t>。</w:t>
      </w:r>
    </w:p>
    <w:p>
      <w:pPr>
        <w:spacing w:line="480" w:lineRule="exact"/>
        <w:rPr>
          <w:rFonts w:hint="eastAsia" w:asciiTheme="minorEastAsia" w:hAnsiTheme="minorEastAsia" w:eastAsiaTheme="minorEastAsia" w:cstheme="minorEastAsia"/>
          <w:color w:val="auto"/>
          <w:sz w:val="21"/>
          <w:szCs w:val="21"/>
          <w:highlight w:val="none"/>
          <w:lang w:eastAsia="zh-CN"/>
        </w:rPr>
      </w:pPr>
    </w:p>
    <w:p>
      <w:pPr>
        <w:spacing w:line="480" w:lineRule="exact"/>
        <w:rPr>
          <w:rFonts w:hint="eastAsia" w:asciiTheme="minorEastAsia" w:hAnsiTheme="minorEastAsia" w:eastAsiaTheme="minorEastAsia" w:cstheme="minorEastAsia"/>
          <w:color w:val="auto"/>
          <w:sz w:val="21"/>
          <w:szCs w:val="21"/>
          <w:highlight w:val="none"/>
          <w:lang w:eastAsia="zh-CN"/>
        </w:rPr>
      </w:pPr>
    </w:p>
    <w:p>
      <w:pPr>
        <w:spacing w:line="480" w:lineRule="exact"/>
        <w:rPr>
          <w:rFonts w:hint="eastAsia" w:asciiTheme="minorEastAsia" w:hAnsiTheme="minorEastAsia" w:eastAsiaTheme="minorEastAsia" w:cstheme="minorEastAsia"/>
          <w:color w:val="auto"/>
          <w:sz w:val="21"/>
          <w:szCs w:val="21"/>
          <w:highlight w:val="none"/>
          <w:lang w:eastAsia="zh-CN"/>
        </w:rPr>
      </w:pPr>
    </w:p>
    <w:p>
      <w:pPr>
        <w:spacing w:line="480" w:lineRule="exact"/>
        <w:rPr>
          <w:rFonts w:hint="eastAsia" w:asciiTheme="minorEastAsia" w:hAnsiTheme="minorEastAsia" w:eastAsiaTheme="minorEastAsia" w:cstheme="minorEastAsia"/>
          <w:color w:val="auto"/>
          <w:sz w:val="21"/>
          <w:szCs w:val="21"/>
          <w:highlight w:val="none"/>
          <w:lang w:eastAsia="zh-CN"/>
        </w:rPr>
      </w:pPr>
    </w:p>
    <w:p>
      <w:pPr>
        <w:spacing w:line="480" w:lineRule="exact"/>
        <w:rPr>
          <w:rFonts w:hint="eastAsia" w:ascii="宋体" w:hAnsi="宋体" w:cs="宋体"/>
          <w:b/>
          <w:color w:val="auto"/>
          <w:sz w:val="21"/>
          <w:szCs w:val="21"/>
          <w:highlight w:val="none"/>
        </w:rPr>
      </w:pPr>
      <w:r>
        <w:rPr>
          <w:rFonts w:hint="eastAsia" w:ascii="宋体" w:hAnsi="宋体" w:cs="宋体"/>
          <w:b/>
          <w:color w:val="auto"/>
          <w:sz w:val="21"/>
          <w:szCs w:val="21"/>
          <w:highlight w:val="none"/>
        </w:rPr>
        <w:t xml:space="preserve">附件6     </w:t>
      </w:r>
      <w:r>
        <w:rPr>
          <w:rFonts w:hint="eastAsia" w:ascii="宋体" w:hAnsi="宋体" w:cs="宋体"/>
          <w:b/>
          <w:color w:val="auto"/>
          <w:sz w:val="30"/>
          <w:szCs w:val="30"/>
          <w:highlight w:val="none"/>
        </w:rPr>
        <w:t xml:space="preserve"> 磋商文件规定的特定资格条件证明资料</w:t>
      </w: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备注：提供第二章 磋商须知第3.1款供应商特定资格条件证明资料的复印件。</w:t>
      </w: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spacing w:line="480" w:lineRule="exact"/>
        <w:rPr>
          <w:rFonts w:hint="eastAsia" w:ascii="宋体" w:hAnsi="宋体" w:cs="宋体"/>
          <w:color w:val="auto"/>
          <w:sz w:val="21"/>
          <w:szCs w:val="21"/>
          <w:highlight w:val="none"/>
        </w:rPr>
      </w:pPr>
    </w:p>
    <w:p>
      <w:pPr>
        <w:adjustRightInd w:val="0"/>
        <w:snapToGrid w:val="0"/>
        <w:spacing w:line="360" w:lineRule="auto"/>
        <w:rPr>
          <w:rFonts w:hint="eastAsia" w:ascii="宋体" w:hAnsi="宋体" w:cs="宋体"/>
          <w:b/>
          <w:bCs/>
          <w:color w:val="auto"/>
          <w:sz w:val="21"/>
          <w:szCs w:val="21"/>
          <w:highlight w:val="none"/>
        </w:rPr>
      </w:pPr>
      <w:r>
        <w:rPr>
          <w:rFonts w:hint="eastAsia" w:ascii="宋体" w:hAnsi="宋体" w:cs="宋体"/>
          <w:b/>
          <w:color w:val="auto"/>
          <w:sz w:val="21"/>
          <w:szCs w:val="21"/>
          <w:highlight w:val="none"/>
        </w:rPr>
        <w:t xml:space="preserve">附件7                 </w:t>
      </w:r>
      <w:r>
        <w:rPr>
          <w:rFonts w:hint="eastAsia" w:ascii="宋体" w:hAnsi="宋体" w:cs="宋体"/>
          <w:b/>
          <w:color w:val="auto"/>
          <w:sz w:val="30"/>
          <w:szCs w:val="30"/>
          <w:highlight w:val="none"/>
        </w:rPr>
        <w:t xml:space="preserve"> </w:t>
      </w:r>
      <w:r>
        <w:rPr>
          <w:rFonts w:hint="eastAsia" w:ascii="宋体" w:hAnsi="宋体" w:cs="宋体"/>
          <w:b/>
          <w:bCs/>
          <w:color w:val="auto"/>
          <w:sz w:val="30"/>
          <w:szCs w:val="30"/>
          <w:highlight w:val="none"/>
        </w:rPr>
        <w:t xml:space="preserve">  其它证明资料或说明</w:t>
      </w:r>
    </w:p>
    <w:p>
      <w:pPr>
        <w:adjustRightInd w:val="0"/>
        <w:snapToGrid w:val="0"/>
        <w:spacing w:line="360" w:lineRule="auto"/>
        <w:rPr>
          <w:rFonts w:hint="eastAsia" w:ascii="宋体" w:hAnsi="宋体" w:cs="宋体"/>
          <w:color w:val="auto"/>
          <w:sz w:val="21"/>
          <w:szCs w:val="21"/>
          <w:highlight w:val="none"/>
        </w:rPr>
      </w:pPr>
    </w:p>
    <w:p>
      <w:pPr>
        <w:adjustRightInd w:val="0"/>
        <w:snapToGri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提供磋商文件或评分标准需要提供的相关证明文件复印件。</w:t>
      </w: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pStyle w:val="43"/>
        <w:ind w:left="560" w:firstLine="422"/>
        <w:rPr>
          <w:rFonts w:hint="eastAsia" w:ascii="宋体" w:hAnsi="宋体" w:cs="宋体"/>
          <w:b/>
          <w:color w:val="auto"/>
          <w:szCs w:val="21"/>
          <w:highlight w:val="none"/>
        </w:rPr>
      </w:pPr>
    </w:p>
    <w:p>
      <w:pPr>
        <w:pStyle w:val="43"/>
        <w:ind w:left="560" w:firstLine="422"/>
        <w:rPr>
          <w:rFonts w:hint="eastAsia" w:ascii="宋体" w:hAnsi="宋体" w:cs="宋体"/>
          <w:b/>
          <w:color w:val="auto"/>
          <w:szCs w:val="21"/>
          <w:highlight w:val="none"/>
        </w:rPr>
      </w:pPr>
    </w:p>
    <w:p>
      <w:pPr>
        <w:pStyle w:val="43"/>
        <w:ind w:left="560" w:firstLine="422"/>
        <w:rPr>
          <w:rFonts w:hint="eastAsia" w:ascii="宋体" w:hAnsi="宋体" w:cs="宋体"/>
          <w:b/>
          <w:color w:val="auto"/>
          <w:szCs w:val="21"/>
          <w:highlight w:val="none"/>
        </w:rPr>
      </w:pPr>
    </w:p>
    <w:p>
      <w:pPr>
        <w:pStyle w:val="43"/>
        <w:ind w:left="560" w:firstLine="422"/>
        <w:rPr>
          <w:rFonts w:hint="eastAsia" w:ascii="宋体" w:hAnsi="宋体" w:cs="宋体"/>
          <w:b/>
          <w:color w:val="auto"/>
          <w:szCs w:val="21"/>
          <w:highlight w:val="none"/>
        </w:rPr>
      </w:pPr>
    </w:p>
    <w:p>
      <w:pPr>
        <w:pStyle w:val="43"/>
        <w:ind w:left="560" w:firstLine="422"/>
        <w:rPr>
          <w:rFonts w:hint="eastAsia" w:ascii="宋体" w:hAnsi="宋体" w:cs="宋体"/>
          <w:b/>
          <w:color w:val="auto"/>
          <w:szCs w:val="21"/>
          <w:highlight w:val="none"/>
        </w:rPr>
      </w:pPr>
    </w:p>
    <w:p>
      <w:pPr>
        <w:pStyle w:val="43"/>
        <w:ind w:left="560" w:firstLine="422"/>
        <w:rPr>
          <w:rFonts w:hint="eastAsia" w:ascii="宋体" w:hAnsi="宋体" w:cs="宋体"/>
          <w:b/>
          <w:color w:val="auto"/>
          <w:szCs w:val="21"/>
          <w:highlight w:val="none"/>
        </w:rPr>
      </w:pPr>
    </w:p>
    <w:p>
      <w:pPr>
        <w:pStyle w:val="43"/>
        <w:ind w:left="560" w:firstLine="422"/>
        <w:rPr>
          <w:rFonts w:hint="eastAsia" w:ascii="宋体" w:hAnsi="宋体" w:cs="宋体"/>
          <w:b/>
          <w:color w:val="auto"/>
          <w:szCs w:val="21"/>
          <w:highlight w:val="none"/>
        </w:rPr>
      </w:pPr>
    </w:p>
    <w:p>
      <w:pPr>
        <w:pStyle w:val="43"/>
        <w:ind w:left="560" w:firstLine="422"/>
        <w:rPr>
          <w:rFonts w:hint="eastAsia" w:ascii="宋体" w:hAnsi="宋体" w:cs="宋体"/>
          <w:b/>
          <w:color w:val="auto"/>
          <w:szCs w:val="21"/>
          <w:highlight w:val="none"/>
        </w:rPr>
      </w:pPr>
    </w:p>
    <w:p>
      <w:pPr>
        <w:pStyle w:val="43"/>
        <w:ind w:left="560" w:firstLine="422"/>
        <w:rPr>
          <w:rFonts w:hint="eastAsia" w:ascii="宋体" w:hAnsi="宋体" w:cs="宋体"/>
          <w:b/>
          <w:color w:val="auto"/>
          <w:szCs w:val="21"/>
          <w:highlight w:val="none"/>
        </w:rPr>
      </w:pPr>
    </w:p>
    <w:p>
      <w:pPr>
        <w:pStyle w:val="43"/>
        <w:ind w:left="560" w:firstLine="422"/>
        <w:rPr>
          <w:rFonts w:hint="eastAsia" w:ascii="宋体" w:hAnsi="宋体" w:cs="宋体"/>
          <w:b/>
          <w:color w:val="auto"/>
          <w:szCs w:val="21"/>
          <w:highlight w:val="none"/>
        </w:rPr>
      </w:pPr>
    </w:p>
    <w:p>
      <w:pPr>
        <w:pStyle w:val="43"/>
        <w:ind w:left="560" w:firstLine="422"/>
        <w:rPr>
          <w:rFonts w:hint="eastAsia" w:ascii="宋体" w:hAnsi="宋体" w:cs="宋体"/>
          <w:b/>
          <w:color w:val="auto"/>
          <w:szCs w:val="21"/>
          <w:highlight w:val="none"/>
        </w:rPr>
      </w:pPr>
    </w:p>
    <w:p>
      <w:pPr>
        <w:pStyle w:val="43"/>
        <w:ind w:left="560" w:firstLine="422"/>
        <w:rPr>
          <w:rFonts w:hint="eastAsia" w:ascii="宋体" w:hAnsi="宋体" w:cs="宋体"/>
          <w:b/>
          <w:color w:val="auto"/>
          <w:szCs w:val="21"/>
          <w:highlight w:val="none"/>
        </w:rPr>
      </w:pPr>
    </w:p>
    <w:p>
      <w:pPr>
        <w:pStyle w:val="43"/>
        <w:ind w:left="560" w:firstLine="422"/>
        <w:rPr>
          <w:rFonts w:hint="eastAsia" w:ascii="宋体" w:hAnsi="宋体" w:cs="宋体"/>
          <w:b/>
          <w:color w:val="auto"/>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spacing w:line="360" w:lineRule="auto"/>
        <w:jc w:val="center"/>
        <w:rPr>
          <w:rFonts w:hint="eastAsia" w:ascii="宋体" w:hAnsi="宋体" w:cs="宋体"/>
          <w:b/>
          <w:color w:val="auto"/>
          <w:sz w:val="21"/>
          <w:szCs w:val="21"/>
          <w:highlight w:val="none"/>
        </w:rPr>
      </w:pPr>
    </w:p>
    <w:p>
      <w:pPr>
        <w:adjustRightInd w:val="0"/>
        <w:snapToGrid w:val="0"/>
        <w:rPr>
          <w:rFonts w:hint="eastAsia" w:ascii="宋体" w:hAnsi="宋体" w:cs="宋体"/>
          <w:color w:val="auto"/>
          <w:sz w:val="30"/>
          <w:szCs w:val="30"/>
          <w:highlight w:val="none"/>
        </w:rPr>
      </w:pPr>
      <w:r>
        <w:rPr>
          <w:rFonts w:hint="eastAsia" w:ascii="宋体" w:hAnsi="宋体" w:cs="宋体"/>
          <w:color w:val="auto"/>
          <w:sz w:val="21"/>
          <w:szCs w:val="21"/>
          <w:highlight w:val="none"/>
        </w:rPr>
        <w:t>附件8-1：</w:t>
      </w:r>
    </w:p>
    <w:p>
      <w:pPr>
        <w:adjustRightInd w:val="0"/>
        <w:snapToGrid w:val="0"/>
        <w:spacing w:line="360" w:lineRule="auto"/>
        <w:jc w:val="center"/>
        <w:rPr>
          <w:rFonts w:hint="eastAsia" w:ascii="宋体" w:hAnsi="宋体" w:cs="宋体"/>
          <w:b/>
          <w:color w:val="auto"/>
          <w:sz w:val="30"/>
          <w:szCs w:val="30"/>
          <w:highlight w:val="none"/>
        </w:rPr>
      </w:pPr>
      <w:r>
        <w:rPr>
          <w:rFonts w:hint="eastAsia" w:ascii="宋体" w:hAnsi="宋体" w:cs="宋体"/>
          <w:b/>
          <w:color w:val="auto"/>
          <w:sz w:val="30"/>
          <w:szCs w:val="30"/>
          <w:highlight w:val="none"/>
        </w:rPr>
        <w:t>四、服务方案说明</w:t>
      </w:r>
    </w:p>
    <w:p>
      <w:pPr>
        <w:adjustRightInd w:val="0"/>
        <w:snapToGrid w:val="0"/>
        <w:rPr>
          <w:rFonts w:hint="eastAsia" w:ascii="宋体" w:hAnsi="宋体" w:cs="宋体"/>
          <w:color w:val="auto"/>
          <w:sz w:val="21"/>
          <w:szCs w:val="21"/>
          <w:highlight w:val="none"/>
        </w:rPr>
      </w:pPr>
    </w:p>
    <w:p>
      <w:pPr>
        <w:adjustRightInd w:val="0"/>
        <w:snapToGri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服务类项目供应商应根据第四章规定和评标标准要求编写项目实施服务方案（格式自拟）。</w:t>
      </w: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pStyle w:val="27"/>
        <w:adjustRightInd w:val="0"/>
        <w:snapToGrid w:val="0"/>
        <w:spacing w:line="360" w:lineRule="auto"/>
        <w:outlineLvl w:val="0"/>
        <w:rPr>
          <w:rFonts w:hint="eastAsia" w:ascii="宋体" w:hAnsi="宋体" w:cs="宋体"/>
          <w:bCs/>
          <w:color w:val="auto"/>
          <w:sz w:val="21"/>
          <w:szCs w:val="21"/>
          <w:highlight w:val="none"/>
        </w:rPr>
      </w:pPr>
      <w:r>
        <w:rPr>
          <w:rFonts w:hint="eastAsia" w:ascii="宋体" w:hAnsi="宋体" w:cs="宋体"/>
          <w:color w:val="auto"/>
          <w:sz w:val="21"/>
          <w:szCs w:val="21"/>
          <w:highlight w:val="none"/>
        </w:rPr>
        <w:t>供应商名称：</w:t>
      </w:r>
      <w:r>
        <w:rPr>
          <w:rFonts w:hint="eastAsia" w:ascii="宋体" w:hAnsi="宋体" w:cs="宋体"/>
          <w:color w:val="auto"/>
          <w:sz w:val="21"/>
          <w:szCs w:val="21"/>
          <w:highlight w:val="none"/>
          <w:u w:val="single"/>
        </w:rPr>
        <w:t xml:space="preserve">                </w:t>
      </w:r>
    </w:p>
    <w:p>
      <w:pPr>
        <w:adjustRightInd w:val="0"/>
        <w:snapToGrid w:val="0"/>
        <w:spacing w:line="360" w:lineRule="auto"/>
        <w:outlineLvl w:val="0"/>
        <w:rPr>
          <w:rFonts w:hint="eastAsia" w:ascii="宋体" w:hAnsi="宋体" w:cs="宋体"/>
          <w:color w:val="auto"/>
          <w:sz w:val="21"/>
          <w:szCs w:val="21"/>
          <w:highlight w:val="none"/>
        </w:rPr>
      </w:pPr>
      <w:r>
        <w:rPr>
          <w:rFonts w:hint="eastAsia" w:ascii="宋体" w:hAnsi="宋体" w:cs="宋体"/>
          <w:color w:val="auto"/>
          <w:sz w:val="21"/>
          <w:szCs w:val="21"/>
          <w:highlight w:val="none"/>
        </w:rPr>
        <w:t>法定代表人或其委托代理人(签字)：</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_</w:t>
      </w:r>
    </w:p>
    <w:p>
      <w:pPr>
        <w:spacing w:line="36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日期：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年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月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日</w:t>
      </w:r>
    </w:p>
    <w:p>
      <w:pPr>
        <w:adjustRightInd w:val="0"/>
        <w:snapToGrid w:val="0"/>
        <w:spacing w:line="360" w:lineRule="auto"/>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pStyle w:val="43"/>
        <w:ind w:left="560"/>
        <w:rPr>
          <w:rFonts w:hint="eastAsia" w:ascii="宋体" w:hAnsi="宋体" w:cs="宋体"/>
          <w:color w:val="auto"/>
          <w:szCs w:val="21"/>
          <w:highlight w:val="none"/>
        </w:rPr>
      </w:pPr>
    </w:p>
    <w:p>
      <w:pPr>
        <w:pStyle w:val="43"/>
        <w:ind w:left="560"/>
        <w:rPr>
          <w:rFonts w:hint="eastAsia" w:ascii="宋体" w:hAnsi="宋体" w:cs="宋体"/>
          <w:color w:val="auto"/>
          <w:szCs w:val="21"/>
          <w:highlight w:val="none"/>
        </w:rPr>
      </w:pPr>
    </w:p>
    <w:p>
      <w:pPr>
        <w:pStyle w:val="43"/>
        <w:ind w:left="560"/>
        <w:rPr>
          <w:rFonts w:hint="eastAsia" w:ascii="宋体" w:hAnsi="宋体" w:cs="宋体"/>
          <w:color w:val="auto"/>
          <w:szCs w:val="21"/>
          <w:highlight w:val="none"/>
        </w:rPr>
      </w:pPr>
    </w:p>
    <w:p>
      <w:pPr>
        <w:pStyle w:val="43"/>
        <w:ind w:left="560"/>
        <w:rPr>
          <w:rFonts w:hint="eastAsia" w:ascii="宋体" w:hAnsi="宋体" w:cs="宋体"/>
          <w:color w:val="auto"/>
          <w:szCs w:val="21"/>
          <w:highlight w:val="none"/>
        </w:rPr>
      </w:pPr>
    </w:p>
    <w:p>
      <w:pPr>
        <w:pStyle w:val="43"/>
        <w:ind w:left="560"/>
        <w:rPr>
          <w:rFonts w:hint="eastAsia" w:ascii="宋体" w:hAnsi="宋体" w:cs="宋体"/>
          <w:color w:val="auto"/>
          <w:szCs w:val="21"/>
          <w:highlight w:val="none"/>
        </w:rPr>
      </w:pPr>
    </w:p>
    <w:p>
      <w:pPr>
        <w:pStyle w:val="43"/>
        <w:ind w:left="560"/>
        <w:rPr>
          <w:rFonts w:hint="eastAsia" w:ascii="宋体" w:hAnsi="宋体" w:cs="宋体"/>
          <w:color w:val="auto"/>
          <w:szCs w:val="21"/>
          <w:highlight w:val="none"/>
        </w:rPr>
      </w:pPr>
    </w:p>
    <w:p>
      <w:pPr>
        <w:pStyle w:val="43"/>
        <w:ind w:left="560"/>
        <w:rPr>
          <w:rFonts w:hint="eastAsia" w:ascii="宋体" w:hAnsi="宋体" w:cs="宋体"/>
          <w:color w:val="auto"/>
          <w:szCs w:val="21"/>
          <w:highlight w:val="none"/>
        </w:rPr>
      </w:pPr>
    </w:p>
    <w:p>
      <w:pPr>
        <w:pStyle w:val="43"/>
        <w:ind w:left="560"/>
        <w:rPr>
          <w:rFonts w:hint="eastAsia" w:ascii="宋体" w:hAnsi="宋体" w:cs="宋体"/>
          <w:color w:val="auto"/>
          <w:szCs w:val="21"/>
          <w:highlight w:val="none"/>
        </w:rPr>
      </w:pPr>
    </w:p>
    <w:p>
      <w:pPr>
        <w:pStyle w:val="43"/>
        <w:ind w:left="560"/>
        <w:rPr>
          <w:rFonts w:hint="eastAsia" w:ascii="宋体" w:hAnsi="宋体" w:cs="宋体"/>
          <w:color w:val="auto"/>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p>
    <w:p>
      <w:pPr>
        <w:adjustRightInd w:val="0"/>
        <w:snapToGrid w:val="0"/>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附件8-2：               </w:t>
      </w:r>
    </w:p>
    <w:p>
      <w:pPr>
        <w:adjustRightInd w:val="0"/>
        <w:snapToGrid w:val="0"/>
        <w:jc w:val="center"/>
        <w:rPr>
          <w:rFonts w:hint="eastAsia" w:ascii="宋体" w:hAnsi="宋体" w:cs="宋体"/>
          <w:b/>
          <w:bCs/>
          <w:color w:val="auto"/>
          <w:sz w:val="30"/>
          <w:szCs w:val="30"/>
          <w:highlight w:val="none"/>
        </w:rPr>
      </w:pPr>
      <w:r>
        <w:rPr>
          <w:rFonts w:hint="eastAsia" w:ascii="宋体" w:hAnsi="宋体" w:cs="宋体"/>
          <w:b/>
          <w:bCs/>
          <w:color w:val="auto"/>
          <w:sz w:val="30"/>
          <w:szCs w:val="30"/>
          <w:highlight w:val="none"/>
        </w:rPr>
        <w:t>主要人员简历表</w:t>
      </w:r>
    </w:p>
    <w:p>
      <w:pPr>
        <w:spacing w:line="360" w:lineRule="atLeast"/>
        <w:jc w:val="center"/>
        <w:rPr>
          <w:rFonts w:hint="eastAsia" w:ascii="宋体" w:hAnsi="宋体" w:cs="宋体"/>
          <w:color w:val="auto"/>
          <w:sz w:val="21"/>
          <w:szCs w:val="21"/>
          <w:highlight w:val="none"/>
        </w:rPr>
      </w:pPr>
    </w:p>
    <w:tbl>
      <w:tblPr>
        <w:tblStyle w:val="44"/>
        <w:tblW w:w="0" w:type="auto"/>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9"/>
        <w:gridCol w:w="802"/>
        <w:gridCol w:w="2564"/>
        <w:gridCol w:w="411"/>
        <w:gridCol w:w="1458"/>
        <w:gridCol w:w="562"/>
        <w:gridCol w:w="172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98" w:hRule="exact"/>
        </w:trPr>
        <w:tc>
          <w:tcPr>
            <w:tcW w:w="2111" w:type="dxa"/>
            <w:gridSpan w:val="2"/>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   名</w:t>
            </w:r>
          </w:p>
        </w:tc>
        <w:tc>
          <w:tcPr>
            <w:tcW w:w="2564"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431" w:type="dxa"/>
            <w:gridSpan w:val="3"/>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性  别</w:t>
            </w:r>
          </w:p>
        </w:tc>
        <w:tc>
          <w:tcPr>
            <w:tcW w:w="1728" w:type="dxa"/>
            <w:noWrap w:val="0"/>
            <w:vAlign w:val="center"/>
          </w:tcPr>
          <w:p>
            <w:pPr>
              <w:spacing w:line="360" w:lineRule="atLeast"/>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19" w:hRule="exact"/>
        </w:trPr>
        <w:tc>
          <w:tcPr>
            <w:tcW w:w="2111" w:type="dxa"/>
            <w:gridSpan w:val="2"/>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   务</w:t>
            </w:r>
          </w:p>
        </w:tc>
        <w:tc>
          <w:tcPr>
            <w:tcW w:w="2564"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431" w:type="dxa"/>
            <w:gridSpan w:val="3"/>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  称</w:t>
            </w:r>
          </w:p>
        </w:tc>
        <w:tc>
          <w:tcPr>
            <w:tcW w:w="1728" w:type="dxa"/>
            <w:noWrap w:val="0"/>
            <w:vAlign w:val="center"/>
          </w:tcPr>
          <w:p>
            <w:pPr>
              <w:spacing w:line="360" w:lineRule="atLeast"/>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27" w:hRule="exact"/>
        </w:trPr>
        <w:tc>
          <w:tcPr>
            <w:tcW w:w="2111" w:type="dxa"/>
            <w:gridSpan w:val="2"/>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毕业学校、专业</w:t>
            </w:r>
          </w:p>
        </w:tc>
        <w:tc>
          <w:tcPr>
            <w:tcW w:w="6723" w:type="dxa"/>
            <w:gridSpan w:val="5"/>
            <w:noWrap w:val="0"/>
            <w:vAlign w:val="center"/>
          </w:tcPr>
          <w:p>
            <w:pPr>
              <w:spacing w:line="360" w:lineRule="atLeast"/>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79" w:hRule="exact"/>
        </w:trPr>
        <w:tc>
          <w:tcPr>
            <w:tcW w:w="2111" w:type="dxa"/>
            <w:gridSpan w:val="2"/>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身份证号</w:t>
            </w:r>
          </w:p>
        </w:tc>
        <w:tc>
          <w:tcPr>
            <w:tcW w:w="2564"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431" w:type="dxa"/>
            <w:gridSpan w:val="3"/>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拟在本合同任职</w:t>
            </w:r>
          </w:p>
        </w:tc>
        <w:tc>
          <w:tcPr>
            <w:tcW w:w="1728" w:type="dxa"/>
            <w:noWrap w:val="0"/>
            <w:vAlign w:val="center"/>
          </w:tcPr>
          <w:p>
            <w:pPr>
              <w:spacing w:line="360" w:lineRule="atLeast"/>
              <w:ind w:right="-140" w:rightChars="-50"/>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79" w:hRule="exact"/>
        </w:trPr>
        <w:tc>
          <w:tcPr>
            <w:tcW w:w="2111" w:type="dxa"/>
            <w:gridSpan w:val="2"/>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执业资格证</w:t>
            </w:r>
          </w:p>
        </w:tc>
        <w:tc>
          <w:tcPr>
            <w:tcW w:w="2564"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431" w:type="dxa"/>
            <w:gridSpan w:val="3"/>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执业资格证书号</w:t>
            </w:r>
          </w:p>
        </w:tc>
        <w:tc>
          <w:tcPr>
            <w:tcW w:w="1728" w:type="dxa"/>
            <w:noWrap w:val="0"/>
            <w:vAlign w:val="center"/>
          </w:tcPr>
          <w:p>
            <w:pP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05" w:hRule="exact"/>
        </w:trPr>
        <w:tc>
          <w:tcPr>
            <w:tcW w:w="8834" w:type="dxa"/>
            <w:gridSpan w:val="7"/>
            <w:noWrap w:val="0"/>
            <w:vAlign w:val="center"/>
          </w:tcPr>
          <w:p>
            <w:pPr>
              <w:spacing w:line="360" w:lineRule="atLeas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近三年承担项目情况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时间</w:t>
            </w:r>
          </w:p>
        </w:tc>
        <w:tc>
          <w:tcPr>
            <w:tcW w:w="3777" w:type="dxa"/>
            <w:gridSpan w:val="3"/>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类似项目名称</w:t>
            </w:r>
          </w:p>
        </w:tc>
        <w:tc>
          <w:tcPr>
            <w:tcW w:w="1458" w:type="dxa"/>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担任职务</w:t>
            </w:r>
          </w:p>
        </w:tc>
        <w:tc>
          <w:tcPr>
            <w:tcW w:w="2290" w:type="dxa"/>
            <w:gridSpan w:val="2"/>
            <w:noWrap w:val="0"/>
            <w:vAlign w:val="center"/>
          </w:tcPr>
          <w:p>
            <w:pPr>
              <w:spacing w:line="360" w:lineRule="atLeas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项目单位名称及电话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3777" w:type="dxa"/>
            <w:gridSpan w:val="3"/>
            <w:noWrap w:val="0"/>
            <w:vAlign w:val="center"/>
          </w:tcPr>
          <w:p>
            <w:pPr>
              <w:spacing w:line="360" w:lineRule="atLeast"/>
              <w:jc w:val="center"/>
              <w:rPr>
                <w:rFonts w:hint="eastAsia" w:ascii="宋体" w:hAnsi="宋体" w:eastAsia="宋体" w:cs="宋体"/>
                <w:color w:val="auto"/>
                <w:sz w:val="21"/>
                <w:szCs w:val="21"/>
                <w:highlight w:val="none"/>
              </w:rPr>
            </w:pPr>
          </w:p>
        </w:tc>
        <w:tc>
          <w:tcPr>
            <w:tcW w:w="1458"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290" w:type="dxa"/>
            <w:gridSpan w:val="2"/>
            <w:noWrap w:val="0"/>
            <w:vAlign w:val="center"/>
          </w:tcPr>
          <w:p>
            <w:pPr>
              <w:spacing w:line="360" w:lineRule="atLeast"/>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3777" w:type="dxa"/>
            <w:gridSpan w:val="3"/>
            <w:noWrap w:val="0"/>
            <w:vAlign w:val="center"/>
          </w:tcPr>
          <w:p>
            <w:pPr>
              <w:spacing w:line="360" w:lineRule="atLeast"/>
              <w:jc w:val="center"/>
              <w:rPr>
                <w:rFonts w:hint="eastAsia" w:ascii="宋体" w:hAnsi="宋体" w:eastAsia="宋体" w:cs="宋体"/>
                <w:color w:val="auto"/>
                <w:sz w:val="21"/>
                <w:szCs w:val="21"/>
                <w:highlight w:val="none"/>
              </w:rPr>
            </w:pPr>
          </w:p>
        </w:tc>
        <w:tc>
          <w:tcPr>
            <w:tcW w:w="1458"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290" w:type="dxa"/>
            <w:gridSpan w:val="2"/>
            <w:noWrap w:val="0"/>
            <w:vAlign w:val="center"/>
          </w:tcPr>
          <w:p>
            <w:pPr>
              <w:spacing w:line="360" w:lineRule="atLeast"/>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3777" w:type="dxa"/>
            <w:gridSpan w:val="3"/>
            <w:noWrap w:val="0"/>
            <w:vAlign w:val="center"/>
          </w:tcPr>
          <w:p>
            <w:pPr>
              <w:spacing w:line="360" w:lineRule="atLeast"/>
              <w:jc w:val="center"/>
              <w:rPr>
                <w:rFonts w:hint="eastAsia" w:ascii="宋体" w:hAnsi="宋体" w:eastAsia="宋体" w:cs="宋体"/>
                <w:color w:val="auto"/>
                <w:sz w:val="21"/>
                <w:szCs w:val="21"/>
                <w:highlight w:val="none"/>
              </w:rPr>
            </w:pPr>
          </w:p>
        </w:tc>
        <w:tc>
          <w:tcPr>
            <w:tcW w:w="1458"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290" w:type="dxa"/>
            <w:gridSpan w:val="2"/>
            <w:noWrap w:val="0"/>
            <w:vAlign w:val="center"/>
          </w:tcPr>
          <w:p>
            <w:pPr>
              <w:spacing w:line="360" w:lineRule="atLeast"/>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3777" w:type="dxa"/>
            <w:gridSpan w:val="3"/>
            <w:noWrap w:val="0"/>
            <w:vAlign w:val="center"/>
          </w:tcPr>
          <w:p>
            <w:pPr>
              <w:spacing w:line="360" w:lineRule="atLeast"/>
              <w:jc w:val="center"/>
              <w:rPr>
                <w:rFonts w:hint="eastAsia" w:ascii="宋体" w:hAnsi="宋体" w:eastAsia="宋体" w:cs="宋体"/>
                <w:color w:val="auto"/>
                <w:sz w:val="21"/>
                <w:szCs w:val="21"/>
                <w:highlight w:val="none"/>
              </w:rPr>
            </w:pPr>
          </w:p>
        </w:tc>
        <w:tc>
          <w:tcPr>
            <w:tcW w:w="1458"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290" w:type="dxa"/>
            <w:gridSpan w:val="2"/>
            <w:noWrap w:val="0"/>
            <w:vAlign w:val="center"/>
          </w:tcPr>
          <w:p>
            <w:pPr>
              <w:spacing w:line="360" w:lineRule="atLeast"/>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3777" w:type="dxa"/>
            <w:gridSpan w:val="3"/>
            <w:noWrap w:val="0"/>
            <w:vAlign w:val="center"/>
          </w:tcPr>
          <w:p>
            <w:pPr>
              <w:spacing w:line="360" w:lineRule="atLeast"/>
              <w:jc w:val="center"/>
              <w:rPr>
                <w:rFonts w:hint="eastAsia" w:ascii="宋体" w:hAnsi="宋体" w:eastAsia="宋体" w:cs="宋体"/>
                <w:color w:val="auto"/>
                <w:sz w:val="21"/>
                <w:szCs w:val="21"/>
                <w:highlight w:val="none"/>
              </w:rPr>
            </w:pPr>
          </w:p>
        </w:tc>
        <w:tc>
          <w:tcPr>
            <w:tcW w:w="1458"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290" w:type="dxa"/>
            <w:gridSpan w:val="2"/>
            <w:noWrap w:val="0"/>
            <w:vAlign w:val="center"/>
          </w:tcPr>
          <w:p>
            <w:pPr>
              <w:spacing w:line="360" w:lineRule="atLeast"/>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3777" w:type="dxa"/>
            <w:gridSpan w:val="3"/>
            <w:noWrap w:val="0"/>
            <w:vAlign w:val="center"/>
          </w:tcPr>
          <w:p>
            <w:pPr>
              <w:spacing w:line="360" w:lineRule="atLeast"/>
              <w:jc w:val="center"/>
              <w:rPr>
                <w:rFonts w:hint="eastAsia" w:ascii="宋体" w:hAnsi="宋体" w:eastAsia="宋体" w:cs="宋体"/>
                <w:color w:val="auto"/>
                <w:sz w:val="21"/>
                <w:szCs w:val="21"/>
                <w:highlight w:val="none"/>
              </w:rPr>
            </w:pPr>
          </w:p>
        </w:tc>
        <w:tc>
          <w:tcPr>
            <w:tcW w:w="1458"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290" w:type="dxa"/>
            <w:gridSpan w:val="2"/>
            <w:noWrap w:val="0"/>
            <w:vAlign w:val="center"/>
          </w:tcPr>
          <w:p>
            <w:pPr>
              <w:spacing w:line="360" w:lineRule="atLeast"/>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3777" w:type="dxa"/>
            <w:gridSpan w:val="3"/>
            <w:noWrap w:val="0"/>
            <w:vAlign w:val="center"/>
          </w:tcPr>
          <w:p>
            <w:pPr>
              <w:spacing w:line="360" w:lineRule="atLeast"/>
              <w:jc w:val="center"/>
              <w:rPr>
                <w:rFonts w:hint="eastAsia" w:ascii="宋体" w:hAnsi="宋体" w:eastAsia="宋体" w:cs="宋体"/>
                <w:color w:val="auto"/>
                <w:sz w:val="21"/>
                <w:szCs w:val="21"/>
                <w:highlight w:val="none"/>
              </w:rPr>
            </w:pPr>
          </w:p>
        </w:tc>
        <w:tc>
          <w:tcPr>
            <w:tcW w:w="1458"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290" w:type="dxa"/>
            <w:gridSpan w:val="2"/>
            <w:noWrap w:val="0"/>
            <w:vAlign w:val="center"/>
          </w:tcPr>
          <w:p>
            <w:pPr>
              <w:spacing w:line="360" w:lineRule="atLeast"/>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3777" w:type="dxa"/>
            <w:gridSpan w:val="3"/>
            <w:noWrap w:val="0"/>
            <w:vAlign w:val="center"/>
          </w:tcPr>
          <w:p>
            <w:pPr>
              <w:spacing w:line="360" w:lineRule="atLeast"/>
              <w:jc w:val="center"/>
              <w:rPr>
                <w:rFonts w:hint="eastAsia" w:ascii="宋体" w:hAnsi="宋体" w:eastAsia="宋体" w:cs="宋体"/>
                <w:color w:val="auto"/>
                <w:sz w:val="21"/>
                <w:szCs w:val="21"/>
                <w:highlight w:val="none"/>
              </w:rPr>
            </w:pPr>
          </w:p>
        </w:tc>
        <w:tc>
          <w:tcPr>
            <w:tcW w:w="1458"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290" w:type="dxa"/>
            <w:gridSpan w:val="2"/>
            <w:noWrap w:val="0"/>
            <w:vAlign w:val="center"/>
          </w:tcPr>
          <w:p>
            <w:pPr>
              <w:spacing w:line="360" w:lineRule="atLeast"/>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3777" w:type="dxa"/>
            <w:gridSpan w:val="3"/>
            <w:noWrap w:val="0"/>
            <w:vAlign w:val="center"/>
          </w:tcPr>
          <w:p>
            <w:pPr>
              <w:spacing w:line="360" w:lineRule="atLeast"/>
              <w:jc w:val="center"/>
              <w:rPr>
                <w:rFonts w:hint="eastAsia" w:ascii="宋体" w:hAnsi="宋体" w:eastAsia="宋体" w:cs="宋体"/>
                <w:color w:val="auto"/>
                <w:sz w:val="21"/>
                <w:szCs w:val="21"/>
                <w:highlight w:val="none"/>
              </w:rPr>
            </w:pPr>
          </w:p>
        </w:tc>
        <w:tc>
          <w:tcPr>
            <w:tcW w:w="1458" w:type="dxa"/>
            <w:noWrap w:val="0"/>
            <w:vAlign w:val="center"/>
          </w:tcPr>
          <w:p>
            <w:pPr>
              <w:spacing w:line="360" w:lineRule="atLeast"/>
              <w:jc w:val="center"/>
              <w:rPr>
                <w:rFonts w:hint="eastAsia" w:ascii="宋体" w:hAnsi="宋体" w:eastAsia="宋体" w:cs="宋体"/>
                <w:color w:val="auto"/>
                <w:sz w:val="21"/>
                <w:szCs w:val="21"/>
                <w:highlight w:val="none"/>
              </w:rPr>
            </w:pPr>
          </w:p>
        </w:tc>
        <w:tc>
          <w:tcPr>
            <w:tcW w:w="2290" w:type="dxa"/>
            <w:gridSpan w:val="2"/>
            <w:noWrap w:val="0"/>
            <w:vAlign w:val="center"/>
          </w:tcPr>
          <w:p>
            <w:pPr>
              <w:spacing w:line="360" w:lineRule="atLeast"/>
              <w:jc w:val="center"/>
              <w:rPr>
                <w:rFonts w:hint="eastAsia" w:ascii="宋体" w:hAnsi="宋体" w:eastAsia="宋体" w:cs="宋体"/>
                <w:color w:val="auto"/>
                <w:sz w:val="21"/>
                <w:szCs w:val="21"/>
                <w:highlight w:val="none"/>
              </w:rPr>
            </w:pPr>
          </w:p>
        </w:tc>
      </w:tr>
    </w:tbl>
    <w:p>
      <w:pPr>
        <w:spacing w:line="360" w:lineRule="atLeast"/>
        <w:rPr>
          <w:rFonts w:hint="eastAsia" w:ascii="宋体" w:hAnsi="宋体" w:cs="宋体"/>
          <w:color w:val="auto"/>
          <w:sz w:val="21"/>
          <w:szCs w:val="21"/>
          <w:highlight w:val="none"/>
        </w:rPr>
      </w:pPr>
      <w:r>
        <w:rPr>
          <w:rFonts w:hint="eastAsia" w:ascii="宋体" w:hAnsi="宋体" w:cs="宋体"/>
          <w:color w:val="auto"/>
          <w:sz w:val="21"/>
          <w:szCs w:val="21"/>
          <w:highlight w:val="none"/>
        </w:rPr>
        <w:t>说明：主要人员证书、类似项目证明资料等按第二章第42.1款或第四章要求提供。</w:t>
      </w:r>
    </w:p>
    <w:p>
      <w:pPr>
        <w:adjustRightInd w:val="0"/>
        <w:snapToGrid w:val="0"/>
        <w:spacing w:line="360" w:lineRule="auto"/>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pStyle w:val="27"/>
        <w:adjustRightInd w:val="0"/>
        <w:snapToGrid w:val="0"/>
        <w:spacing w:line="360" w:lineRule="auto"/>
        <w:outlineLvl w:val="0"/>
        <w:rPr>
          <w:rFonts w:hint="eastAsia" w:ascii="宋体" w:hAnsi="宋体" w:cs="宋体"/>
          <w:bCs/>
          <w:color w:val="auto"/>
          <w:sz w:val="21"/>
          <w:szCs w:val="21"/>
          <w:highlight w:val="none"/>
        </w:rPr>
      </w:pPr>
      <w:r>
        <w:rPr>
          <w:rFonts w:hint="eastAsia" w:ascii="宋体" w:hAnsi="宋体" w:cs="宋体"/>
          <w:color w:val="auto"/>
          <w:sz w:val="21"/>
          <w:szCs w:val="21"/>
          <w:highlight w:val="none"/>
        </w:rPr>
        <w:t>供应商名称：</w:t>
      </w:r>
      <w:r>
        <w:rPr>
          <w:rFonts w:hint="eastAsia" w:ascii="宋体" w:hAnsi="宋体" w:cs="宋体"/>
          <w:color w:val="auto"/>
          <w:sz w:val="21"/>
          <w:szCs w:val="21"/>
          <w:highlight w:val="none"/>
          <w:u w:val="single"/>
        </w:rPr>
        <w:t xml:space="preserve">                </w:t>
      </w:r>
    </w:p>
    <w:p>
      <w:pPr>
        <w:adjustRightInd w:val="0"/>
        <w:snapToGrid w:val="0"/>
        <w:spacing w:line="360" w:lineRule="auto"/>
        <w:outlineLvl w:val="0"/>
        <w:rPr>
          <w:rFonts w:hint="eastAsia" w:ascii="宋体" w:hAnsi="宋体" w:cs="宋体"/>
          <w:color w:val="auto"/>
          <w:sz w:val="21"/>
          <w:szCs w:val="21"/>
          <w:highlight w:val="none"/>
        </w:rPr>
      </w:pPr>
      <w:r>
        <w:rPr>
          <w:rFonts w:hint="eastAsia" w:ascii="宋体" w:hAnsi="宋体" w:cs="宋体"/>
          <w:color w:val="auto"/>
          <w:sz w:val="21"/>
          <w:szCs w:val="21"/>
          <w:highlight w:val="none"/>
        </w:rPr>
        <w:t>法定代表人或其委托代理人(签字)：</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_</w:t>
      </w:r>
    </w:p>
    <w:p>
      <w:pPr>
        <w:spacing w:line="36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日期：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年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月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日</w:t>
      </w:r>
    </w:p>
    <w:p>
      <w:pPr>
        <w:adjustRightInd w:val="0"/>
        <w:snapToGrid w:val="0"/>
        <w:spacing w:line="360" w:lineRule="auto"/>
        <w:rPr>
          <w:rFonts w:hint="eastAsia" w:ascii="宋体" w:hAnsi="宋体" w:cs="宋体"/>
          <w:bCs/>
          <w:color w:val="auto"/>
          <w:sz w:val="21"/>
          <w:szCs w:val="21"/>
          <w:highlight w:val="none"/>
        </w:rPr>
      </w:pPr>
    </w:p>
    <w:p>
      <w:pPr>
        <w:adjustRightInd w:val="0"/>
        <w:snapToGrid w:val="0"/>
        <w:spacing w:line="360" w:lineRule="auto"/>
        <w:jc w:val="center"/>
        <w:outlineLvl w:val="0"/>
        <w:rPr>
          <w:rFonts w:hint="eastAsia" w:ascii="宋体" w:hAnsi="宋体" w:cs="宋体"/>
          <w:b/>
          <w:color w:val="auto"/>
          <w:sz w:val="21"/>
          <w:szCs w:val="21"/>
          <w:highlight w:val="none"/>
        </w:rPr>
      </w:pPr>
    </w:p>
    <w:p>
      <w:pPr>
        <w:adjustRightInd w:val="0"/>
        <w:snapToGrid w:val="0"/>
        <w:spacing w:line="360" w:lineRule="auto"/>
        <w:jc w:val="center"/>
        <w:outlineLvl w:val="0"/>
        <w:rPr>
          <w:rFonts w:hint="eastAsia" w:ascii="宋体" w:hAnsi="宋体" w:cs="宋体"/>
          <w:b/>
          <w:color w:val="auto"/>
          <w:sz w:val="21"/>
          <w:szCs w:val="21"/>
          <w:highlight w:val="none"/>
        </w:rPr>
      </w:pPr>
    </w:p>
    <w:p>
      <w:pPr>
        <w:adjustRightInd w:val="0"/>
        <w:snapToGrid w:val="0"/>
        <w:spacing w:line="360" w:lineRule="auto"/>
        <w:jc w:val="center"/>
        <w:outlineLvl w:val="0"/>
        <w:rPr>
          <w:rFonts w:hint="eastAsia" w:ascii="宋体" w:hAnsi="宋体" w:cs="宋体"/>
          <w:b/>
          <w:color w:val="auto"/>
          <w:sz w:val="30"/>
          <w:szCs w:val="30"/>
          <w:highlight w:val="none"/>
        </w:rPr>
      </w:pPr>
      <w:r>
        <w:rPr>
          <w:rFonts w:hint="eastAsia" w:ascii="宋体" w:hAnsi="宋体" w:cs="宋体"/>
          <w:b/>
          <w:color w:val="auto"/>
          <w:sz w:val="30"/>
          <w:szCs w:val="30"/>
          <w:highlight w:val="none"/>
        </w:rPr>
        <w:t>五、技术/商务响应与偏离表</w:t>
      </w:r>
    </w:p>
    <w:p>
      <w:pPr>
        <w:adjustRightInd w:val="0"/>
        <w:snapToGrid w:val="0"/>
        <w:ind w:left="-117" w:leftChars="-42" w:firstLine="315" w:firstLineChars="150"/>
        <w:rPr>
          <w:rFonts w:hint="eastAsia" w:ascii="宋体" w:hAnsi="宋体" w:cs="宋体"/>
          <w:color w:val="auto"/>
          <w:sz w:val="21"/>
          <w:szCs w:val="21"/>
          <w:highlight w:val="none"/>
          <w:u w:val="single"/>
        </w:rPr>
      </w:pPr>
    </w:p>
    <w:tbl>
      <w:tblPr>
        <w:tblStyle w:val="44"/>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34"/>
        <w:gridCol w:w="1685"/>
        <w:gridCol w:w="1948"/>
        <w:gridCol w:w="2600"/>
        <w:gridCol w:w="1214"/>
        <w:gridCol w:w="66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634" w:type="dxa"/>
            <w:noWrap w:val="0"/>
            <w:vAlign w:val="center"/>
          </w:tcPr>
          <w:p>
            <w:pPr>
              <w:adjustRightInd w:val="0"/>
              <w:snapToGrid w:val="0"/>
              <w:ind w:left="-117" w:leftChars="-42"/>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序号</w:t>
            </w:r>
          </w:p>
        </w:tc>
        <w:tc>
          <w:tcPr>
            <w:tcW w:w="1685"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磋商文件条目号</w:t>
            </w:r>
          </w:p>
        </w:tc>
        <w:tc>
          <w:tcPr>
            <w:tcW w:w="1948"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采购规格/商务条款</w:t>
            </w:r>
          </w:p>
        </w:tc>
        <w:tc>
          <w:tcPr>
            <w:tcW w:w="2600"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响应文件的规格/商务条款</w:t>
            </w:r>
          </w:p>
        </w:tc>
        <w:tc>
          <w:tcPr>
            <w:tcW w:w="1214"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响应与偏离</w:t>
            </w:r>
          </w:p>
        </w:tc>
        <w:tc>
          <w:tcPr>
            <w:tcW w:w="661"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117" w:leftChars="-42"/>
              <w:jc w:val="center"/>
              <w:rPr>
                <w:rFonts w:hint="eastAsia" w:ascii="宋体" w:hAnsi="宋体" w:eastAsia="宋体" w:cs="宋体"/>
                <w:color w:val="auto"/>
                <w:sz w:val="21"/>
                <w:szCs w:val="21"/>
                <w:highlight w:val="none"/>
              </w:rPr>
            </w:pPr>
          </w:p>
        </w:tc>
        <w:tc>
          <w:tcPr>
            <w:tcW w:w="1685"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1948"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2600"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1214"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661"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117" w:leftChars="-42"/>
              <w:jc w:val="center"/>
              <w:rPr>
                <w:rFonts w:hint="eastAsia" w:ascii="宋体" w:hAnsi="宋体" w:eastAsia="宋体" w:cs="宋体"/>
                <w:color w:val="auto"/>
                <w:sz w:val="21"/>
                <w:szCs w:val="21"/>
                <w:highlight w:val="none"/>
              </w:rPr>
            </w:pPr>
          </w:p>
        </w:tc>
        <w:tc>
          <w:tcPr>
            <w:tcW w:w="1685"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1948"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2600"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1214"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661"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117" w:leftChars="-42"/>
              <w:jc w:val="center"/>
              <w:rPr>
                <w:rFonts w:hint="eastAsia" w:ascii="宋体" w:hAnsi="宋体" w:eastAsia="宋体" w:cs="宋体"/>
                <w:color w:val="auto"/>
                <w:sz w:val="21"/>
                <w:szCs w:val="21"/>
                <w:highlight w:val="none"/>
              </w:rPr>
            </w:pPr>
          </w:p>
        </w:tc>
        <w:tc>
          <w:tcPr>
            <w:tcW w:w="1685"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1948"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2600"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1214"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661"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117" w:leftChars="-42"/>
              <w:jc w:val="center"/>
              <w:rPr>
                <w:rFonts w:hint="eastAsia" w:ascii="宋体" w:hAnsi="宋体" w:eastAsia="宋体" w:cs="宋体"/>
                <w:color w:val="auto"/>
                <w:sz w:val="21"/>
                <w:szCs w:val="21"/>
                <w:highlight w:val="none"/>
              </w:rPr>
            </w:pPr>
          </w:p>
        </w:tc>
        <w:tc>
          <w:tcPr>
            <w:tcW w:w="1685"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1948"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2600"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1214"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661"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noWrap w:val="0"/>
            <w:vAlign w:val="top"/>
          </w:tcPr>
          <w:p>
            <w:pPr>
              <w:adjustRightInd w:val="0"/>
              <w:snapToGrid w:val="0"/>
              <w:ind w:left="-117" w:leftChars="-42"/>
              <w:jc w:val="center"/>
              <w:rPr>
                <w:rFonts w:hint="eastAsia" w:ascii="宋体" w:hAnsi="宋体" w:eastAsia="宋体" w:cs="宋体"/>
                <w:color w:val="auto"/>
                <w:sz w:val="21"/>
                <w:szCs w:val="21"/>
                <w:highlight w:val="none"/>
              </w:rPr>
            </w:pPr>
          </w:p>
        </w:tc>
        <w:tc>
          <w:tcPr>
            <w:tcW w:w="1685"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1948"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2600"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1214"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c>
          <w:tcPr>
            <w:tcW w:w="661" w:type="dxa"/>
            <w:noWrap w:val="0"/>
            <w:vAlign w:val="center"/>
          </w:tcPr>
          <w:p>
            <w:pPr>
              <w:adjustRightInd w:val="0"/>
              <w:snapToGrid w:val="0"/>
              <w:ind w:left="-117" w:leftChars="-42"/>
              <w:jc w:val="center"/>
              <w:rPr>
                <w:rFonts w:hint="eastAsia" w:ascii="宋体" w:hAnsi="宋体" w:eastAsia="宋体" w:cs="宋体"/>
                <w:color w:val="auto"/>
                <w:sz w:val="21"/>
                <w:szCs w:val="21"/>
                <w:highlight w:val="none"/>
              </w:rPr>
            </w:pPr>
          </w:p>
        </w:tc>
      </w:tr>
    </w:tbl>
    <w:p>
      <w:pPr>
        <w:adjustRightInd w:val="0"/>
        <w:snapToGrid w:val="0"/>
        <w:spacing w:line="360" w:lineRule="auto"/>
        <w:ind w:left="-117" w:leftChars="-42"/>
        <w:rPr>
          <w:rFonts w:hint="eastAsia" w:ascii="宋体" w:hAnsi="宋体" w:cs="宋体"/>
          <w:color w:val="auto"/>
          <w:sz w:val="21"/>
          <w:szCs w:val="21"/>
          <w:highlight w:val="none"/>
        </w:rPr>
      </w:pPr>
      <w:r>
        <w:rPr>
          <w:rFonts w:hint="eastAsia" w:ascii="宋体" w:hAnsi="宋体" w:cs="宋体"/>
          <w:color w:val="auto"/>
          <w:sz w:val="21"/>
          <w:szCs w:val="21"/>
          <w:highlight w:val="none"/>
        </w:rPr>
        <w:t>说明：1、“响应与偏离”应注明“响应”或“偏离”。</w:t>
      </w:r>
    </w:p>
    <w:p>
      <w:pPr>
        <w:adjustRightInd w:val="0"/>
        <w:snapToGrid w:val="0"/>
        <w:spacing w:line="360" w:lineRule="auto"/>
        <w:rPr>
          <w:rFonts w:hint="eastAsia" w:ascii="宋体" w:hAnsi="宋体" w:cs="宋体"/>
          <w:color w:val="auto"/>
          <w:sz w:val="21"/>
          <w:szCs w:val="21"/>
          <w:highlight w:val="none"/>
        </w:rPr>
      </w:pPr>
      <w:r>
        <w:rPr>
          <w:rFonts w:hint="eastAsia" w:ascii="宋体" w:hAnsi="宋体" w:cs="宋体"/>
          <w:b/>
          <w:color w:val="auto"/>
          <w:sz w:val="21"/>
          <w:szCs w:val="21"/>
          <w:highlight w:val="none"/>
        </w:rPr>
        <w:t xml:space="preserve">     </w:t>
      </w:r>
      <w:r>
        <w:rPr>
          <w:rFonts w:hint="eastAsia" w:ascii="宋体" w:hAnsi="宋体" w:cs="宋体"/>
          <w:color w:val="auto"/>
          <w:sz w:val="21"/>
          <w:szCs w:val="21"/>
          <w:highlight w:val="none"/>
        </w:rPr>
        <w:t>2、属磋商文件规定可能变动的内容在“说明”栏中注明。</w:t>
      </w:r>
    </w:p>
    <w:p>
      <w:pPr>
        <w:pStyle w:val="27"/>
        <w:adjustRightInd w:val="0"/>
        <w:snapToGrid w:val="0"/>
        <w:spacing w:line="360" w:lineRule="auto"/>
        <w:outlineLvl w:val="0"/>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pStyle w:val="27"/>
        <w:adjustRightInd w:val="0"/>
        <w:snapToGrid w:val="0"/>
        <w:spacing w:line="360" w:lineRule="auto"/>
        <w:outlineLvl w:val="0"/>
        <w:rPr>
          <w:rFonts w:hint="eastAsia" w:ascii="宋体" w:hAnsi="宋体" w:cs="宋体"/>
          <w:bCs/>
          <w:color w:val="auto"/>
          <w:sz w:val="21"/>
          <w:szCs w:val="21"/>
          <w:highlight w:val="none"/>
        </w:rPr>
      </w:pPr>
      <w:r>
        <w:rPr>
          <w:rFonts w:hint="eastAsia" w:ascii="宋体" w:hAnsi="宋体" w:cs="宋体"/>
          <w:color w:val="auto"/>
          <w:sz w:val="21"/>
          <w:szCs w:val="21"/>
          <w:highlight w:val="none"/>
        </w:rPr>
        <w:t>供应商名称：</w:t>
      </w:r>
      <w:r>
        <w:rPr>
          <w:rFonts w:hint="eastAsia" w:ascii="宋体" w:hAnsi="宋体" w:cs="宋体"/>
          <w:color w:val="auto"/>
          <w:sz w:val="21"/>
          <w:szCs w:val="21"/>
          <w:highlight w:val="none"/>
          <w:u w:val="single"/>
        </w:rPr>
        <w:t xml:space="preserve">                   </w:t>
      </w:r>
    </w:p>
    <w:p>
      <w:pPr>
        <w:adjustRightInd w:val="0"/>
        <w:snapToGrid w:val="0"/>
        <w:spacing w:line="360" w:lineRule="auto"/>
        <w:outlineLvl w:val="0"/>
        <w:rPr>
          <w:rFonts w:hint="eastAsia" w:ascii="宋体" w:hAnsi="宋体" w:cs="宋体"/>
          <w:color w:val="auto"/>
          <w:sz w:val="21"/>
          <w:szCs w:val="21"/>
          <w:highlight w:val="none"/>
        </w:rPr>
      </w:pPr>
      <w:r>
        <w:rPr>
          <w:rFonts w:hint="eastAsia" w:ascii="宋体" w:hAnsi="宋体" w:cs="宋体"/>
          <w:color w:val="auto"/>
          <w:sz w:val="21"/>
          <w:szCs w:val="21"/>
          <w:highlight w:val="none"/>
        </w:rPr>
        <w:t>法定代表人或其委托代理人(签字)：</w:t>
      </w:r>
      <w:r>
        <w:rPr>
          <w:rFonts w:hint="eastAsia" w:ascii="宋体" w:hAnsi="宋体" w:cs="宋体"/>
          <w:color w:val="auto"/>
          <w:sz w:val="21"/>
          <w:szCs w:val="21"/>
          <w:highlight w:val="none"/>
          <w:u w:val="single"/>
        </w:rPr>
        <w:t xml:space="preserve">                   </w:t>
      </w:r>
    </w:p>
    <w:p>
      <w:pPr>
        <w:adjustRightInd w:val="0"/>
        <w:snapToGrid w:val="0"/>
        <w:spacing w:line="360" w:lineRule="auto"/>
        <w:outlineLvl w:val="0"/>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日          期：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年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月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日</w:t>
      </w:r>
    </w:p>
    <w:p>
      <w:pPr>
        <w:adjustRightInd w:val="0"/>
        <w:snapToGrid w:val="0"/>
        <w:spacing w:line="360" w:lineRule="auto"/>
        <w:rPr>
          <w:rFonts w:hint="eastAsia" w:ascii="宋体" w:hAnsi="宋体" w:cs="宋体"/>
          <w:color w:val="auto"/>
          <w:sz w:val="21"/>
          <w:szCs w:val="21"/>
          <w:highlight w:val="none"/>
        </w:rPr>
      </w:pPr>
    </w:p>
    <w:p>
      <w:pPr>
        <w:tabs>
          <w:tab w:val="left" w:pos="3600"/>
        </w:tabs>
        <w:adjustRightInd w:val="0"/>
        <w:snapToGrid w:val="0"/>
        <w:jc w:val="center"/>
        <w:rPr>
          <w:rFonts w:hint="eastAsia" w:ascii="宋体" w:hAnsi="宋体" w:cs="宋体"/>
          <w:b/>
          <w:color w:val="auto"/>
          <w:sz w:val="21"/>
          <w:szCs w:val="21"/>
          <w:highlight w:val="none"/>
        </w:rPr>
      </w:pPr>
    </w:p>
    <w:p>
      <w:pPr>
        <w:tabs>
          <w:tab w:val="left" w:pos="3600"/>
        </w:tabs>
        <w:adjustRightInd w:val="0"/>
        <w:snapToGrid w:val="0"/>
        <w:jc w:val="center"/>
        <w:rPr>
          <w:rFonts w:hint="eastAsia" w:ascii="宋体" w:hAnsi="宋体" w:cs="宋体"/>
          <w:b/>
          <w:color w:val="auto"/>
          <w:sz w:val="21"/>
          <w:szCs w:val="21"/>
          <w:highlight w:val="none"/>
        </w:rPr>
      </w:pPr>
    </w:p>
    <w:p>
      <w:pPr>
        <w:pStyle w:val="43"/>
        <w:ind w:left="560" w:firstLine="422"/>
        <w:rPr>
          <w:rFonts w:hint="eastAsia" w:ascii="宋体" w:hAnsi="宋体" w:cs="宋体"/>
          <w:b/>
          <w:color w:val="auto"/>
          <w:szCs w:val="21"/>
          <w:highlight w:val="none"/>
        </w:rPr>
      </w:pPr>
    </w:p>
    <w:p>
      <w:pPr>
        <w:pStyle w:val="43"/>
        <w:ind w:left="560" w:firstLine="422"/>
        <w:rPr>
          <w:rFonts w:hint="eastAsia" w:ascii="宋体" w:hAnsi="宋体" w:cs="宋体"/>
          <w:b/>
          <w:color w:val="auto"/>
          <w:szCs w:val="21"/>
          <w:highlight w:val="none"/>
        </w:rPr>
      </w:pPr>
    </w:p>
    <w:p>
      <w:pPr>
        <w:pStyle w:val="43"/>
        <w:ind w:left="560" w:firstLine="422"/>
        <w:rPr>
          <w:rFonts w:hint="eastAsia" w:ascii="宋体" w:hAnsi="宋体" w:cs="宋体"/>
          <w:b/>
          <w:color w:val="auto"/>
          <w:szCs w:val="21"/>
          <w:highlight w:val="none"/>
        </w:rPr>
      </w:pPr>
    </w:p>
    <w:p>
      <w:pPr>
        <w:pStyle w:val="43"/>
        <w:ind w:left="560" w:firstLine="422"/>
        <w:rPr>
          <w:rFonts w:hint="eastAsia" w:ascii="宋体" w:hAnsi="宋体" w:cs="宋体"/>
          <w:b/>
          <w:color w:val="auto"/>
          <w:szCs w:val="21"/>
          <w:highlight w:val="none"/>
        </w:rPr>
      </w:pPr>
    </w:p>
    <w:p>
      <w:pPr>
        <w:pStyle w:val="43"/>
        <w:ind w:left="560" w:firstLine="422"/>
        <w:rPr>
          <w:rFonts w:hint="eastAsia" w:ascii="宋体" w:hAnsi="宋体" w:cs="宋体"/>
          <w:b/>
          <w:color w:val="auto"/>
          <w:szCs w:val="21"/>
          <w:highlight w:val="none"/>
        </w:rPr>
      </w:pPr>
    </w:p>
    <w:p>
      <w:pPr>
        <w:pStyle w:val="43"/>
        <w:ind w:left="560" w:firstLine="422"/>
        <w:rPr>
          <w:rFonts w:hint="eastAsia" w:ascii="宋体" w:hAnsi="宋体" w:cs="宋体"/>
          <w:b/>
          <w:color w:val="auto"/>
          <w:szCs w:val="21"/>
          <w:highlight w:val="none"/>
        </w:rPr>
      </w:pPr>
    </w:p>
    <w:p>
      <w:pPr>
        <w:pStyle w:val="43"/>
        <w:ind w:left="560" w:firstLine="422"/>
        <w:rPr>
          <w:rFonts w:hint="eastAsia" w:ascii="宋体" w:hAnsi="宋体" w:cs="宋体"/>
          <w:b/>
          <w:color w:val="auto"/>
          <w:szCs w:val="21"/>
          <w:highlight w:val="none"/>
        </w:rPr>
      </w:pPr>
    </w:p>
    <w:p>
      <w:pPr>
        <w:pStyle w:val="43"/>
        <w:ind w:left="560" w:firstLine="422"/>
        <w:rPr>
          <w:rFonts w:hint="eastAsia" w:ascii="宋体" w:hAnsi="宋体" w:cs="宋体"/>
          <w:b/>
          <w:color w:val="auto"/>
          <w:szCs w:val="21"/>
          <w:highlight w:val="none"/>
        </w:rPr>
      </w:pPr>
    </w:p>
    <w:p>
      <w:pPr>
        <w:pStyle w:val="43"/>
        <w:ind w:left="560" w:firstLine="422"/>
        <w:rPr>
          <w:rFonts w:hint="eastAsia" w:ascii="宋体" w:hAnsi="宋体" w:cs="宋体"/>
          <w:b/>
          <w:color w:val="auto"/>
          <w:szCs w:val="21"/>
          <w:highlight w:val="none"/>
        </w:rPr>
      </w:pPr>
    </w:p>
    <w:p>
      <w:pPr>
        <w:tabs>
          <w:tab w:val="left" w:pos="3600"/>
        </w:tabs>
        <w:adjustRightInd w:val="0"/>
        <w:snapToGrid w:val="0"/>
        <w:jc w:val="center"/>
        <w:rPr>
          <w:rFonts w:hint="eastAsia" w:ascii="宋体" w:hAnsi="宋体" w:cs="宋体"/>
          <w:b/>
          <w:color w:val="auto"/>
          <w:sz w:val="21"/>
          <w:szCs w:val="21"/>
          <w:highlight w:val="none"/>
        </w:rPr>
      </w:pPr>
    </w:p>
    <w:p>
      <w:pPr>
        <w:tabs>
          <w:tab w:val="left" w:pos="3600"/>
        </w:tabs>
        <w:adjustRightInd w:val="0"/>
        <w:snapToGrid w:val="0"/>
        <w:jc w:val="center"/>
        <w:rPr>
          <w:rFonts w:hint="eastAsia" w:ascii="宋体" w:hAnsi="宋体" w:cs="宋体"/>
          <w:b/>
          <w:color w:val="auto"/>
          <w:sz w:val="30"/>
          <w:szCs w:val="30"/>
          <w:highlight w:val="none"/>
        </w:rPr>
      </w:pPr>
      <w:r>
        <w:rPr>
          <w:rFonts w:hint="eastAsia" w:ascii="宋体" w:hAnsi="宋体" w:cs="宋体"/>
          <w:b/>
          <w:color w:val="auto"/>
          <w:sz w:val="30"/>
          <w:szCs w:val="30"/>
          <w:highlight w:val="none"/>
        </w:rPr>
        <w:t>六、提供享受政府采购政策的证明材料</w:t>
      </w:r>
    </w:p>
    <w:p>
      <w:pPr>
        <w:rPr>
          <w:rFonts w:hint="eastAsia" w:ascii="宋体" w:hAnsi="宋体" w:cs="宋体"/>
          <w:color w:val="auto"/>
          <w:sz w:val="21"/>
          <w:szCs w:val="21"/>
          <w:highlight w:val="none"/>
        </w:rPr>
      </w:pPr>
      <w:r>
        <w:rPr>
          <w:rFonts w:hint="eastAsia" w:ascii="宋体" w:hAnsi="宋体" w:cs="宋体"/>
          <w:color w:val="auto"/>
          <w:sz w:val="21"/>
          <w:szCs w:val="21"/>
          <w:highlight w:val="none"/>
        </w:rPr>
        <w:t>附件9-1</w:t>
      </w:r>
    </w:p>
    <w:p>
      <w:pPr>
        <w:jc w:val="center"/>
        <w:rPr>
          <w:rFonts w:hint="eastAsia" w:ascii="黑体" w:hAnsi="华文中宋" w:eastAsia="黑体" w:cs="宋体"/>
          <w:bCs/>
          <w:color w:val="auto"/>
          <w:spacing w:val="6"/>
          <w:kern w:val="0"/>
          <w:sz w:val="30"/>
          <w:szCs w:val="30"/>
          <w:highlight w:val="none"/>
        </w:rPr>
      </w:pPr>
    </w:p>
    <w:p>
      <w:pPr>
        <w:jc w:val="center"/>
        <w:rPr>
          <w:rFonts w:hint="eastAsia" w:ascii="黑体" w:hAnsi="黑体" w:eastAsia="黑体" w:cs="黑体"/>
          <w:bCs/>
          <w:color w:val="auto"/>
          <w:spacing w:val="6"/>
          <w:kern w:val="0"/>
          <w:sz w:val="30"/>
          <w:szCs w:val="30"/>
          <w:highlight w:val="none"/>
        </w:rPr>
      </w:pPr>
      <w:r>
        <w:rPr>
          <w:rFonts w:hint="eastAsia" w:ascii="黑体" w:hAnsi="黑体" w:eastAsia="黑体" w:cs="黑体"/>
          <w:bCs/>
          <w:color w:val="auto"/>
          <w:spacing w:val="6"/>
          <w:kern w:val="0"/>
          <w:sz w:val="30"/>
          <w:szCs w:val="30"/>
          <w:highlight w:val="none"/>
        </w:rPr>
        <w:t>中小企业声明函(工程、服务)</w:t>
      </w:r>
    </w:p>
    <w:p>
      <w:pPr>
        <w:spacing w:line="44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本公司(联合体)郑重声明，根据《政府采购促进中小企业发展管理办法》(财库( 2020 )46号)的规定，本公司(联合体)参加</w:t>
      </w:r>
      <w:r>
        <w:rPr>
          <w:rFonts w:hint="eastAsia" w:asciiTheme="minorEastAsia" w:hAnsiTheme="minorEastAsia" w:eastAsiaTheme="minorEastAsia" w:cstheme="minorEastAsia"/>
          <w:i/>
          <w:iCs/>
          <w:color w:val="auto"/>
          <w:sz w:val="21"/>
          <w:szCs w:val="21"/>
          <w:highlight w:val="none"/>
          <w:u w:val="single"/>
        </w:rPr>
        <w:t xml:space="preserve"> (单位名称)</w:t>
      </w:r>
      <w:r>
        <w:rPr>
          <w:rFonts w:hint="eastAsia" w:asciiTheme="minorEastAsia" w:hAnsiTheme="minorEastAsia" w:eastAsiaTheme="minorEastAsia" w:cstheme="minorEastAsia"/>
          <w:color w:val="auto"/>
          <w:sz w:val="21"/>
          <w:szCs w:val="21"/>
          <w:highlight w:val="none"/>
        </w:rPr>
        <w:t>的</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i/>
          <w:iCs/>
          <w:color w:val="auto"/>
          <w:sz w:val="21"/>
          <w:szCs w:val="21"/>
          <w:highlight w:val="none"/>
          <w:u w:val="single"/>
        </w:rPr>
        <w:t>(项目名称)</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44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i/>
          <w:iCs/>
          <w:color w:val="auto"/>
          <w:sz w:val="21"/>
          <w:szCs w:val="21"/>
          <w:highlight w:val="none"/>
          <w:u w:val="single"/>
        </w:rPr>
        <w:t>(标的名称)</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,属于.</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i/>
          <w:iCs/>
          <w:color w:val="auto"/>
          <w:sz w:val="21"/>
          <w:szCs w:val="21"/>
          <w:highlight w:val="none"/>
          <w:u w:val="single"/>
        </w:rPr>
        <w:t>(采购文件中明确的所属行业）</w:t>
      </w:r>
      <w:r>
        <w:rPr>
          <w:rFonts w:hint="eastAsia" w:asciiTheme="minorEastAsia" w:hAnsiTheme="minorEastAsia" w:eastAsiaTheme="minorEastAsia" w:cstheme="minorEastAsia"/>
          <w:color w:val="auto"/>
          <w:sz w:val="21"/>
          <w:szCs w:val="21"/>
          <w:highlight w:val="none"/>
        </w:rPr>
        <w:t>;承建(承接)企业为</w:t>
      </w:r>
      <w:r>
        <w:rPr>
          <w:rFonts w:hint="eastAsia" w:asciiTheme="minorEastAsia" w:hAnsiTheme="minorEastAsia" w:eastAsiaTheme="minorEastAsia" w:cstheme="minorEastAsia"/>
          <w:i/>
          <w:iCs/>
          <w:color w:val="auto"/>
          <w:sz w:val="21"/>
          <w:szCs w:val="21"/>
          <w:highlight w:val="none"/>
          <w:u w:val="single"/>
        </w:rPr>
        <w:t>(企业名称)</w:t>
      </w:r>
      <w:r>
        <w:rPr>
          <w:rFonts w:hint="eastAsia" w:asciiTheme="minorEastAsia" w:hAnsiTheme="minorEastAsia" w:eastAsiaTheme="minorEastAsia" w:cstheme="minorEastAsia"/>
          <w:color w:val="auto"/>
          <w:sz w:val="21"/>
          <w:szCs w:val="21"/>
          <w:highlight w:val="none"/>
        </w:rPr>
        <w:t>,从业人员</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人， 营业收入为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万元，资产总额为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万元，属于</w:t>
      </w:r>
      <w:r>
        <w:rPr>
          <w:rFonts w:hint="eastAsia" w:asciiTheme="minorEastAsia" w:hAnsiTheme="minorEastAsia" w:eastAsiaTheme="minorEastAsia" w:cstheme="minorEastAsia"/>
          <w:i/>
          <w:iCs/>
          <w:color w:val="auto"/>
          <w:sz w:val="21"/>
          <w:szCs w:val="21"/>
          <w:highlight w:val="none"/>
          <w:u w:val="single"/>
        </w:rPr>
        <w:t>(中型企业、小型企业、微型企业)</w:t>
      </w:r>
      <w:r>
        <w:rPr>
          <w:rFonts w:hint="eastAsia" w:asciiTheme="minorEastAsia" w:hAnsiTheme="minorEastAsia" w:eastAsiaTheme="minorEastAsia" w:cstheme="minorEastAsia"/>
          <w:color w:val="auto"/>
          <w:sz w:val="21"/>
          <w:szCs w:val="21"/>
          <w:highlight w:val="none"/>
        </w:rPr>
        <w:t>;</w:t>
      </w:r>
    </w:p>
    <w:p>
      <w:pPr>
        <w:spacing w:line="44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i/>
          <w:iCs/>
          <w:color w:val="auto"/>
          <w:sz w:val="21"/>
          <w:szCs w:val="21"/>
          <w:highlight w:val="none"/>
          <w:u w:val="single"/>
        </w:rPr>
        <w:t xml:space="preserve">(标的名称) </w:t>
      </w:r>
      <w:r>
        <w:rPr>
          <w:rFonts w:hint="eastAsia" w:asciiTheme="minorEastAsia" w:hAnsiTheme="minorEastAsia" w:eastAsiaTheme="minorEastAsia" w:cstheme="minorEastAsia"/>
          <w:color w:val="auto"/>
          <w:sz w:val="21"/>
          <w:szCs w:val="21"/>
          <w:highlight w:val="none"/>
        </w:rPr>
        <w:t>, 属于</w:t>
      </w:r>
      <w:r>
        <w:rPr>
          <w:rFonts w:hint="eastAsia" w:asciiTheme="minorEastAsia" w:hAnsiTheme="minorEastAsia" w:eastAsiaTheme="minorEastAsia" w:cstheme="minorEastAsia"/>
          <w:i/>
          <w:iCs/>
          <w:color w:val="auto"/>
          <w:sz w:val="21"/>
          <w:szCs w:val="21"/>
          <w:highlight w:val="none"/>
          <w:u w:val="single"/>
        </w:rPr>
        <w:t>(采购文件中明确的所属行业）</w:t>
      </w:r>
      <w:r>
        <w:rPr>
          <w:rFonts w:hint="eastAsia" w:asciiTheme="minorEastAsia" w:hAnsiTheme="minorEastAsia" w:eastAsiaTheme="minorEastAsia" w:cstheme="minorEastAsia"/>
          <w:color w:val="auto"/>
          <w:sz w:val="21"/>
          <w:szCs w:val="21"/>
          <w:highlight w:val="none"/>
        </w:rPr>
        <w:t>;承建(承接)企业为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i/>
          <w:iCs/>
          <w:color w:val="auto"/>
          <w:sz w:val="21"/>
          <w:szCs w:val="21"/>
          <w:highlight w:val="none"/>
          <w:u w:val="single"/>
        </w:rPr>
        <w:t>(企业名称)</w:t>
      </w:r>
      <w:r>
        <w:rPr>
          <w:rFonts w:hint="eastAsia" w:asciiTheme="minorEastAsia" w:hAnsiTheme="minorEastAsia" w:eastAsiaTheme="minorEastAsia" w:cstheme="minorEastAsia"/>
          <w:color w:val="auto"/>
          <w:sz w:val="21"/>
          <w:szCs w:val="21"/>
          <w:highlight w:val="none"/>
        </w:rPr>
        <w:t>,从业人员</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人， 营业收入为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万元，资产总额为</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万元，属于</w:t>
      </w:r>
      <w:r>
        <w:rPr>
          <w:rFonts w:hint="eastAsia" w:asciiTheme="minorEastAsia" w:hAnsiTheme="minorEastAsia" w:eastAsiaTheme="minorEastAsia" w:cstheme="minorEastAsia"/>
          <w:i/>
          <w:iCs/>
          <w:color w:val="auto"/>
          <w:sz w:val="21"/>
          <w:szCs w:val="21"/>
          <w:highlight w:val="none"/>
          <w:u w:val="single"/>
        </w:rPr>
        <w:t>(中型企业、小型企业、微型企业)</w:t>
      </w:r>
      <w:r>
        <w:rPr>
          <w:rFonts w:hint="eastAsia" w:asciiTheme="minorEastAsia" w:hAnsiTheme="minorEastAsia" w:eastAsiaTheme="minorEastAsia" w:cstheme="minorEastAsia"/>
          <w:color w:val="auto"/>
          <w:sz w:val="21"/>
          <w:szCs w:val="21"/>
          <w:highlight w:val="none"/>
        </w:rPr>
        <w:t>;</w:t>
      </w:r>
    </w:p>
    <w:p>
      <w:pPr>
        <w:spacing w:line="44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w:t>
      </w:r>
    </w:p>
    <w:p>
      <w:pPr>
        <w:spacing w:line="44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以上企业，不属于大企业的分支机构，不存在控股股东为大企业的情形，也不存在与大企业的负责人为同一人的情形。</w:t>
      </w:r>
    </w:p>
    <w:p>
      <w:pPr>
        <w:spacing w:line="44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本企业对上述声明内容的真实性负责。如有虚假，将依法承担相应责任。</w:t>
      </w:r>
    </w:p>
    <w:p>
      <w:pPr>
        <w:spacing w:line="440" w:lineRule="exact"/>
        <w:ind w:left="1260" w:firstLine="3708" w:firstLineChars="1766"/>
        <w:rPr>
          <w:rFonts w:hint="eastAsia" w:asciiTheme="minorEastAsia" w:hAnsiTheme="minorEastAsia" w:eastAsiaTheme="minorEastAsia" w:cstheme="minorEastAsia"/>
          <w:color w:val="auto"/>
          <w:sz w:val="21"/>
          <w:szCs w:val="21"/>
          <w:highlight w:val="none"/>
        </w:rPr>
      </w:pPr>
    </w:p>
    <w:p>
      <w:pPr>
        <w:spacing w:line="440" w:lineRule="exact"/>
        <w:ind w:left="1260" w:firstLine="3708" w:firstLineChars="176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企业名称(盖章):</w:t>
      </w:r>
    </w:p>
    <w:p>
      <w:pPr>
        <w:spacing w:line="440" w:lineRule="exact"/>
        <w:ind w:left="1260" w:firstLine="3708" w:firstLineChars="176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日期:</w:t>
      </w:r>
    </w:p>
    <w:p>
      <w:pPr>
        <w:spacing w:line="440" w:lineRule="exact"/>
        <w:ind w:firstLine="420" w:firstLineChars="200"/>
        <w:rPr>
          <w:rFonts w:hint="eastAsia" w:asciiTheme="minorEastAsia" w:hAnsiTheme="minorEastAsia" w:eastAsiaTheme="minorEastAsia" w:cstheme="minorEastAsia"/>
          <w:color w:val="auto"/>
          <w:sz w:val="21"/>
          <w:szCs w:val="21"/>
          <w:highlight w:val="none"/>
        </w:rPr>
      </w:pPr>
    </w:p>
    <w:p>
      <w:pPr>
        <w:spacing w:line="440" w:lineRule="exact"/>
        <w:ind w:firstLine="420" w:firstLineChars="200"/>
        <w:rPr>
          <w:rFonts w:hint="eastAsia" w:asciiTheme="minorEastAsia" w:hAnsiTheme="minorEastAsia" w:eastAsiaTheme="minorEastAsia" w:cstheme="minorEastAsia"/>
          <w:color w:val="auto"/>
          <w:sz w:val="21"/>
          <w:szCs w:val="21"/>
          <w:highlight w:val="none"/>
        </w:rPr>
      </w:pPr>
    </w:p>
    <w:p>
      <w:pPr>
        <w:keepNext w:val="0"/>
        <w:keepLines w:val="0"/>
        <w:widowControl/>
        <w:suppressLineNumbers w:val="0"/>
        <w:jc w:val="left"/>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说明：1、现行中小企业划分标准行业包括农、林、牧、渔业，工业，建筑业，批发业，零售业，交通运输业，仓储业，邮政业，住宿业，餐饮业，</w:t>
      </w:r>
      <w:r>
        <w:rPr>
          <w:rFonts w:hint="eastAsia" w:asciiTheme="minorEastAsia" w:hAnsiTheme="minorEastAsia" w:eastAsiaTheme="minorEastAsia" w:cstheme="minorEastAsia"/>
          <w:color w:val="auto"/>
          <w:sz w:val="21"/>
          <w:szCs w:val="21"/>
          <w:highlight w:val="none"/>
          <w:lang w:val="en-US" w:eastAsia="zh-CN"/>
        </w:rPr>
        <w:t>软件和信息技术服务业</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eastAsia="zh-CN"/>
        </w:rPr>
        <w:t>其他未列明行业</w:t>
      </w:r>
      <w:r>
        <w:rPr>
          <w:rFonts w:hint="eastAsia" w:asciiTheme="minorEastAsia" w:hAnsiTheme="minorEastAsia" w:eastAsiaTheme="minorEastAsia" w:cstheme="minorEastAsia"/>
          <w:color w:val="auto"/>
          <w:sz w:val="21"/>
          <w:szCs w:val="21"/>
          <w:highlight w:val="none"/>
        </w:rPr>
        <w:t>，房地产开发经营，物业管理，租赁和商业服务业和其他未列明行业等十六类。</w:t>
      </w:r>
    </w:p>
    <w:p>
      <w:pPr>
        <w:spacing w:line="440" w:lineRule="exact"/>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2、从业人员、营业收入、资产总额填报上一年度数据，无上一年度数据的新成立企业可不填报资产总额。</w:t>
      </w:r>
    </w:p>
    <w:p>
      <w:pPr>
        <w:adjustRightInd w:val="0"/>
        <w:snapToGrid w:val="0"/>
        <w:spacing w:line="360" w:lineRule="auto"/>
        <w:rPr>
          <w:rFonts w:hint="eastAsia" w:ascii="仿宋_GB2312" w:hAnsi="宋体" w:eastAsia="仿宋_GB2312"/>
          <w:color w:val="auto"/>
          <w:szCs w:val="21"/>
          <w:highlight w:val="none"/>
        </w:rPr>
      </w:pPr>
    </w:p>
    <w:p>
      <w:pPr>
        <w:pStyle w:val="20"/>
        <w:rPr>
          <w:rFonts w:hint="eastAsia"/>
          <w:color w:val="auto"/>
        </w:rPr>
      </w:pPr>
    </w:p>
    <w:p>
      <w:pPr>
        <w:adjustRightInd w:val="0"/>
        <w:snapToGrid w:val="0"/>
        <w:spacing w:line="360" w:lineRule="auto"/>
        <w:jc w:val="center"/>
        <w:rPr>
          <w:rFonts w:hint="eastAsia" w:ascii="黑体" w:hAnsi="宋体" w:eastAsia="黑体"/>
          <w:color w:val="auto"/>
          <w:sz w:val="30"/>
          <w:szCs w:val="30"/>
          <w:highlight w:val="none"/>
        </w:rPr>
      </w:pPr>
      <w:r>
        <w:rPr>
          <w:rFonts w:hint="eastAsia" w:ascii="黑体" w:hAnsi="宋体" w:eastAsia="黑体"/>
          <w:color w:val="auto"/>
          <w:sz w:val="30"/>
          <w:szCs w:val="30"/>
          <w:highlight w:val="none"/>
        </w:rPr>
        <w:t>中小企业货物清单表</w:t>
      </w:r>
    </w:p>
    <w:p>
      <w:pPr>
        <w:pStyle w:val="25"/>
        <w:spacing w:line="360" w:lineRule="auto"/>
        <w:rPr>
          <w:rFonts w:hint="eastAsia" w:hAnsi="宋体"/>
          <w:color w:val="auto"/>
          <w:highlight w:val="none"/>
        </w:rPr>
      </w:pPr>
      <w:r>
        <w:rPr>
          <w:rFonts w:hint="eastAsia" w:hAnsi="宋体"/>
          <w:color w:val="auto"/>
          <w:highlight w:val="none"/>
        </w:rPr>
        <w:t xml:space="preserve">                                             </w:t>
      </w:r>
    </w:p>
    <w:tbl>
      <w:tblPr>
        <w:tblStyle w:val="44"/>
        <w:tblW w:w="0" w:type="auto"/>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1134"/>
        <w:gridCol w:w="709"/>
        <w:gridCol w:w="850"/>
        <w:gridCol w:w="851"/>
        <w:gridCol w:w="1701"/>
        <w:gridCol w:w="1701"/>
        <w:gridCol w:w="127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8931" w:type="dxa"/>
            <w:gridSpan w:val="8"/>
            <w:noWrap w:val="0"/>
            <w:vAlign w:val="center"/>
          </w:tcPr>
          <w:p>
            <w:pPr>
              <w:widowControl/>
              <w:spacing w:line="360" w:lineRule="auto"/>
              <w:jc w:val="center"/>
              <w:rPr>
                <w:rFonts w:hint="eastAsia" w:asciiTheme="minorEastAsia" w:hAnsiTheme="minorEastAsia" w:eastAsiaTheme="minorEastAsia" w:cstheme="minorEastAsia"/>
                <w:b/>
                <w:color w:val="auto"/>
                <w:kern w:val="0"/>
                <w:sz w:val="21"/>
                <w:szCs w:val="21"/>
                <w:highlight w:val="none"/>
              </w:rPr>
            </w:pPr>
            <w:r>
              <w:rPr>
                <w:rFonts w:hint="eastAsia" w:asciiTheme="minorEastAsia" w:hAnsiTheme="minorEastAsia" w:eastAsiaTheme="minorEastAsia" w:cstheme="minorEastAsia"/>
                <w:b/>
                <w:color w:val="auto"/>
                <w:kern w:val="0"/>
                <w:sz w:val="21"/>
                <w:szCs w:val="21"/>
                <w:highlight w:val="none"/>
              </w:rPr>
              <w:t>本公司对本表的真实性负责。如有虚假，将依法承担相应责任。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1" w:hRule="atLeast"/>
        </w:trPr>
        <w:tc>
          <w:tcPr>
            <w:tcW w:w="709"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1</w:t>
            </w:r>
          </w:p>
        </w:tc>
        <w:tc>
          <w:tcPr>
            <w:tcW w:w="1134"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2</w:t>
            </w:r>
          </w:p>
        </w:tc>
        <w:tc>
          <w:tcPr>
            <w:tcW w:w="709"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3</w:t>
            </w:r>
          </w:p>
        </w:tc>
        <w:tc>
          <w:tcPr>
            <w:tcW w:w="850"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4</w:t>
            </w:r>
          </w:p>
        </w:tc>
        <w:tc>
          <w:tcPr>
            <w:tcW w:w="851"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5</w:t>
            </w:r>
          </w:p>
        </w:tc>
        <w:tc>
          <w:tcPr>
            <w:tcW w:w="1701"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6</w:t>
            </w:r>
          </w:p>
        </w:tc>
        <w:tc>
          <w:tcPr>
            <w:tcW w:w="1701"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7</w:t>
            </w:r>
          </w:p>
        </w:tc>
        <w:tc>
          <w:tcPr>
            <w:tcW w:w="1276"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3" w:hRule="atLeast"/>
        </w:trPr>
        <w:tc>
          <w:tcPr>
            <w:tcW w:w="709"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序号</w:t>
            </w:r>
          </w:p>
        </w:tc>
        <w:tc>
          <w:tcPr>
            <w:tcW w:w="1134"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货物名称</w:t>
            </w:r>
          </w:p>
        </w:tc>
        <w:tc>
          <w:tcPr>
            <w:tcW w:w="709"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数量</w:t>
            </w:r>
          </w:p>
        </w:tc>
        <w:tc>
          <w:tcPr>
            <w:tcW w:w="850"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单价</w:t>
            </w:r>
          </w:p>
        </w:tc>
        <w:tc>
          <w:tcPr>
            <w:tcW w:w="851"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总额</w:t>
            </w:r>
          </w:p>
        </w:tc>
        <w:tc>
          <w:tcPr>
            <w:tcW w:w="1701"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货物制造商名称</w:t>
            </w:r>
          </w:p>
        </w:tc>
        <w:tc>
          <w:tcPr>
            <w:tcW w:w="1701"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货物制造商类型</w:t>
            </w:r>
          </w:p>
        </w:tc>
        <w:tc>
          <w:tcPr>
            <w:tcW w:w="1276" w:type="dxa"/>
            <w:noWrap w:val="0"/>
            <w:vAlign w:val="center"/>
          </w:tcPr>
          <w:p>
            <w:pPr>
              <w:widowControl/>
              <w:spacing w:line="360" w:lineRule="auto"/>
              <w:jc w:val="center"/>
              <w:rPr>
                <w:rFonts w:hint="eastAsia" w:asciiTheme="minorEastAsia" w:hAnsiTheme="minorEastAsia" w:eastAsiaTheme="minorEastAsia" w:cstheme="minorEastAsia"/>
                <w:color w:val="auto"/>
                <w:kern w:val="0"/>
                <w:sz w:val="21"/>
                <w:szCs w:val="21"/>
                <w:highlight w:val="none"/>
              </w:rPr>
            </w:pPr>
            <w:r>
              <w:rPr>
                <w:rFonts w:hint="eastAsia" w:asciiTheme="minorEastAsia" w:hAnsiTheme="minorEastAsia" w:eastAsiaTheme="minorEastAsia" w:cstheme="minorEastAsia"/>
                <w:color w:val="auto"/>
                <w:kern w:val="0"/>
                <w:sz w:val="21"/>
                <w:szCs w:val="21"/>
                <w:highlight w:val="none"/>
              </w:rPr>
              <w:t>商标名称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8931" w:type="dxa"/>
            <w:gridSpan w:val="8"/>
            <w:noWrap w:val="0"/>
            <w:vAlign w:val="center"/>
          </w:tcPr>
          <w:p>
            <w:pPr>
              <w:spacing w:line="360" w:lineRule="auto"/>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中型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134"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0"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1"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701" w:type="dxa"/>
            <w:noWrap w:val="0"/>
            <w:vAlign w:val="center"/>
          </w:tcPr>
          <w:p>
            <w:pPr>
              <w:spacing w:line="360" w:lineRule="auto"/>
              <w:jc w:val="left"/>
              <w:rPr>
                <w:rFonts w:hint="eastAsia" w:asciiTheme="minorEastAsia" w:hAnsiTheme="minorEastAsia" w:eastAsiaTheme="minorEastAsia" w:cstheme="minorEastAsia"/>
                <w:color w:val="auto"/>
                <w:sz w:val="21"/>
                <w:szCs w:val="21"/>
                <w:highlight w:val="none"/>
              </w:rPr>
            </w:pPr>
          </w:p>
        </w:tc>
        <w:tc>
          <w:tcPr>
            <w:tcW w:w="1701" w:type="dxa"/>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276"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134"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0"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1"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701" w:type="dxa"/>
            <w:noWrap w:val="0"/>
            <w:vAlign w:val="center"/>
          </w:tcPr>
          <w:p>
            <w:pPr>
              <w:spacing w:line="360" w:lineRule="auto"/>
              <w:jc w:val="left"/>
              <w:rPr>
                <w:rFonts w:hint="eastAsia" w:asciiTheme="minorEastAsia" w:hAnsiTheme="minorEastAsia" w:eastAsiaTheme="minorEastAsia" w:cstheme="minorEastAsia"/>
                <w:color w:val="auto"/>
                <w:sz w:val="21"/>
                <w:szCs w:val="21"/>
                <w:highlight w:val="none"/>
              </w:rPr>
            </w:pPr>
          </w:p>
        </w:tc>
        <w:tc>
          <w:tcPr>
            <w:tcW w:w="1701" w:type="dxa"/>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276"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小计</w:t>
            </w:r>
          </w:p>
        </w:tc>
        <w:tc>
          <w:tcPr>
            <w:tcW w:w="1134"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0"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1"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701" w:type="dxa"/>
            <w:noWrap w:val="0"/>
            <w:vAlign w:val="center"/>
          </w:tcPr>
          <w:p>
            <w:pPr>
              <w:spacing w:line="360" w:lineRule="auto"/>
              <w:jc w:val="left"/>
              <w:rPr>
                <w:rFonts w:hint="eastAsia" w:asciiTheme="minorEastAsia" w:hAnsiTheme="minorEastAsia" w:eastAsiaTheme="minorEastAsia" w:cstheme="minorEastAsia"/>
                <w:color w:val="auto"/>
                <w:sz w:val="21"/>
                <w:szCs w:val="21"/>
                <w:highlight w:val="none"/>
              </w:rPr>
            </w:pPr>
          </w:p>
        </w:tc>
        <w:tc>
          <w:tcPr>
            <w:tcW w:w="1701" w:type="dxa"/>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276"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8931" w:type="dxa"/>
            <w:gridSpan w:val="8"/>
            <w:noWrap w:val="0"/>
            <w:vAlign w:val="center"/>
          </w:tcPr>
          <w:p>
            <w:pPr>
              <w:spacing w:line="360" w:lineRule="auto"/>
              <w:jc w:val="left"/>
              <w:rPr>
                <w:rFonts w:hint="eastAsia"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小型、微型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134"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0"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1"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701"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701" w:type="dxa"/>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276"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134"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0"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1"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701"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701" w:type="dxa"/>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276"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小计</w:t>
            </w:r>
          </w:p>
        </w:tc>
        <w:tc>
          <w:tcPr>
            <w:tcW w:w="1134"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709"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0"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851"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701"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701" w:type="dxa"/>
            <w:noWrap w:val="0"/>
            <w:vAlign w:val="top"/>
          </w:tcPr>
          <w:p>
            <w:pPr>
              <w:spacing w:line="360" w:lineRule="auto"/>
              <w:jc w:val="center"/>
              <w:rPr>
                <w:rFonts w:hint="eastAsia" w:asciiTheme="minorEastAsia" w:hAnsiTheme="minorEastAsia" w:eastAsiaTheme="minorEastAsia" w:cstheme="minorEastAsia"/>
                <w:color w:val="auto"/>
                <w:sz w:val="21"/>
                <w:szCs w:val="21"/>
                <w:highlight w:val="none"/>
              </w:rPr>
            </w:pPr>
          </w:p>
        </w:tc>
        <w:tc>
          <w:tcPr>
            <w:tcW w:w="1276" w:type="dxa"/>
            <w:noWrap w:val="0"/>
            <w:vAlign w:val="center"/>
          </w:tcPr>
          <w:p>
            <w:pPr>
              <w:spacing w:line="360" w:lineRule="auto"/>
              <w:jc w:val="center"/>
              <w:rPr>
                <w:rFonts w:hint="eastAsia" w:asciiTheme="minorEastAsia" w:hAnsiTheme="minorEastAsia" w:eastAsiaTheme="minorEastAsia" w:cstheme="minorEastAsia"/>
                <w:color w:val="auto"/>
                <w:sz w:val="21"/>
                <w:szCs w:val="21"/>
                <w:highlight w:val="none"/>
              </w:rPr>
            </w:pPr>
          </w:p>
        </w:tc>
      </w:tr>
    </w:tbl>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说明：1、本表用于计算中小企业应享受的政策功能价格扣除。</w:t>
      </w:r>
    </w:p>
    <w:p>
      <w:pPr>
        <w:spacing w:line="360" w:lineRule="auto"/>
        <w:ind w:firstLine="630" w:firstLineChars="3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2、栏目7“货物制造商类型”，填写：中型或小型、微型。</w:t>
      </w:r>
    </w:p>
    <w:p>
      <w:pPr>
        <w:spacing w:line="360" w:lineRule="auto"/>
        <w:ind w:firstLine="630" w:firstLineChars="3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3、栏目4“单价”为综合单价，包含货物所有隐含的内容，如运输费、保险费、管理费和利润等。</w:t>
      </w:r>
    </w:p>
    <w:p>
      <w:pPr>
        <w:spacing w:line="360" w:lineRule="auto"/>
        <w:ind w:firstLine="630" w:firstLineChars="3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未提供《中小企业声明函》及未按上述要求填写，或者提供的内容不真实的，评审时本表所有优惠不予以考虑。对提供的内容不真实的，监督管理部门可能以冒充中小企业参与政府采购活动谋取中标，依法予以处理。</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投标人名称（单位章）：</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法定代表人或其委托代理人（签字）：</w:t>
      </w:r>
      <w:r>
        <w:rPr>
          <w:rFonts w:hint="eastAsia" w:asciiTheme="minorEastAsia" w:hAnsiTheme="minorEastAsia" w:eastAsiaTheme="minorEastAsia" w:cstheme="minorEastAsia"/>
          <w:color w:val="auto"/>
          <w:sz w:val="21"/>
          <w:szCs w:val="21"/>
          <w:highlight w:val="none"/>
          <w:u w:val="single"/>
        </w:rPr>
        <w:t xml:space="preserve">       </w:t>
      </w:r>
    </w:p>
    <w:p>
      <w:pPr>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日期：</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年</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u w:val="single"/>
        </w:rPr>
        <w:t xml:space="preserve">   </w:t>
      </w:r>
      <w:r>
        <w:rPr>
          <w:rFonts w:hint="eastAsia" w:asciiTheme="minorEastAsia" w:hAnsiTheme="minorEastAsia" w:eastAsiaTheme="minorEastAsia" w:cstheme="minorEastAsia"/>
          <w:color w:val="auto"/>
          <w:sz w:val="21"/>
          <w:szCs w:val="21"/>
          <w:highlight w:val="none"/>
        </w:rPr>
        <w:t>日</w:t>
      </w:r>
    </w:p>
    <w:p>
      <w:pPr>
        <w:adjustRightInd w:val="0"/>
        <w:snapToGrid w:val="0"/>
        <w:rPr>
          <w:rFonts w:hint="eastAsia" w:asciiTheme="minorEastAsia" w:hAnsiTheme="minorEastAsia" w:eastAsiaTheme="minorEastAsia" w:cstheme="minorEastAsia"/>
          <w:color w:val="auto"/>
          <w:sz w:val="21"/>
          <w:szCs w:val="21"/>
          <w:highlight w:val="none"/>
        </w:rPr>
      </w:pPr>
    </w:p>
    <w:p>
      <w:pPr>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pStyle w:val="7"/>
        <w:spacing w:before="0" w:after="0"/>
        <w:jc w:val="center"/>
        <w:rPr>
          <w:rFonts w:ascii="黑体" w:hAnsi="华文中宋" w:eastAsia="黑体"/>
          <w:color w:val="auto"/>
          <w:sz w:val="28"/>
          <w:szCs w:val="28"/>
          <w:highlight w:val="none"/>
        </w:rPr>
      </w:pPr>
      <w:r>
        <w:rPr>
          <w:rFonts w:hint="eastAsia" w:ascii="黑体" w:hAnsi="华文中宋" w:eastAsia="黑体"/>
          <w:color w:val="auto"/>
          <w:sz w:val="28"/>
          <w:szCs w:val="28"/>
          <w:highlight w:val="none"/>
        </w:rPr>
        <w:t>残疾人福利性单位声明函</w:t>
      </w:r>
    </w:p>
    <w:p>
      <w:pPr>
        <w:adjustRightInd w:val="0"/>
        <w:snapToGrid w:val="0"/>
        <w:spacing w:line="360" w:lineRule="auto"/>
        <w:jc w:val="center"/>
        <w:rPr>
          <w:rFonts w:ascii="宋体" w:hAnsi="宋体"/>
          <w:b/>
          <w:color w:val="auto"/>
          <w:spacing w:val="6"/>
          <w:szCs w:val="21"/>
          <w:highlight w:val="none"/>
        </w:rPr>
      </w:pPr>
      <w:r>
        <w:rPr>
          <w:rFonts w:hint="eastAsia" w:ascii="宋体" w:hAnsi="宋体"/>
          <w:b/>
          <w:color w:val="auto"/>
          <w:spacing w:val="6"/>
          <w:szCs w:val="21"/>
          <w:highlight w:val="none"/>
        </w:rPr>
        <w:t>【不属于残疾人福利性单位的无需填写】</w:t>
      </w:r>
    </w:p>
    <w:p>
      <w:pPr>
        <w:adjustRightInd w:val="0"/>
        <w:snapToGrid w:val="0"/>
        <w:spacing w:line="360" w:lineRule="auto"/>
        <w:ind w:firstLine="584" w:firstLineChars="200"/>
        <w:rPr>
          <w:rFonts w:ascii="宋体" w:hAnsi="宋体"/>
          <w:color w:val="auto"/>
          <w:spacing w:val="6"/>
          <w:szCs w:val="21"/>
          <w:highlight w:val="none"/>
        </w:rPr>
      </w:pPr>
    </w:p>
    <w:p>
      <w:pPr>
        <w:adjustRightInd w:val="0"/>
        <w:snapToGrid w:val="0"/>
        <w:spacing w:line="360" w:lineRule="auto"/>
        <w:ind w:firstLine="444" w:firstLineChars="200"/>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本单位郑重声明，根据《财政部 民政部 中国残疾人联合会关于促进残疾人就业政府采购政策的通知》（财库</w:t>
      </w:r>
      <w:r>
        <w:rPr>
          <w:rFonts w:hint="eastAsia" w:asciiTheme="minorEastAsia" w:hAnsiTheme="minorEastAsia" w:eastAsiaTheme="minorEastAsia" w:cstheme="minorEastAsia"/>
          <w:color w:val="auto"/>
          <w:sz w:val="21"/>
          <w:szCs w:val="21"/>
          <w:highlight w:val="none"/>
        </w:rPr>
        <w:t>〔2017〕141</w:t>
      </w:r>
      <w:r>
        <w:rPr>
          <w:rFonts w:hint="eastAsia" w:asciiTheme="minorEastAsia" w:hAnsiTheme="minorEastAsia" w:eastAsiaTheme="minorEastAsia" w:cstheme="minorEastAsia"/>
          <w:color w:val="auto"/>
          <w:spacing w:val="6"/>
          <w:sz w:val="21"/>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djustRightInd w:val="0"/>
        <w:snapToGrid w:val="0"/>
        <w:spacing w:line="360" w:lineRule="auto"/>
        <w:ind w:firstLine="444" w:firstLineChars="200"/>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本单位对上述声明的真实性负责。如有虚假，将依法承担相应责任。</w:t>
      </w:r>
    </w:p>
    <w:p>
      <w:pPr>
        <w:adjustRightInd w:val="0"/>
        <w:snapToGrid w:val="0"/>
        <w:spacing w:line="360" w:lineRule="auto"/>
        <w:ind w:firstLine="444" w:firstLineChars="200"/>
        <w:rPr>
          <w:rFonts w:hint="eastAsia" w:asciiTheme="minorEastAsia" w:hAnsiTheme="minorEastAsia" w:eastAsiaTheme="minorEastAsia" w:cstheme="minorEastAsia"/>
          <w:color w:val="auto"/>
          <w:spacing w:val="6"/>
          <w:sz w:val="21"/>
          <w:szCs w:val="21"/>
          <w:highlight w:val="none"/>
        </w:rPr>
      </w:pPr>
    </w:p>
    <w:p>
      <w:pPr>
        <w:adjustRightInd w:val="0"/>
        <w:snapToGrid w:val="0"/>
        <w:spacing w:line="360" w:lineRule="auto"/>
        <w:ind w:firstLine="444" w:firstLineChars="200"/>
        <w:rPr>
          <w:rFonts w:hint="eastAsia" w:asciiTheme="minorEastAsia" w:hAnsiTheme="minorEastAsia" w:eastAsiaTheme="minorEastAsia" w:cstheme="minorEastAsia"/>
          <w:color w:val="auto"/>
          <w:spacing w:val="6"/>
          <w:sz w:val="21"/>
          <w:szCs w:val="21"/>
          <w:highlight w:val="none"/>
        </w:rPr>
      </w:pPr>
    </w:p>
    <w:p>
      <w:pPr>
        <w:tabs>
          <w:tab w:val="left" w:pos="4860"/>
        </w:tabs>
        <w:adjustRightInd w:val="0"/>
        <w:snapToGrid w:val="0"/>
        <w:spacing w:line="360" w:lineRule="auto"/>
        <w:ind w:right="1560" w:firstLine="444" w:firstLineChars="200"/>
        <w:jc w:val="center"/>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 xml:space="preserve">               单位名称（盖章）：</w:t>
      </w:r>
    </w:p>
    <w:p>
      <w:pPr>
        <w:tabs>
          <w:tab w:val="left" w:pos="4860"/>
        </w:tabs>
        <w:adjustRightInd w:val="0"/>
        <w:snapToGrid w:val="0"/>
        <w:spacing w:line="360" w:lineRule="auto"/>
        <w:ind w:right="1560" w:firstLine="444" w:firstLineChars="200"/>
        <w:jc w:val="center"/>
        <w:rPr>
          <w:rFonts w:hint="eastAsia" w:asciiTheme="minorEastAsia" w:hAnsiTheme="minorEastAsia" w:eastAsiaTheme="minorEastAsia" w:cstheme="minorEastAsia"/>
          <w:color w:val="auto"/>
          <w:spacing w:val="6"/>
          <w:sz w:val="21"/>
          <w:szCs w:val="21"/>
          <w:highlight w:val="none"/>
        </w:rPr>
      </w:pPr>
      <w:r>
        <w:rPr>
          <w:rFonts w:hint="eastAsia" w:asciiTheme="minorEastAsia" w:hAnsiTheme="minorEastAsia" w:eastAsiaTheme="minorEastAsia" w:cstheme="minorEastAsia"/>
          <w:color w:val="auto"/>
          <w:spacing w:val="6"/>
          <w:sz w:val="21"/>
          <w:szCs w:val="21"/>
          <w:highlight w:val="none"/>
        </w:rPr>
        <w:t xml:space="preserve">       日  期：</w:t>
      </w:r>
    </w:p>
    <w:p>
      <w:pPr>
        <w:widowControl/>
        <w:adjustRightInd w:val="0"/>
        <w:snapToGrid w:val="0"/>
        <w:spacing w:line="360" w:lineRule="auto"/>
        <w:jc w:val="left"/>
        <w:rPr>
          <w:rFonts w:hint="eastAsia" w:asciiTheme="minorEastAsia" w:hAnsiTheme="minorEastAsia" w:eastAsiaTheme="minorEastAsia" w:cstheme="minorEastAsia"/>
          <w:color w:val="auto"/>
          <w:kern w:val="0"/>
          <w:sz w:val="21"/>
          <w:szCs w:val="21"/>
          <w:highlight w:val="none"/>
        </w:rPr>
      </w:pPr>
    </w:p>
    <w:p>
      <w:pPr>
        <w:widowControl/>
        <w:adjustRightInd w:val="0"/>
        <w:snapToGrid w:val="0"/>
        <w:spacing w:line="360" w:lineRule="auto"/>
        <w:rPr>
          <w:rFonts w:ascii="黑体" w:hAnsi="宋体" w:eastAsia="黑体" w:cs="宋体"/>
          <w:color w:val="auto"/>
          <w:kern w:val="0"/>
          <w:szCs w:val="21"/>
          <w:highlight w:val="none"/>
        </w:rPr>
      </w:pPr>
    </w:p>
    <w:p>
      <w:pPr>
        <w:widowControl/>
        <w:adjustRightInd w:val="0"/>
        <w:snapToGrid w:val="0"/>
        <w:spacing w:line="360" w:lineRule="auto"/>
        <w:rPr>
          <w:rFonts w:ascii="黑体" w:hAnsi="宋体" w:eastAsia="黑体" w:cs="宋体"/>
          <w:color w:val="auto"/>
          <w:kern w:val="0"/>
          <w:szCs w:val="21"/>
          <w:highlight w:val="none"/>
        </w:rPr>
      </w:pPr>
    </w:p>
    <w:p>
      <w:pPr>
        <w:pStyle w:val="7"/>
        <w:spacing w:before="0" w:after="0"/>
        <w:jc w:val="center"/>
        <w:rPr>
          <w:rFonts w:ascii="黑体" w:hAnsi="华文中宋" w:eastAsia="黑体"/>
          <w:color w:val="auto"/>
          <w:sz w:val="28"/>
          <w:szCs w:val="28"/>
          <w:highlight w:val="none"/>
        </w:rPr>
      </w:pPr>
      <w:r>
        <w:rPr>
          <w:rFonts w:hint="eastAsia" w:ascii="黑体" w:hAnsi="华文中宋" w:eastAsia="黑体"/>
          <w:color w:val="auto"/>
          <w:sz w:val="28"/>
          <w:szCs w:val="28"/>
          <w:highlight w:val="none"/>
        </w:rPr>
        <w:t>监狱企业证明资料</w:t>
      </w:r>
    </w:p>
    <w:p>
      <w:pPr>
        <w:adjustRightInd w:val="0"/>
        <w:snapToGrid w:val="0"/>
        <w:spacing w:line="360" w:lineRule="auto"/>
        <w:jc w:val="center"/>
        <w:rPr>
          <w:rFonts w:ascii="宋体" w:hAnsi="宋体"/>
          <w:b/>
          <w:color w:val="auto"/>
          <w:spacing w:val="6"/>
          <w:szCs w:val="21"/>
          <w:highlight w:val="none"/>
        </w:rPr>
      </w:pPr>
      <w:r>
        <w:rPr>
          <w:rFonts w:hint="eastAsia" w:ascii="宋体" w:hAnsi="宋体"/>
          <w:b/>
          <w:color w:val="auto"/>
          <w:spacing w:val="6"/>
          <w:szCs w:val="21"/>
          <w:highlight w:val="none"/>
        </w:rPr>
        <w:t>【不属于监狱企业的无需提供】</w:t>
      </w:r>
    </w:p>
    <w:p>
      <w:pPr>
        <w:adjustRightInd w:val="0"/>
        <w:snapToGrid w:val="0"/>
        <w:spacing w:line="360" w:lineRule="auto"/>
        <w:rPr>
          <w:rFonts w:hint="eastAsia" w:asciiTheme="minorEastAsia" w:hAnsiTheme="minorEastAsia" w:eastAsiaTheme="minorEastAsia" w:cstheme="minorEastAsia"/>
          <w:color w:val="auto"/>
          <w:sz w:val="21"/>
          <w:szCs w:val="21"/>
          <w:highlight w:val="none"/>
        </w:rPr>
      </w:pPr>
    </w:p>
    <w:p>
      <w:pPr>
        <w:adjustRightInd w:val="0"/>
        <w:snapToGrid w:val="0"/>
        <w:spacing w:line="360" w:lineRule="auto"/>
        <w:ind w:firstLine="444"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bCs/>
          <w:color w:val="auto"/>
          <w:spacing w:val="6"/>
          <w:kern w:val="0"/>
          <w:sz w:val="21"/>
          <w:szCs w:val="21"/>
          <w:highlight w:val="none"/>
        </w:rPr>
        <w:t>备注：</w:t>
      </w:r>
      <w:r>
        <w:rPr>
          <w:rFonts w:hint="eastAsia" w:asciiTheme="minorEastAsia" w:hAnsiTheme="minorEastAsia" w:eastAsiaTheme="minorEastAsia" w:cstheme="minorEastAsia"/>
          <w:color w:val="auto"/>
          <w:sz w:val="21"/>
          <w:szCs w:val="21"/>
          <w:highlight w:val="none"/>
        </w:rPr>
        <w:t>按</w:t>
      </w:r>
      <w:r>
        <w:rPr>
          <w:rFonts w:hint="eastAsia" w:asciiTheme="minorEastAsia" w:hAnsiTheme="minorEastAsia" w:eastAsiaTheme="minorEastAsia" w:cstheme="minorEastAsia"/>
          <w:color w:val="auto"/>
          <w:spacing w:val="6"/>
          <w:sz w:val="21"/>
          <w:szCs w:val="21"/>
          <w:highlight w:val="none"/>
        </w:rPr>
        <w:t>《</w:t>
      </w:r>
      <w:r>
        <w:rPr>
          <w:rFonts w:hint="eastAsia" w:asciiTheme="minorEastAsia" w:hAnsiTheme="minorEastAsia" w:eastAsiaTheme="minorEastAsia" w:cstheme="minorEastAsia"/>
          <w:color w:val="auto"/>
          <w:sz w:val="21"/>
          <w:szCs w:val="21"/>
          <w:highlight w:val="none"/>
        </w:rPr>
        <w:t>财政部 司法部关于政府采购支持监狱企业发展有关问题的通知</w:t>
      </w:r>
      <w:r>
        <w:rPr>
          <w:rFonts w:hint="eastAsia" w:asciiTheme="minorEastAsia" w:hAnsiTheme="minorEastAsia" w:eastAsiaTheme="minorEastAsia" w:cstheme="minorEastAsia"/>
          <w:color w:val="auto"/>
          <w:spacing w:val="6"/>
          <w:sz w:val="21"/>
          <w:szCs w:val="21"/>
          <w:highlight w:val="none"/>
        </w:rPr>
        <w:t>》</w:t>
      </w:r>
      <w:r>
        <w:rPr>
          <w:rFonts w:hint="eastAsia" w:asciiTheme="minorEastAsia" w:hAnsiTheme="minorEastAsia" w:eastAsiaTheme="minorEastAsia" w:cstheme="minorEastAsia"/>
          <w:color w:val="auto"/>
          <w:sz w:val="21"/>
          <w:szCs w:val="21"/>
          <w:highlight w:val="none"/>
        </w:rPr>
        <w:t>(财库〔2014〕68号)文件规定提供证明文件（复印件）。</w:t>
      </w:r>
    </w:p>
    <w:p>
      <w:pPr>
        <w:adjustRightInd w:val="0"/>
        <w:snapToGrid w:val="0"/>
        <w:rPr>
          <w:rFonts w:hint="eastAsia" w:asciiTheme="minorEastAsia" w:hAnsiTheme="minorEastAsia" w:eastAsiaTheme="minorEastAsia" w:cstheme="minorEastAsia"/>
          <w:color w:val="auto"/>
          <w:sz w:val="21"/>
          <w:szCs w:val="21"/>
          <w:highlight w:val="none"/>
        </w:rPr>
      </w:pPr>
    </w:p>
    <w:p>
      <w:pPr>
        <w:adjustRightInd w:val="0"/>
        <w:snapToGrid w:val="0"/>
        <w:rPr>
          <w:rFonts w:hint="eastAsia" w:asciiTheme="minorEastAsia" w:hAnsiTheme="minorEastAsia" w:eastAsiaTheme="minorEastAsia" w:cstheme="minorEastAsia"/>
          <w:color w:val="auto"/>
          <w:sz w:val="21"/>
          <w:szCs w:val="21"/>
          <w:highlight w:val="none"/>
        </w:rPr>
      </w:pPr>
    </w:p>
    <w:p>
      <w:pPr>
        <w:adjustRightInd w:val="0"/>
        <w:snapToGrid w:val="0"/>
        <w:rPr>
          <w:rFonts w:hint="eastAsia" w:asciiTheme="minorEastAsia" w:hAnsiTheme="minorEastAsia" w:eastAsiaTheme="minorEastAsia" w:cstheme="minorEastAsia"/>
          <w:color w:val="auto"/>
          <w:sz w:val="21"/>
          <w:szCs w:val="21"/>
          <w:highlight w:val="none"/>
        </w:rPr>
      </w:pPr>
    </w:p>
    <w:p>
      <w:pPr>
        <w:adjustRightInd w:val="0"/>
        <w:snapToGrid w:val="0"/>
        <w:rPr>
          <w:rFonts w:hint="eastAsia" w:asciiTheme="minorEastAsia" w:hAnsiTheme="minorEastAsia" w:eastAsiaTheme="minorEastAsia" w:cstheme="minorEastAsia"/>
          <w:color w:val="auto"/>
          <w:sz w:val="21"/>
          <w:szCs w:val="21"/>
          <w:highlight w:val="none"/>
        </w:rPr>
      </w:pPr>
    </w:p>
    <w:p>
      <w:pPr>
        <w:adjustRightInd w:val="0"/>
        <w:snapToGrid w:val="0"/>
        <w:rPr>
          <w:rFonts w:hint="eastAsia" w:asciiTheme="minorEastAsia" w:hAnsiTheme="minorEastAsia" w:eastAsiaTheme="minorEastAsia" w:cstheme="minorEastAsia"/>
          <w:color w:val="auto"/>
          <w:sz w:val="21"/>
          <w:szCs w:val="21"/>
          <w:highlight w:val="none"/>
        </w:rPr>
      </w:pPr>
    </w:p>
    <w:p>
      <w:pPr>
        <w:adjustRightInd w:val="0"/>
        <w:snapToGrid w:val="0"/>
        <w:rPr>
          <w:rFonts w:hint="eastAsia" w:ascii="黑体" w:eastAsia="黑体"/>
          <w:color w:val="auto"/>
          <w:sz w:val="30"/>
          <w:szCs w:val="30"/>
          <w:highlight w:val="none"/>
        </w:rPr>
      </w:pPr>
    </w:p>
    <w:p>
      <w:pPr>
        <w:adjustRightInd w:val="0"/>
        <w:snapToGrid w:val="0"/>
        <w:rPr>
          <w:rFonts w:hint="eastAsia" w:ascii="黑体" w:eastAsia="黑体"/>
          <w:color w:val="auto"/>
          <w:sz w:val="30"/>
          <w:szCs w:val="30"/>
          <w:highlight w:val="none"/>
        </w:rPr>
      </w:pPr>
    </w:p>
    <w:p>
      <w:pPr>
        <w:adjustRightInd w:val="0"/>
        <w:snapToGrid w:val="0"/>
        <w:rPr>
          <w:rFonts w:hint="eastAsia" w:ascii="黑体" w:eastAsia="黑体"/>
          <w:color w:val="auto"/>
          <w:sz w:val="30"/>
          <w:szCs w:val="30"/>
          <w:highlight w:val="none"/>
        </w:rPr>
      </w:pPr>
    </w:p>
    <w:p>
      <w:pPr>
        <w:pStyle w:val="222"/>
        <w:rPr>
          <w:rFonts w:hint="eastAsia"/>
          <w:color w:val="auto"/>
          <w:highlight w:val="none"/>
        </w:rPr>
      </w:pPr>
    </w:p>
    <w:p>
      <w:pPr>
        <w:adjustRightInd w:val="0"/>
        <w:snapToGrid w:val="0"/>
        <w:rPr>
          <w:rFonts w:hint="eastAsia" w:ascii="黑体" w:eastAsia="黑体"/>
          <w:color w:val="auto"/>
          <w:sz w:val="30"/>
          <w:szCs w:val="30"/>
          <w:highlight w:val="none"/>
        </w:rPr>
      </w:pPr>
    </w:p>
    <w:p>
      <w:pPr>
        <w:adjustRightInd w:val="0"/>
        <w:snapToGrid w:val="0"/>
        <w:rPr>
          <w:rFonts w:hint="eastAsia" w:ascii="黑体" w:eastAsia="黑体"/>
          <w:color w:val="auto"/>
          <w:sz w:val="30"/>
          <w:szCs w:val="30"/>
          <w:highlight w:val="none"/>
        </w:rPr>
      </w:pPr>
    </w:p>
    <w:p>
      <w:pPr>
        <w:ind w:firstLine="803"/>
        <w:jc w:val="center"/>
        <w:rPr>
          <w:rFonts w:hint="eastAsia" w:ascii="宋体" w:hAnsi="宋体" w:cs="宋体"/>
          <w:b/>
          <w:color w:val="auto"/>
          <w:sz w:val="30"/>
          <w:szCs w:val="30"/>
          <w:highlight w:val="none"/>
        </w:rPr>
      </w:pPr>
      <w:r>
        <w:rPr>
          <w:rFonts w:hint="eastAsia" w:ascii="宋体" w:hAnsi="宋体" w:cs="宋体"/>
          <w:b/>
          <w:bCs/>
          <w:color w:val="auto"/>
          <w:sz w:val="30"/>
          <w:szCs w:val="30"/>
          <w:highlight w:val="none"/>
        </w:rPr>
        <w:t>七、</w:t>
      </w:r>
      <w:r>
        <w:rPr>
          <w:rFonts w:hint="eastAsia" w:ascii="宋体" w:hAnsi="宋体" w:cs="宋体"/>
          <w:b/>
          <w:color w:val="auto"/>
          <w:sz w:val="30"/>
          <w:szCs w:val="30"/>
          <w:highlight w:val="none"/>
        </w:rPr>
        <w:t>报价一览表及报价文件</w:t>
      </w:r>
    </w:p>
    <w:p>
      <w:pPr>
        <w:tabs>
          <w:tab w:val="left" w:pos="1680"/>
        </w:tabs>
        <w:adjustRightInd w:val="0"/>
        <w:snapToGrid w:val="0"/>
        <w:rPr>
          <w:rFonts w:hint="eastAsia" w:ascii="宋体" w:hAnsi="宋体" w:cs="宋体"/>
          <w:color w:val="auto"/>
          <w:sz w:val="21"/>
          <w:szCs w:val="21"/>
          <w:highlight w:val="none"/>
        </w:rPr>
      </w:pPr>
      <w:r>
        <w:rPr>
          <w:rFonts w:hint="eastAsia" w:ascii="宋体" w:hAnsi="宋体" w:cs="宋体"/>
          <w:color w:val="auto"/>
          <w:sz w:val="21"/>
          <w:szCs w:val="21"/>
          <w:highlight w:val="none"/>
        </w:rPr>
        <w:t>附件10</w:t>
      </w:r>
      <w:r>
        <w:rPr>
          <w:rFonts w:hint="eastAsia" w:ascii="宋体" w:hAnsi="宋体" w:cs="宋体"/>
          <w:color w:val="auto"/>
          <w:sz w:val="21"/>
          <w:szCs w:val="21"/>
          <w:highlight w:val="none"/>
        </w:rPr>
        <w:tab/>
      </w:r>
    </w:p>
    <w:p>
      <w:pPr>
        <w:spacing w:line="360" w:lineRule="exact"/>
        <w:ind w:firstLine="210" w:firstLineChars="100"/>
        <w:rPr>
          <w:rFonts w:hint="eastAsia" w:ascii="宋体" w:hAnsi="宋体" w:cs="宋体"/>
          <w:color w:val="auto"/>
          <w:sz w:val="21"/>
          <w:szCs w:val="21"/>
          <w:highlight w:val="none"/>
        </w:rPr>
      </w:pPr>
    </w:p>
    <w:p>
      <w:pPr>
        <w:adjustRightInd w:val="0"/>
        <w:snapToGrid w:val="0"/>
        <w:jc w:val="center"/>
        <w:rPr>
          <w:rFonts w:hint="eastAsia" w:ascii="宋体" w:hAnsi="宋体" w:cs="宋体"/>
          <w:bCs/>
          <w:color w:val="auto"/>
          <w:sz w:val="21"/>
          <w:szCs w:val="21"/>
          <w:highlight w:val="none"/>
        </w:rPr>
      </w:pPr>
    </w:p>
    <w:p>
      <w:pPr>
        <w:jc w:val="center"/>
        <w:rPr>
          <w:rFonts w:hint="eastAsia" w:ascii="宋体" w:hAnsi="宋体" w:cs="宋体"/>
          <w:color w:val="auto"/>
          <w:sz w:val="21"/>
          <w:szCs w:val="21"/>
          <w:highlight w:val="none"/>
        </w:rPr>
      </w:pPr>
      <w:r>
        <w:rPr>
          <w:rFonts w:hint="eastAsia" w:ascii="黑体" w:hAnsi="宋体" w:eastAsia="黑体"/>
          <w:bCs/>
          <w:color w:val="auto"/>
          <w:sz w:val="30"/>
          <w:szCs w:val="30"/>
          <w:highlight w:val="none"/>
        </w:rPr>
        <w:t>报价一览表</w:t>
      </w:r>
    </w:p>
    <w:p>
      <w:pPr>
        <w:adjustRightInd w:val="0"/>
        <w:snapToGrid w:val="0"/>
        <w:rPr>
          <w:rFonts w:hint="eastAsia" w:ascii="宋体" w:hAnsi="宋体" w:cs="宋体"/>
          <w:color w:val="auto"/>
          <w:sz w:val="21"/>
          <w:szCs w:val="21"/>
          <w:highlight w:val="none"/>
        </w:rPr>
      </w:pPr>
    </w:p>
    <w:tbl>
      <w:tblPr>
        <w:tblStyle w:val="44"/>
        <w:tblW w:w="882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060"/>
        <w:gridCol w:w="1620"/>
        <w:gridCol w:w="25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1620" w:type="dxa"/>
            <w:tcBorders>
              <w:top w:val="double" w:color="auto" w:sz="4" w:space="0"/>
              <w:left w:val="double" w:color="auto" w:sz="4" w:space="0"/>
              <w:bottom w:val="single" w:color="auto" w:sz="6" w:space="0"/>
              <w:right w:val="single" w:color="auto" w:sz="6" w:space="0"/>
            </w:tcBorders>
            <w:noWrap w:val="0"/>
            <w:vAlign w:val="center"/>
          </w:tcPr>
          <w:p>
            <w:pPr>
              <w:tabs>
                <w:tab w:val="left" w:pos="403"/>
                <w:tab w:val="center" w:pos="3781"/>
              </w:tabs>
              <w:spacing w:line="420" w:lineRule="exact"/>
              <w:ind w:right="-6941" w:rightChars="-2479"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项目名称</w:t>
            </w:r>
          </w:p>
        </w:tc>
        <w:tc>
          <w:tcPr>
            <w:tcW w:w="3060" w:type="dxa"/>
            <w:tcBorders>
              <w:top w:val="double" w:color="auto" w:sz="4" w:space="0"/>
              <w:left w:val="single" w:color="auto" w:sz="6" w:space="0"/>
              <w:bottom w:val="single" w:color="auto" w:sz="6" w:space="0"/>
              <w:right w:val="single" w:color="auto" w:sz="6" w:space="0"/>
            </w:tcBorders>
            <w:noWrap w:val="0"/>
            <w:vAlign w:val="center"/>
          </w:tcPr>
          <w:p>
            <w:pPr>
              <w:spacing w:line="420" w:lineRule="exact"/>
              <w:jc w:val="center"/>
              <w:rPr>
                <w:rFonts w:hint="eastAsia" w:ascii="宋体" w:hAnsi="宋体" w:eastAsia="宋体" w:cs="宋体"/>
                <w:color w:val="auto"/>
                <w:sz w:val="21"/>
                <w:szCs w:val="21"/>
                <w:highlight w:val="none"/>
              </w:rPr>
            </w:pPr>
          </w:p>
        </w:tc>
        <w:tc>
          <w:tcPr>
            <w:tcW w:w="1620" w:type="dxa"/>
            <w:tcBorders>
              <w:top w:val="double" w:color="auto" w:sz="4" w:space="0"/>
              <w:left w:val="single" w:color="auto" w:sz="6" w:space="0"/>
              <w:right w:val="single" w:color="auto" w:sz="6" w:space="0"/>
            </w:tcBorders>
            <w:noWrap w:val="0"/>
            <w:vAlign w:val="center"/>
          </w:tcPr>
          <w:p>
            <w:pPr>
              <w:spacing w:line="4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采购代理编号</w:t>
            </w:r>
          </w:p>
        </w:tc>
        <w:tc>
          <w:tcPr>
            <w:tcW w:w="2520" w:type="dxa"/>
            <w:tcBorders>
              <w:top w:val="double" w:color="auto" w:sz="4" w:space="0"/>
              <w:left w:val="single" w:color="auto" w:sz="6" w:space="0"/>
              <w:right w:val="double" w:color="auto" w:sz="4" w:space="0"/>
            </w:tcBorders>
            <w:noWrap w:val="0"/>
            <w:vAlign w:val="center"/>
          </w:tcPr>
          <w:p>
            <w:pPr>
              <w:spacing w:line="420" w:lineRule="exact"/>
              <w:jc w:val="center"/>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20" w:type="dxa"/>
            <w:tcBorders>
              <w:top w:val="single" w:color="auto" w:sz="6" w:space="0"/>
              <w:left w:val="double" w:color="auto" w:sz="4" w:space="0"/>
              <w:right w:val="single" w:color="auto" w:sz="6" w:space="0"/>
            </w:tcBorders>
            <w:noWrap w:val="0"/>
            <w:vAlign w:val="center"/>
          </w:tcPr>
          <w:p>
            <w:pPr>
              <w:spacing w:line="4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服务内容</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rPr>
                <w:rFonts w:hint="eastAsia" w:ascii="宋体" w:hAnsi="宋体" w:eastAsia="宋体" w:cs="宋体"/>
                <w:color w:val="auto"/>
                <w:sz w:val="21"/>
                <w:szCs w:val="21"/>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20" w:type="dxa"/>
            <w:tcBorders>
              <w:top w:val="single" w:color="auto" w:sz="6" w:space="0"/>
              <w:left w:val="double" w:color="auto" w:sz="4" w:space="0"/>
              <w:right w:val="single" w:color="auto" w:sz="6" w:space="0"/>
            </w:tcBorders>
            <w:noWrap w:val="0"/>
            <w:vAlign w:val="center"/>
          </w:tcPr>
          <w:p>
            <w:pPr>
              <w:spacing w:line="4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大写：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元人民币整</w:t>
            </w:r>
          </w:p>
          <w:p>
            <w:pPr>
              <w:spacing w:line="4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小写：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620" w:type="dxa"/>
            <w:tcBorders>
              <w:top w:val="single" w:color="auto" w:sz="6" w:space="0"/>
              <w:left w:val="double" w:color="auto" w:sz="4" w:space="0"/>
              <w:bottom w:val="single" w:color="auto" w:sz="6" w:space="0"/>
              <w:right w:val="single" w:color="auto" w:sz="6" w:space="0"/>
            </w:tcBorders>
            <w:noWrap w:val="0"/>
            <w:vAlign w:val="center"/>
          </w:tcPr>
          <w:p>
            <w:pPr>
              <w:spacing w:line="4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合同周期</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spacing w:line="420" w:lineRule="exact"/>
              <w:rPr>
                <w:rFonts w:hint="eastAsia" w:ascii="宋体" w:hAnsi="宋体" w:eastAsia="宋体" w:cs="宋体"/>
                <w:iCs/>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620" w:type="dxa"/>
            <w:tcBorders>
              <w:top w:val="single" w:color="auto" w:sz="6" w:space="0"/>
              <w:left w:val="double" w:color="auto" w:sz="4" w:space="0"/>
              <w:bottom w:val="single" w:color="auto" w:sz="6" w:space="0"/>
              <w:right w:val="single" w:color="auto" w:sz="6" w:space="0"/>
            </w:tcBorders>
            <w:noWrap w:val="0"/>
            <w:vAlign w:val="center"/>
          </w:tcPr>
          <w:p>
            <w:pPr>
              <w:spacing w:line="4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项目负责人</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spacing w:line="420" w:lineRule="exact"/>
              <w:ind w:firstLine="210" w:firstLineChars="100"/>
              <w:rPr>
                <w:rFonts w:hint="eastAsia" w:ascii="宋体" w:hAnsi="宋体" w:eastAsia="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620" w:type="dxa"/>
            <w:tcBorders>
              <w:top w:val="single" w:color="auto" w:sz="6" w:space="0"/>
              <w:left w:val="double" w:color="auto" w:sz="4" w:space="0"/>
              <w:bottom w:val="double" w:color="auto" w:sz="4" w:space="0"/>
              <w:right w:val="single" w:color="auto" w:sz="6" w:space="0"/>
            </w:tcBorders>
            <w:noWrap w:val="0"/>
            <w:vAlign w:val="center"/>
          </w:tcPr>
          <w:p>
            <w:pPr>
              <w:spacing w:line="4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  注</w:t>
            </w:r>
          </w:p>
        </w:tc>
        <w:tc>
          <w:tcPr>
            <w:tcW w:w="7200" w:type="dxa"/>
            <w:gridSpan w:val="3"/>
            <w:tcBorders>
              <w:top w:val="single" w:color="auto" w:sz="6" w:space="0"/>
              <w:left w:val="single" w:color="auto" w:sz="6" w:space="0"/>
              <w:bottom w:val="double" w:color="auto" w:sz="4" w:space="0"/>
              <w:right w:val="double" w:color="auto" w:sz="4" w:space="0"/>
            </w:tcBorders>
            <w:noWrap w:val="0"/>
            <w:vAlign w:val="center"/>
          </w:tcPr>
          <w:p>
            <w:pPr>
              <w:spacing w:line="420" w:lineRule="exact"/>
              <w:rPr>
                <w:rFonts w:hint="eastAsia" w:ascii="宋体" w:hAnsi="宋体" w:eastAsia="宋体" w:cs="宋体"/>
                <w:color w:val="auto"/>
                <w:sz w:val="21"/>
                <w:szCs w:val="21"/>
                <w:highlight w:val="none"/>
              </w:rPr>
            </w:pPr>
          </w:p>
        </w:tc>
      </w:tr>
    </w:tbl>
    <w:p>
      <w:pPr>
        <w:adjustRightInd w:val="0"/>
        <w:snapToGrid w:val="0"/>
        <w:spacing w:line="360" w:lineRule="auto"/>
        <w:ind w:left="-117" w:leftChars="-42"/>
        <w:rPr>
          <w:rFonts w:hint="eastAsia" w:ascii="宋体" w:hAnsi="宋体" w:cs="宋体"/>
          <w:color w:val="auto"/>
          <w:sz w:val="21"/>
          <w:szCs w:val="21"/>
          <w:highlight w:val="none"/>
        </w:rPr>
      </w:pPr>
    </w:p>
    <w:p>
      <w:pPr>
        <w:adjustRightInd w:val="0"/>
        <w:snapToGri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供应商（盖单位章）：</w:t>
      </w:r>
    </w:p>
    <w:p>
      <w:pPr>
        <w:adjustRightInd w:val="0"/>
        <w:snapToGri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法定代表人或其委托代理人签字：</w:t>
      </w:r>
      <w:r>
        <w:rPr>
          <w:rFonts w:hint="eastAsia" w:ascii="宋体" w:hAnsi="宋体" w:cs="宋体"/>
          <w:color w:val="auto"/>
          <w:sz w:val="21"/>
          <w:szCs w:val="21"/>
          <w:highlight w:val="none"/>
          <w:u w:val="single"/>
        </w:rPr>
        <w:t xml:space="preserve">       </w:t>
      </w:r>
    </w:p>
    <w:p>
      <w:pPr>
        <w:adjustRightInd w:val="0"/>
        <w:snapToGri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日期：</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日</w:t>
      </w:r>
    </w:p>
    <w:p>
      <w:pPr>
        <w:adjustRightInd w:val="0"/>
        <w:snapToGrid w:val="0"/>
        <w:rPr>
          <w:rFonts w:hint="eastAsia" w:ascii="宋体" w:hAnsi="宋体" w:cs="宋体"/>
          <w:color w:val="auto"/>
          <w:sz w:val="21"/>
          <w:szCs w:val="21"/>
          <w:highlight w:val="none"/>
        </w:rPr>
      </w:pPr>
    </w:p>
    <w:p>
      <w:pPr>
        <w:spacing w:line="360" w:lineRule="exact"/>
        <w:outlineLvl w:val="0"/>
        <w:rPr>
          <w:rFonts w:hint="eastAsia" w:ascii="宋体" w:hAnsi="宋体" w:cs="宋体"/>
          <w:color w:val="auto"/>
          <w:sz w:val="21"/>
          <w:szCs w:val="21"/>
          <w:highlight w:val="none"/>
        </w:rPr>
      </w:pPr>
    </w:p>
    <w:p>
      <w:pPr>
        <w:adjustRightInd w:val="0"/>
        <w:snapToGrid w:val="0"/>
        <w:spacing w:line="360" w:lineRule="auto"/>
        <w:ind w:left="-117" w:leftChars="-42"/>
        <w:rPr>
          <w:rFonts w:hint="eastAsia" w:ascii="宋体" w:hAnsi="宋体" w:cs="宋体"/>
          <w:color w:val="auto"/>
          <w:sz w:val="21"/>
          <w:szCs w:val="21"/>
          <w:highlight w:val="none"/>
        </w:rPr>
      </w:pPr>
    </w:p>
    <w:p>
      <w:pPr>
        <w:adjustRightInd w:val="0"/>
        <w:snapToGrid w:val="0"/>
        <w:spacing w:line="360" w:lineRule="auto"/>
        <w:ind w:left="-117" w:leftChars="-42"/>
        <w:rPr>
          <w:rFonts w:hint="eastAsia" w:ascii="宋体" w:hAnsi="宋体" w:cs="宋体"/>
          <w:color w:val="auto"/>
          <w:sz w:val="21"/>
          <w:szCs w:val="21"/>
          <w:highlight w:val="none"/>
        </w:rPr>
      </w:pPr>
    </w:p>
    <w:p>
      <w:pPr>
        <w:adjustRightInd w:val="0"/>
        <w:snapToGrid w:val="0"/>
        <w:spacing w:line="360" w:lineRule="auto"/>
        <w:ind w:left="-117" w:leftChars="-42"/>
        <w:rPr>
          <w:rFonts w:hint="eastAsia" w:ascii="宋体" w:hAnsi="宋体" w:cs="宋体"/>
          <w:color w:val="auto"/>
          <w:sz w:val="21"/>
          <w:szCs w:val="21"/>
          <w:highlight w:val="none"/>
        </w:rPr>
      </w:pPr>
    </w:p>
    <w:p>
      <w:pPr>
        <w:pStyle w:val="43"/>
        <w:ind w:left="560"/>
        <w:rPr>
          <w:rFonts w:hint="eastAsia" w:ascii="宋体" w:hAnsi="宋体" w:cs="宋体"/>
          <w:color w:val="auto"/>
          <w:szCs w:val="21"/>
          <w:highlight w:val="none"/>
        </w:rPr>
        <w:sectPr>
          <w:headerReference r:id="rId18" w:type="default"/>
          <w:footerReference r:id="rId19" w:type="default"/>
          <w:pgSz w:w="11906" w:h="16838"/>
          <w:pgMar w:top="232" w:right="1588" w:bottom="1474" w:left="1474" w:header="851" w:footer="992" w:gutter="0"/>
          <w:pgNumType w:fmt="decimal"/>
          <w:cols w:space="720" w:num="1"/>
          <w:docGrid w:type="linesAndChars" w:linePitch="312" w:charSpace="0"/>
        </w:sectPr>
      </w:pPr>
    </w:p>
    <w:p>
      <w:pPr>
        <w:adjustRightInd w:val="0"/>
        <w:snapToGrid w:val="0"/>
        <w:rPr>
          <w:rFonts w:hint="eastAsia" w:ascii="宋体" w:hAnsi="宋体" w:cs="宋体"/>
          <w:color w:val="auto"/>
          <w:sz w:val="21"/>
          <w:szCs w:val="21"/>
          <w:highlight w:val="none"/>
        </w:rPr>
      </w:pPr>
      <w:r>
        <w:rPr>
          <w:rFonts w:hint="eastAsia" w:ascii="宋体" w:hAnsi="宋体" w:cs="宋体"/>
          <w:color w:val="auto"/>
          <w:sz w:val="21"/>
          <w:szCs w:val="21"/>
          <w:highlight w:val="none"/>
        </w:rPr>
        <w:t>附件10-1</w:t>
      </w:r>
    </w:p>
    <w:p>
      <w:pPr>
        <w:adjustRightInd w:val="0"/>
        <w:snapToGrid w:val="0"/>
        <w:jc w:val="center"/>
        <w:rPr>
          <w:rFonts w:hint="eastAsia" w:ascii="宋体" w:hAnsi="宋体" w:cs="宋体"/>
          <w:b/>
          <w:bCs/>
          <w:color w:val="auto"/>
          <w:sz w:val="30"/>
          <w:szCs w:val="30"/>
          <w:highlight w:val="none"/>
        </w:rPr>
      </w:pPr>
      <w:r>
        <w:rPr>
          <w:rFonts w:hint="eastAsia" w:ascii="宋体" w:hAnsi="宋体" w:cs="宋体"/>
          <w:b/>
          <w:bCs/>
          <w:color w:val="auto"/>
          <w:sz w:val="30"/>
          <w:szCs w:val="30"/>
          <w:highlight w:val="none"/>
        </w:rPr>
        <w:t xml:space="preserve">分项价格表 </w:t>
      </w:r>
    </w:p>
    <w:p>
      <w:pPr>
        <w:spacing w:line="360" w:lineRule="exact"/>
        <w:rPr>
          <w:rFonts w:hint="eastAsia" w:ascii="宋体" w:hAnsi="宋体" w:cs="宋体"/>
          <w:b/>
          <w:color w:val="auto"/>
          <w:sz w:val="21"/>
          <w:szCs w:val="21"/>
          <w:highlight w:val="none"/>
        </w:rPr>
      </w:pPr>
    </w:p>
    <w:p>
      <w:pPr>
        <w:spacing w:line="360" w:lineRule="exact"/>
        <w:ind w:firstLine="210" w:firstLineChars="100"/>
        <w:rPr>
          <w:rFonts w:hint="eastAsia" w:ascii="宋体" w:hAnsi="宋体" w:cs="宋体"/>
          <w:b/>
          <w:color w:val="auto"/>
          <w:sz w:val="21"/>
          <w:szCs w:val="21"/>
          <w:highlight w:val="none"/>
        </w:rPr>
      </w:pPr>
      <w:r>
        <w:rPr>
          <w:rFonts w:hint="eastAsia" w:ascii="宋体" w:hAnsi="宋体" w:cs="宋体"/>
          <w:b/>
          <w:color w:val="auto"/>
          <w:sz w:val="21"/>
          <w:szCs w:val="21"/>
          <w:highlight w:val="none"/>
        </w:rPr>
        <w:t>项目名称：</w:t>
      </w:r>
    </w:p>
    <w:p>
      <w:pPr>
        <w:spacing w:line="360" w:lineRule="exact"/>
        <w:ind w:firstLine="210" w:firstLineChars="100"/>
        <w:rPr>
          <w:rFonts w:hint="eastAsia" w:ascii="宋体" w:hAnsi="宋体" w:cs="宋体"/>
          <w:b/>
          <w:color w:val="auto"/>
          <w:sz w:val="21"/>
          <w:szCs w:val="21"/>
          <w:highlight w:val="none"/>
        </w:rPr>
      </w:pPr>
      <w:r>
        <w:rPr>
          <w:rFonts w:hint="eastAsia" w:ascii="宋体" w:hAnsi="宋体" w:cs="宋体"/>
          <w:b/>
          <w:color w:val="auto"/>
          <w:sz w:val="21"/>
          <w:szCs w:val="21"/>
          <w:highlight w:val="none"/>
        </w:rPr>
        <w:t>包号：                                                                                                       金额单位：元</w:t>
      </w:r>
    </w:p>
    <w:tbl>
      <w:tblPr>
        <w:tblStyle w:val="44"/>
        <w:tblW w:w="14752" w:type="dxa"/>
        <w:tblInd w:w="289"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141"/>
        <w:gridCol w:w="1665"/>
        <w:gridCol w:w="3810"/>
        <w:gridCol w:w="2385"/>
        <w:gridCol w:w="2415"/>
        <w:gridCol w:w="156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21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服务名称</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人员数量（人）</w:t>
            </w:r>
          </w:p>
        </w:tc>
        <w:tc>
          <w:tcPr>
            <w:tcW w:w="3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eastAsia="zh-CN"/>
              </w:rPr>
              <w:t>金额（元</w:t>
            </w:r>
            <w:r>
              <w:rPr>
                <w:rFonts w:hint="eastAsia" w:ascii="宋体" w:hAnsi="宋体" w:cs="宋体"/>
                <w:color w:val="auto"/>
                <w:sz w:val="21"/>
                <w:szCs w:val="21"/>
                <w:highlight w:val="none"/>
                <w:lang w:val="en-US" w:eastAsia="zh-CN"/>
              </w:rPr>
              <w:t>/月</w:t>
            </w:r>
            <w:r>
              <w:rPr>
                <w:rFonts w:hint="eastAsia" w:ascii="宋体" w:hAnsi="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cs="宋体"/>
                <w:b/>
                <w:bCs/>
                <w:color w:val="auto"/>
                <w:sz w:val="21"/>
                <w:szCs w:val="21"/>
                <w:highlight w:val="none"/>
                <w:lang w:eastAsia="zh-CN"/>
              </w:rPr>
              <w:t>（本项单项上限值为</w:t>
            </w:r>
            <w:r>
              <w:rPr>
                <w:rFonts w:hint="eastAsia" w:ascii="宋体" w:hAnsi="宋体" w:cs="宋体"/>
                <w:b/>
                <w:bCs/>
                <w:color w:val="auto"/>
                <w:sz w:val="21"/>
                <w:szCs w:val="21"/>
                <w:highlight w:val="none"/>
                <w:lang w:val="en-US" w:eastAsia="zh-CN"/>
              </w:rPr>
              <w:t>3000元/月/人</w:t>
            </w:r>
            <w:r>
              <w:rPr>
                <w:rFonts w:hint="eastAsia" w:ascii="宋体" w:hAnsi="宋体" w:cs="宋体"/>
                <w:b/>
                <w:bCs/>
                <w:color w:val="auto"/>
                <w:sz w:val="21"/>
                <w:szCs w:val="21"/>
                <w:highlight w:val="none"/>
                <w:lang w:eastAsia="zh-CN"/>
              </w:rPr>
              <w:t>）</w:t>
            </w:r>
          </w:p>
        </w:tc>
        <w:tc>
          <w:tcPr>
            <w:tcW w:w="23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时间（月）</w:t>
            </w:r>
          </w:p>
        </w:tc>
        <w:tc>
          <w:tcPr>
            <w:tcW w:w="24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小计</w:t>
            </w:r>
            <w:r>
              <w:rPr>
                <w:rFonts w:hint="eastAsia" w:ascii="宋体" w:hAnsi="宋体" w:cs="宋体"/>
                <w:color w:val="auto"/>
                <w:sz w:val="21"/>
                <w:szCs w:val="21"/>
                <w:highlight w:val="none"/>
                <w:lang w:eastAsia="zh-CN"/>
              </w:rPr>
              <w:t>（元</w:t>
            </w:r>
            <w:r>
              <w:rPr>
                <w:rFonts w:hint="eastAsia" w:ascii="宋体" w:hAnsi="宋体" w:cs="宋体"/>
                <w:color w:val="auto"/>
                <w:sz w:val="21"/>
                <w:szCs w:val="21"/>
                <w:highlight w:val="none"/>
                <w:lang w:val="en-US" w:eastAsia="zh-CN"/>
              </w:rPr>
              <w:t>/年</w:t>
            </w:r>
            <w:r>
              <w:rPr>
                <w:rFonts w:hint="eastAsia" w:ascii="宋体" w:hAnsi="宋体" w:cs="宋体"/>
                <w:color w:val="auto"/>
                <w:sz w:val="21"/>
                <w:szCs w:val="21"/>
                <w:highlight w:val="none"/>
                <w:lang w:eastAsia="zh-CN"/>
              </w:rPr>
              <w:t>）</w:t>
            </w:r>
          </w:p>
        </w:tc>
        <w:tc>
          <w:tcPr>
            <w:tcW w:w="15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21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24人</w:t>
            </w:r>
          </w:p>
        </w:tc>
        <w:tc>
          <w:tcPr>
            <w:tcW w:w="3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23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12月</w:t>
            </w:r>
          </w:p>
        </w:tc>
        <w:tc>
          <w:tcPr>
            <w:tcW w:w="24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21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3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23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24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21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3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23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24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21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合计</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3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23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24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auto"/>
                <w:sz w:val="21"/>
                <w:szCs w:val="21"/>
                <w:highlight w:val="none"/>
              </w:rPr>
            </w:pPr>
          </w:p>
        </w:tc>
      </w:tr>
    </w:tbl>
    <w:p>
      <w:pPr>
        <w:spacing w:line="360" w:lineRule="exact"/>
        <w:ind w:firstLine="210" w:firstLineChars="100"/>
        <w:rPr>
          <w:rFonts w:hint="eastAsia" w:ascii="宋体" w:hAnsi="宋体" w:cs="宋体"/>
          <w:b/>
          <w:color w:val="auto"/>
          <w:sz w:val="21"/>
          <w:szCs w:val="21"/>
          <w:highlight w:val="none"/>
        </w:rPr>
      </w:pPr>
    </w:p>
    <w:p>
      <w:pPr>
        <w:adjustRightInd w:val="0"/>
        <w:snapToGrid w:val="0"/>
        <w:spacing w:line="360" w:lineRule="auto"/>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报价金额合计：小写：</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大写：</w:t>
      </w:r>
      <w:r>
        <w:rPr>
          <w:rFonts w:hint="eastAsia" w:ascii="宋体" w:hAnsi="宋体" w:cs="宋体"/>
          <w:color w:val="auto"/>
          <w:sz w:val="21"/>
          <w:szCs w:val="21"/>
          <w:highlight w:val="none"/>
          <w:u w:val="single"/>
        </w:rPr>
        <w:t xml:space="preserve">                      </w:t>
      </w:r>
    </w:p>
    <w:p>
      <w:pPr>
        <w:adjustRightInd w:val="0"/>
        <w:snapToGrid w:val="0"/>
        <w:spacing w:line="360" w:lineRule="auto"/>
        <w:ind w:left="-117" w:leftChars="-42"/>
        <w:rPr>
          <w:rFonts w:hint="eastAsia" w:ascii="宋体" w:hAnsi="宋体" w:cs="宋体"/>
          <w:color w:val="auto"/>
          <w:sz w:val="21"/>
          <w:szCs w:val="21"/>
          <w:highlight w:val="none"/>
        </w:rPr>
      </w:pPr>
      <w:r>
        <w:rPr>
          <w:rFonts w:hint="eastAsia" w:ascii="宋体" w:hAnsi="宋体" w:cs="宋体"/>
          <w:color w:val="auto"/>
          <w:sz w:val="21"/>
          <w:szCs w:val="21"/>
          <w:highlight w:val="none"/>
        </w:rPr>
        <w:t>说明：</w:t>
      </w:r>
    </w:p>
    <w:p>
      <w:pPr>
        <w:adjustRightInd w:val="0"/>
        <w:snapToGrid w:val="0"/>
        <w:spacing w:line="360" w:lineRule="auto"/>
        <w:ind w:left="-117" w:leftChars="-42" w:firstLine="315" w:firstLineChars="150"/>
        <w:rPr>
          <w:rFonts w:hint="eastAsia" w:ascii="宋体" w:hAnsi="宋体" w:cs="宋体"/>
          <w:color w:val="auto"/>
          <w:sz w:val="21"/>
          <w:szCs w:val="21"/>
          <w:highlight w:val="none"/>
        </w:rPr>
      </w:pPr>
      <w:r>
        <w:rPr>
          <w:rFonts w:hint="eastAsia" w:ascii="宋体" w:hAnsi="宋体" w:cs="宋体"/>
          <w:color w:val="auto"/>
          <w:sz w:val="21"/>
          <w:szCs w:val="21"/>
          <w:highlight w:val="none"/>
        </w:rPr>
        <w:t>1、本表包含磋商文件第四章《采购需求》或其他部分对该项目所有要求的详细报价。“合计”及“报价金额合计”应与附件</w:t>
      </w:r>
      <w:r>
        <w:rPr>
          <w:rFonts w:hint="eastAsia" w:ascii="宋体" w:hAnsi="宋体" w:cs="宋体"/>
          <w:color w:val="auto"/>
          <w:sz w:val="21"/>
          <w:szCs w:val="21"/>
          <w:highlight w:val="none"/>
          <w:lang w:val="en-US" w:eastAsia="zh-CN"/>
        </w:rPr>
        <w:t>10</w:t>
      </w:r>
      <w:r>
        <w:rPr>
          <w:rFonts w:hint="eastAsia" w:ascii="宋体" w:hAnsi="宋体" w:cs="宋体"/>
          <w:color w:val="auto"/>
          <w:sz w:val="21"/>
          <w:szCs w:val="21"/>
          <w:highlight w:val="none"/>
        </w:rPr>
        <w:t>《报价一览表》“报价”一致；栏目“单价”为综合单价，应包含所有隐含的管理费、税金和利润等其他费用，并在“具体要求说明”中注明分类项取费标准和其他费用的计费率和金额。</w:t>
      </w:r>
    </w:p>
    <w:p>
      <w:pPr>
        <w:adjustRightInd w:val="0"/>
        <w:snapToGrid w:val="0"/>
        <w:spacing w:line="360" w:lineRule="auto"/>
        <w:ind w:left="-117" w:leftChars="-42" w:firstLine="315" w:firstLineChars="150"/>
        <w:rPr>
          <w:rFonts w:hint="eastAsia" w:ascii="宋体" w:hAnsi="宋体" w:cs="宋体"/>
          <w:b/>
          <w:color w:val="auto"/>
          <w:sz w:val="21"/>
          <w:szCs w:val="21"/>
          <w:highlight w:val="none"/>
        </w:rPr>
        <w:sectPr>
          <w:pgSz w:w="16838" w:h="11906" w:orient="landscape"/>
          <w:pgMar w:top="1474" w:right="232" w:bottom="1588" w:left="1474" w:header="851" w:footer="992" w:gutter="0"/>
          <w:pgNumType w:fmt="decimal"/>
          <w:cols w:space="720" w:num="1"/>
          <w:docGrid w:type="linesAndChars" w:linePitch="312" w:charSpace="0"/>
        </w:sectPr>
      </w:pPr>
      <w:r>
        <w:rPr>
          <w:rFonts w:hint="eastAsia" w:ascii="宋体" w:hAnsi="宋体" w:cs="宋体"/>
          <w:color w:val="auto"/>
          <w:sz w:val="21"/>
          <w:szCs w:val="21"/>
          <w:highlight w:val="none"/>
        </w:rPr>
        <w:t>2、“服务名称”是指整包分项服务的内容，品目分类是指分项服务费用构成的明细分类项。</w:t>
      </w:r>
    </w:p>
    <w:p>
      <w:pPr>
        <w:adjustRightInd w:val="0"/>
        <w:snapToGrid w:val="0"/>
        <w:spacing w:line="360" w:lineRule="auto"/>
        <w:ind w:left="-118" w:leftChars="-42"/>
        <w:jc w:val="center"/>
        <w:rPr>
          <w:rFonts w:hint="eastAsia" w:ascii="宋体" w:hAnsi="宋体" w:cs="宋体"/>
          <w:color w:val="auto"/>
          <w:sz w:val="30"/>
          <w:szCs w:val="30"/>
          <w:highlight w:val="none"/>
        </w:rPr>
      </w:pPr>
      <w:r>
        <w:rPr>
          <w:rFonts w:hint="eastAsia" w:ascii="宋体" w:hAnsi="宋体" w:cs="宋体"/>
          <w:b/>
          <w:color w:val="auto"/>
          <w:sz w:val="30"/>
          <w:szCs w:val="30"/>
          <w:highlight w:val="none"/>
        </w:rPr>
        <w:t>八</w:t>
      </w:r>
      <w:r>
        <w:rPr>
          <w:rFonts w:hint="eastAsia" w:ascii="宋体" w:hAnsi="宋体" w:cs="宋体"/>
          <w:b/>
          <w:bCs/>
          <w:color w:val="auto"/>
          <w:sz w:val="30"/>
          <w:szCs w:val="30"/>
          <w:highlight w:val="none"/>
        </w:rPr>
        <w:t>、供应商认为需要提供的其它资料</w:t>
      </w:r>
    </w:p>
    <w:p>
      <w:pPr>
        <w:adjustRightInd w:val="0"/>
        <w:snapToGrid w:val="0"/>
        <w:spacing w:before="156" w:beforeLines="50" w:line="360" w:lineRule="auto"/>
        <w:jc w:val="center"/>
        <w:outlineLvl w:val="0"/>
        <w:rPr>
          <w:rFonts w:hint="eastAsia" w:ascii="宋体" w:hAnsi="宋体" w:cs="宋体"/>
          <w:b/>
          <w:color w:val="auto"/>
          <w:sz w:val="21"/>
          <w:szCs w:val="21"/>
          <w:highlight w:val="none"/>
        </w:rPr>
      </w:pPr>
    </w:p>
    <w:p>
      <w:pPr>
        <w:adjustRightInd w:val="0"/>
        <w:snapToGrid w:val="0"/>
        <w:spacing w:before="156" w:beforeLines="50" w:line="360" w:lineRule="auto"/>
        <w:jc w:val="center"/>
        <w:outlineLvl w:val="0"/>
        <w:rPr>
          <w:rFonts w:hint="eastAsia" w:ascii="宋体" w:hAnsi="宋体" w:cs="宋体"/>
          <w:b/>
          <w:color w:val="auto"/>
          <w:sz w:val="21"/>
          <w:szCs w:val="21"/>
          <w:highlight w:val="none"/>
        </w:rPr>
      </w:pPr>
    </w:p>
    <w:p>
      <w:pPr>
        <w:adjustRightInd w:val="0"/>
        <w:snapToGrid w:val="0"/>
        <w:spacing w:before="156" w:beforeLines="50" w:line="360" w:lineRule="auto"/>
        <w:jc w:val="center"/>
        <w:outlineLvl w:val="0"/>
        <w:rPr>
          <w:rFonts w:hint="eastAsia" w:ascii="宋体" w:hAnsi="宋体" w:cs="宋体"/>
          <w:b/>
          <w:color w:val="auto"/>
          <w:sz w:val="21"/>
          <w:szCs w:val="21"/>
          <w:highlight w:val="none"/>
        </w:rPr>
      </w:pPr>
    </w:p>
    <w:p>
      <w:pPr>
        <w:adjustRightInd w:val="0"/>
        <w:snapToGrid w:val="0"/>
        <w:spacing w:before="156" w:beforeLines="50" w:line="360" w:lineRule="auto"/>
        <w:jc w:val="center"/>
        <w:outlineLvl w:val="0"/>
        <w:rPr>
          <w:rFonts w:hint="eastAsia" w:ascii="宋体" w:hAnsi="宋体" w:cs="宋体"/>
          <w:b/>
          <w:color w:val="auto"/>
          <w:sz w:val="21"/>
          <w:szCs w:val="21"/>
          <w:highlight w:val="none"/>
        </w:rPr>
      </w:pPr>
    </w:p>
    <w:p>
      <w:pPr>
        <w:pStyle w:val="43"/>
        <w:ind w:left="560" w:firstLine="422"/>
        <w:rPr>
          <w:rFonts w:hint="eastAsia" w:ascii="宋体" w:hAnsi="宋体" w:cs="宋体"/>
          <w:b/>
          <w:color w:val="auto"/>
          <w:szCs w:val="21"/>
          <w:highlight w:val="none"/>
        </w:rPr>
      </w:pPr>
    </w:p>
    <w:p>
      <w:pPr>
        <w:pStyle w:val="43"/>
        <w:ind w:left="560" w:firstLine="422"/>
        <w:rPr>
          <w:rFonts w:hint="eastAsia" w:ascii="宋体" w:hAnsi="宋体" w:cs="宋体"/>
          <w:b/>
          <w:color w:val="auto"/>
          <w:szCs w:val="21"/>
          <w:highlight w:val="none"/>
        </w:rPr>
      </w:pPr>
    </w:p>
    <w:p>
      <w:pPr>
        <w:pStyle w:val="43"/>
        <w:ind w:left="560" w:firstLine="422"/>
        <w:rPr>
          <w:rFonts w:hint="eastAsia" w:ascii="宋体" w:hAnsi="宋体" w:cs="宋体"/>
          <w:b/>
          <w:color w:val="auto"/>
          <w:szCs w:val="21"/>
          <w:highlight w:val="none"/>
        </w:rPr>
      </w:pPr>
    </w:p>
    <w:p>
      <w:pPr>
        <w:pStyle w:val="43"/>
        <w:ind w:left="560" w:firstLine="422"/>
        <w:rPr>
          <w:rFonts w:hint="eastAsia" w:ascii="宋体" w:hAnsi="宋体" w:cs="宋体"/>
          <w:b/>
          <w:color w:val="auto"/>
          <w:szCs w:val="21"/>
          <w:highlight w:val="none"/>
        </w:rPr>
      </w:pPr>
    </w:p>
    <w:p>
      <w:pPr>
        <w:pStyle w:val="43"/>
        <w:ind w:left="560" w:firstLine="422"/>
        <w:rPr>
          <w:rFonts w:hint="eastAsia" w:ascii="宋体" w:hAnsi="宋体" w:cs="宋体"/>
          <w:b/>
          <w:color w:val="auto"/>
          <w:szCs w:val="21"/>
          <w:highlight w:val="none"/>
        </w:rPr>
      </w:pPr>
    </w:p>
    <w:p>
      <w:pPr>
        <w:pStyle w:val="43"/>
        <w:ind w:left="560" w:firstLine="422"/>
        <w:rPr>
          <w:rFonts w:hint="eastAsia" w:ascii="宋体" w:hAnsi="宋体" w:cs="宋体"/>
          <w:b/>
          <w:color w:val="auto"/>
          <w:szCs w:val="21"/>
          <w:highlight w:val="none"/>
        </w:rPr>
      </w:pPr>
    </w:p>
    <w:p>
      <w:pPr>
        <w:pStyle w:val="43"/>
        <w:ind w:left="560" w:firstLine="422"/>
        <w:rPr>
          <w:rFonts w:hint="eastAsia" w:ascii="宋体" w:hAnsi="宋体" w:cs="宋体"/>
          <w:b/>
          <w:color w:val="auto"/>
          <w:szCs w:val="21"/>
          <w:highlight w:val="none"/>
        </w:rPr>
      </w:pPr>
    </w:p>
    <w:p>
      <w:pPr>
        <w:pStyle w:val="43"/>
        <w:ind w:left="560" w:firstLine="422"/>
        <w:rPr>
          <w:rFonts w:hint="eastAsia" w:ascii="宋体" w:hAnsi="宋体" w:cs="宋体"/>
          <w:b/>
          <w:color w:val="auto"/>
          <w:szCs w:val="21"/>
          <w:highlight w:val="none"/>
        </w:rPr>
      </w:pPr>
    </w:p>
    <w:p>
      <w:pPr>
        <w:pStyle w:val="43"/>
        <w:ind w:left="560" w:firstLine="422"/>
        <w:rPr>
          <w:rFonts w:hint="eastAsia" w:ascii="宋体" w:hAnsi="宋体" w:cs="宋体"/>
          <w:b/>
          <w:color w:val="auto"/>
          <w:szCs w:val="21"/>
          <w:highlight w:val="none"/>
        </w:rPr>
      </w:pPr>
    </w:p>
    <w:p>
      <w:pPr>
        <w:pStyle w:val="43"/>
        <w:ind w:left="560" w:firstLine="422"/>
        <w:rPr>
          <w:rFonts w:hint="eastAsia" w:ascii="宋体" w:hAnsi="宋体" w:cs="宋体"/>
          <w:b/>
          <w:color w:val="auto"/>
          <w:szCs w:val="21"/>
          <w:highlight w:val="none"/>
        </w:rPr>
      </w:pPr>
    </w:p>
    <w:p>
      <w:pPr>
        <w:pStyle w:val="43"/>
        <w:ind w:left="560" w:firstLine="422"/>
        <w:rPr>
          <w:rFonts w:hint="eastAsia" w:ascii="宋体" w:hAnsi="宋体" w:cs="宋体"/>
          <w:b/>
          <w:color w:val="auto"/>
          <w:szCs w:val="21"/>
          <w:highlight w:val="none"/>
        </w:rPr>
      </w:pPr>
    </w:p>
    <w:p>
      <w:pPr>
        <w:pStyle w:val="43"/>
        <w:ind w:left="560" w:firstLine="422"/>
        <w:rPr>
          <w:rFonts w:hint="eastAsia" w:ascii="宋体" w:hAnsi="宋体" w:cs="宋体"/>
          <w:b/>
          <w:color w:val="auto"/>
          <w:szCs w:val="21"/>
          <w:highlight w:val="none"/>
        </w:rPr>
      </w:pPr>
    </w:p>
    <w:p>
      <w:pPr>
        <w:pStyle w:val="43"/>
        <w:ind w:left="560" w:firstLine="422"/>
        <w:rPr>
          <w:rFonts w:hint="eastAsia" w:ascii="宋体" w:hAnsi="宋体" w:cs="宋体"/>
          <w:b/>
          <w:color w:val="auto"/>
          <w:szCs w:val="21"/>
          <w:highlight w:val="none"/>
        </w:rPr>
      </w:pPr>
    </w:p>
    <w:p>
      <w:pPr>
        <w:pStyle w:val="43"/>
        <w:ind w:left="560" w:firstLine="422"/>
        <w:rPr>
          <w:rFonts w:hint="eastAsia" w:ascii="宋体" w:hAnsi="宋体" w:cs="宋体"/>
          <w:b/>
          <w:color w:val="auto"/>
          <w:szCs w:val="21"/>
          <w:highlight w:val="none"/>
        </w:rPr>
      </w:pPr>
    </w:p>
    <w:p>
      <w:pPr>
        <w:pStyle w:val="43"/>
        <w:ind w:left="560" w:firstLine="422"/>
        <w:rPr>
          <w:rFonts w:hint="eastAsia" w:ascii="宋体" w:hAnsi="宋体" w:cs="宋体"/>
          <w:b/>
          <w:color w:val="auto"/>
          <w:szCs w:val="21"/>
          <w:highlight w:val="none"/>
        </w:rPr>
      </w:pPr>
    </w:p>
    <w:p>
      <w:pPr>
        <w:pStyle w:val="43"/>
        <w:ind w:left="560" w:firstLine="422"/>
        <w:rPr>
          <w:rFonts w:hint="eastAsia" w:ascii="宋体" w:hAnsi="宋体" w:cs="宋体"/>
          <w:b/>
          <w:color w:val="auto"/>
          <w:szCs w:val="21"/>
          <w:highlight w:val="none"/>
        </w:rPr>
      </w:pPr>
    </w:p>
    <w:p>
      <w:pPr>
        <w:pStyle w:val="43"/>
        <w:ind w:left="560" w:firstLine="422"/>
        <w:rPr>
          <w:rFonts w:hint="eastAsia" w:ascii="宋体" w:hAnsi="宋体" w:cs="宋体"/>
          <w:b/>
          <w:color w:val="auto"/>
          <w:szCs w:val="21"/>
          <w:highlight w:val="none"/>
        </w:rPr>
      </w:pPr>
    </w:p>
    <w:p>
      <w:pPr>
        <w:pStyle w:val="43"/>
        <w:ind w:left="560" w:firstLine="422"/>
        <w:rPr>
          <w:rFonts w:hint="eastAsia" w:ascii="宋体" w:hAnsi="宋体" w:cs="宋体"/>
          <w:b/>
          <w:color w:val="auto"/>
          <w:szCs w:val="21"/>
          <w:highlight w:val="none"/>
        </w:rPr>
      </w:pPr>
    </w:p>
    <w:p>
      <w:pPr>
        <w:pStyle w:val="43"/>
        <w:ind w:left="560" w:firstLine="422"/>
        <w:rPr>
          <w:rFonts w:hint="eastAsia" w:ascii="宋体" w:hAnsi="宋体" w:cs="宋体"/>
          <w:b/>
          <w:color w:val="auto"/>
          <w:szCs w:val="21"/>
          <w:highlight w:val="none"/>
        </w:rPr>
      </w:pPr>
    </w:p>
    <w:p>
      <w:pPr>
        <w:pStyle w:val="43"/>
        <w:ind w:left="560" w:firstLine="422"/>
        <w:rPr>
          <w:rFonts w:hint="eastAsia" w:ascii="宋体" w:hAnsi="宋体" w:cs="宋体"/>
          <w:b/>
          <w:color w:val="auto"/>
          <w:szCs w:val="21"/>
          <w:highlight w:val="none"/>
        </w:rPr>
      </w:pPr>
    </w:p>
    <w:p>
      <w:pPr>
        <w:pStyle w:val="43"/>
        <w:ind w:left="560" w:firstLine="422"/>
        <w:rPr>
          <w:rFonts w:hint="eastAsia" w:ascii="宋体" w:hAnsi="宋体" w:cs="宋体"/>
          <w:b/>
          <w:color w:val="auto"/>
          <w:szCs w:val="21"/>
          <w:highlight w:val="none"/>
        </w:rPr>
      </w:pPr>
    </w:p>
    <w:p>
      <w:pPr>
        <w:pStyle w:val="43"/>
        <w:ind w:left="560" w:firstLine="422"/>
        <w:rPr>
          <w:rFonts w:hint="eastAsia" w:ascii="宋体" w:hAnsi="宋体" w:cs="宋体"/>
          <w:b/>
          <w:color w:val="auto"/>
          <w:szCs w:val="21"/>
          <w:highlight w:val="none"/>
        </w:rPr>
      </w:pPr>
    </w:p>
    <w:p>
      <w:pPr>
        <w:pStyle w:val="43"/>
        <w:ind w:left="560" w:firstLine="422"/>
        <w:rPr>
          <w:rFonts w:hint="eastAsia" w:ascii="宋体" w:hAnsi="宋体" w:cs="宋体"/>
          <w:b/>
          <w:color w:val="auto"/>
          <w:szCs w:val="21"/>
          <w:highlight w:val="none"/>
        </w:rPr>
      </w:pPr>
    </w:p>
    <w:p>
      <w:pPr>
        <w:pStyle w:val="43"/>
        <w:ind w:left="560" w:firstLine="422"/>
        <w:rPr>
          <w:rFonts w:hint="eastAsia" w:ascii="宋体" w:hAnsi="宋体" w:cs="宋体"/>
          <w:b/>
          <w:color w:val="auto"/>
          <w:szCs w:val="21"/>
          <w:highlight w:val="none"/>
        </w:rPr>
      </w:pPr>
    </w:p>
    <w:p>
      <w:pPr>
        <w:adjustRightInd w:val="0"/>
        <w:snapToGrid w:val="0"/>
        <w:spacing w:before="156" w:beforeLines="50" w:line="360" w:lineRule="auto"/>
        <w:jc w:val="center"/>
        <w:outlineLvl w:val="0"/>
        <w:rPr>
          <w:rFonts w:hint="eastAsia" w:ascii="宋体" w:hAnsi="宋体" w:cs="宋体"/>
          <w:b/>
          <w:color w:val="auto"/>
          <w:sz w:val="30"/>
          <w:szCs w:val="30"/>
          <w:highlight w:val="none"/>
        </w:rPr>
      </w:pPr>
      <w:r>
        <w:rPr>
          <w:rFonts w:hint="eastAsia" w:ascii="宋体" w:hAnsi="宋体" w:cs="宋体"/>
          <w:b/>
          <w:color w:val="auto"/>
          <w:sz w:val="30"/>
          <w:szCs w:val="30"/>
          <w:highlight w:val="none"/>
        </w:rPr>
        <w:t>九、最后报价</w:t>
      </w:r>
    </w:p>
    <w:p>
      <w:pPr>
        <w:adjustRightInd w:val="0"/>
        <w:snapToGrid w:val="0"/>
        <w:ind w:left="-118" w:leftChars="-42"/>
        <w:rPr>
          <w:rFonts w:hint="eastAsia" w:ascii="宋体" w:hAnsi="宋体" w:cs="宋体"/>
          <w:color w:val="auto"/>
          <w:sz w:val="21"/>
          <w:szCs w:val="21"/>
          <w:highlight w:val="none"/>
        </w:rPr>
      </w:pPr>
    </w:p>
    <w:p>
      <w:pPr>
        <w:adjustRightInd w:val="0"/>
        <w:snapToGrid w:val="0"/>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说明：</w:t>
      </w:r>
    </w:p>
    <w:p>
      <w:pPr>
        <w:adjustRightInd w:val="0"/>
        <w:snapToGrid w:val="0"/>
        <w:spacing w:line="360" w:lineRule="auto"/>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1、最后报价按第二章磋商须知第30条规定提供，格式按附件10、附件10-1提供。</w:t>
      </w:r>
    </w:p>
    <w:p>
      <w:pPr>
        <w:adjustRightInd w:val="0"/>
        <w:snapToGrid w:val="0"/>
        <w:spacing w:line="360" w:lineRule="auto"/>
        <w:ind w:left="-118" w:leftChars="-42" w:firstLine="525" w:firstLineChars="250"/>
        <w:rPr>
          <w:rFonts w:hint="eastAsia" w:ascii="宋体" w:hAnsi="宋体" w:cs="宋体"/>
          <w:color w:val="auto"/>
          <w:sz w:val="21"/>
          <w:szCs w:val="21"/>
          <w:highlight w:val="none"/>
        </w:rPr>
      </w:pPr>
      <w:r>
        <w:rPr>
          <w:rFonts w:hint="eastAsia" w:ascii="宋体" w:hAnsi="宋体" w:cs="宋体"/>
          <w:color w:val="auto"/>
          <w:sz w:val="21"/>
          <w:szCs w:val="21"/>
          <w:highlight w:val="none"/>
        </w:rPr>
        <w:t>2、最后报价需填列报价一览表</w:t>
      </w:r>
      <w:r>
        <w:rPr>
          <w:rFonts w:hint="eastAsia" w:ascii="宋体" w:hAnsi="宋体" w:cs="宋体"/>
          <w:b/>
          <w:bCs/>
          <w:color w:val="auto"/>
          <w:sz w:val="21"/>
          <w:szCs w:val="21"/>
          <w:highlight w:val="none"/>
        </w:rPr>
        <w:t>（此表请各投标供应商单独准备并提前准备自行携带至开标会现场）</w:t>
      </w:r>
      <w:r>
        <w:rPr>
          <w:rFonts w:hint="eastAsia" w:ascii="宋体" w:hAnsi="宋体" w:cs="宋体"/>
          <w:color w:val="auto"/>
          <w:sz w:val="21"/>
          <w:szCs w:val="21"/>
          <w:highlight w:val="none"/>
        </w:rPr>
        <w:t>。</w:t>
      </w:r>
    </w:p>
    <w:p>
      <w:pPr>
        <w:adjustRightInd w:val="0"/>
        <w:snapToGrid w:val="0"/>
        <w:spacing w:line="360" w:lineRule="auto"/>
        <w:ind w:left="-118" w:leftChars="-42" w:firstLine="525" w:firstLineChars="250"/>
        <w:rPr>
          <w:rFonts w:hint="eastAsia" w:ascii="宋体" w:hAnsi="宋体" w:cs="宋体"/>
          <w:color w:val="auto"/>
          <w:sz w:val="21"/>
          <w:szCs w:val="21"/>
          <w:highlight w:val="none"/>
        </w:rPr>
      </w:pPr>
      <w:r>
        <w:rPr>
          <w:rFonts w:hint="eastAsia" w:ascii="宋体" w:hAnsi="宋体" w:cs="宋体"/>
          <w:color w:val="auto"/>
          <w:sz w:val="21"/>
          <w:szCs w:val="21"/>
          <w:highlight w:val="none"/>
        </w:rPr>
        <w:t>3、最后报价现场提供。</w:t>
      </w:r>
    </w:p>
    <w:p>
      <w:pPr>
        <w:adjustRightInd w:val="0"/>
        <w:snapToGrid w:val="0"/>
        <w:spacing w:line="360" w:lineRule="auto"/>
        <w:ind w:left="-118" w:leftChars="-42" w:firstLine="525" w:firstLineChars="250"/>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rPr>
          <w:rFonts w:hint="eastAsia" w:ascii="宋体" w:hAnsi="宋体" w:cs="宋体"/>
          <w:color w:val="auto"/>
          <w:sz w:val="21"/>
          <w:szCs w:val="21"/>
          <w:highlight w:val="none"/>
        </w:rPr>
      </w:pPr>
    </w:p>
    <w:p>
      <w:pPr>
        <w:pStyle w:val="43"/>
        <w:ind w:left="560"/>
        <w:rPr>
          <w:rFonts w:hint="eastAsia"/>
          <w:color w:val="auto"/>
          <w:szCs w:val="21"/>
          <w:highlight w:val="none"/>
        </w:rPr>
      </w:pPr>
    </w:p>
    <w:sectPr>
      <w:footerReference r:id="rId20" w:type="default"/>
      <w:pgSz w:w="11906" w:h="16838"/>
      <w:pgMar w:top="1440" w:right="1800" w:bottom="1440" w:left="1800" w:header="992"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MS Sans Serif">
    <w:altName w:val="Segoe Print"/>
    <w:panose1 w:val="00000000000000000000"/>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Arail">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roman"/>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长城仿宋">
    <w:altName w:val="黑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rPr>
        <w:rFonts w:hint="eastAsia"/>
      </w:rPr>
    </w:pPr>
    <w:r>
      <w:rPr>
        <w:rFonts w:hint="eastAsia"/>
      </w:rPr>
      <w:t>湖南阳光建设工程项目管理有限公司</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rPr>
        <w:rFonts w:hint="eastAsia"/>
      </w:rPr>
    </w:pPr>
    <w:r>
      <w:rPr>
        <w:sz w:val="18"/>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中采联合招标有限公司                办公地址：长沙市芙蓉中路一段88号天健壹平方英里H栋24楼</w:t>
    </w:r>
  </w:p>
  <w:p>
    <w:pPr>
      <w:pStyle w:val="30"/>
      <w:ind w:right="360"/>
    </w:pPr>
    <w:r>
      <mc:AlternateContent>
        <mc:Choice Requires="wps">
          <w:drawing>
            <wp:anchor distT="0" distB="0" distL="114300" distR="114300" simplePos="0" relativeHeight="251667456" behindDoc="0" locked="0" layoutInCell="1" allowOverlap="1">
              <wp:simplePos x="0" y="0"/>
              <wp:positionH relativeFrom="margin">
                <wp:posOffset>5857240</wp:posOffset>
              </wp:positionH>
              <wp:positionV relativeFrom="paragraph">
                <wp:posOffset>147955</wp:posOffset>
              </wp:positionV>
              <wp:extent cx="114935" cy="131445"/>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461.2pt;margin-top:11.65pt;height:10.35pt;width:9.05pt;mso-position-horizontal-relative:margin;mso-wrap-style:none;z-index:251667456;mso-width-relative:page;mso-height-relative:page;" filled="f" stroked="f" coordsize="21600,21600" o:gfxdata="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pXP6HXAAAACQEAAA8AAAAAAAAAAQAg&#10;AAAAIgAAAGRycy9kb3ducmV2LnhtbFBLAQIUABQAAAAIAIdO4kD7ZiSA1gEAALIDAAAOAAAAAAAA&#10;AAEAIAAAACYBAABkcnMvZTJvRG9jLnhtbFBLBQYAAAAABgAGAFkBAABuBQ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联系电话：0731-85162085、85162185   网址：</w:t>
    </w:r>
    <w:r>
      <w:fldChar w:fldCharType="begin"/>
    </w:r>
    <w:r>
      <w:instrText xml:space="preserve"> HYPERLINK "http://www.zcbid.com" </w:instrText>
    </w:r>
    <w:r>
      <w:fldChar w:fldCharType="separate"/>
    </w:r>
    <w:r>
      <w:rPr>
        <w:rStyle w:val="53"/>
        <w:rFonts w:hint="eastAsia"/>
      </w:rPr>
      <w:t>www.zcbid.com</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rPr>
        <w:rFonts w:hint="eastAsia"/>
      </w:rPr>
    </w:pPr>
    <w:r>
      <w:rPr>
        <w:rFonts w:hint="eastAsia" w:ascii="宋体" w:hAnsi="宋体" w:cs="宋体"/>
        <w:bCs/>
        <w:kern w:val="0"/>
      </w:rPr>
      <w:t xml:space="preserve"> </w:t>
    </w:r>
    <w:r>
      <w:rPr>
        <w:sz w:val="18"/>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中采联合招标有限公司           办公地址：长沙市芙蓉中路一段88号天健壹平方英里H栋24楼</w:t>
    </w:r>
  </w:p>
  <w:p>
    <w:pPr>
      <w:pStyle w:val="30"/>
      <w:ind w:right="360"/>
      <w:rPr>
        <w:rFonts w:hint="eastAsia" w:ascii="宋体" w:hAnsi="宋体" w:cs="宋体"/>
        <w:bCs/>
        <w:sz w:val="21"/>
        <w:szCs w:val="21"/>
      </w:rPr>
    </w:pPr>
    <w:r>
      <mc:AlternateContent>
        <mc:Choice Requires="wps">
          <w:drawing>
            <wp:anchor distT="0" distB="0" distL="114300" distR="114300" simplePos="0" relativeHeight="251669504" behindDoc="0" locked="0" layoutInCell="1" allowOverlap="1">
              <wp:simplePos x="0" y="0"/>
              <wp:positionH relativeFrom="margin">
                <wp:posOffset>5857240</wp:posOffset>
              </wp:positionH>
              <wp:positionV relativeFrom="paragraph">
                <wp:posOffset>147955</wp:posOffset>
              </wp:positionV>
              <wp:extent cx="114935" cy="131445"/>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461.2pt;margin-top:11.65pt;height:10.35pt;width:9.05pt;mso-position-horizontal-relative:margin;mso-wrap-style:none;z-index:251669504;mso-width-relative:page;mso-height-relative:page;" filled="f" stroked="f" coordsize="21600,21600" o:gfxdata="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lc/odcAAAAJAQAADwAAAAAAAAAB&#10;ACAAAAAiAAAAZHJzL2Rvd25yZXYueG1sUEsBAhQAFAAAAAgAh07iQNLtJZ7YAQAAsgMAAA4AAAAA&#10;AAAAAQAgAAAAJgEAAGRycy9lMm9Eb2MueG1sUEsFBgAAAAAGAAYAWQEAAHA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联系电话：0731-85162085、85162185   网址：</w:t>
    </w:r>
    <w:r>
      <w:fldChar w:fldCharType="begin"/>
    </w:r>
    <w:r>
      <w:instrText xml:space="preserve"> HYPERLINK "http://www.zcbid.com" </w:instrText>
    </w:r>
    <w:r>
      <w:fldChar w:fldCharType="separate"/>
    </w:r>
    <w:r>
      <w:rPr>
        <w:rStyle w:val="53"/>
        <w:rFonts w:hint="eastAsia"/>
      </w:rPr>
      <w:t>www.zcbid.com</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rPr>
        <w:rFonts w:hint="eastAsia"/>
      </w:rPr>
    </w:pPr>
    <w:r>
      <w:rPr>
        <w:rFonts w:hint="eastAsia"/>
      </w:rPr>
      <w:t>中采联合招标有限公司                办公地址：长沙市芙蓉中路一段88号天健壹平方英里H栋24楼</w:t>
    </w:r>
  </w:p>
  <w:p>
    <w:pPr>
      <w:pStyle w:val="30"/>
      <w:ind w:right="360"/>
      <w:rPr>
        <w:rFonts w:hint="eastAsia"/>
        <w:lang w:eastAsia="zh-CN"/>
      </w:rPr>
    </w:pPr>
    <w:r>
      <mc:AlternateContent>
        <mc:Choice Requires="wps">
          <w:drawing>
            <wp:anchor distT="0" distB="0" distL="114300" distR="114300" simplePos="0" relativeHeight="251661312" behindDoc="0" locked="0" layoutInCell="1" allowOverlap="1">
              <wp:simplePos x="0" y="0"/>
              <wp:positionH relativeFrom="margin">
                <wp:posOffset>5857240</wp:posOffset>
              </wp:positionH>
              <wp:positionV relativeFrom="paragraph">
                <wp:posOffset>147955</wp:posOffset>
              </wp:positionV>
              <wp:extent cx="114935" cy="13144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461.2pt;margin-top:11.65pt;height:10.35pt;width:9.05pt;mso-position-horizontal-relative:margin;mso-wrap-style:none;z-index:251661312;mso-width-relative:page;mso-height-relative:page;" filled="f" stroked="f" coordsize="21600,21600" o:gfxdata="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pXP6HXAAAACQEAAA8AAAAAAAAAAQAg&#10;AAAAIgAAAGRycy9kb3ducmV2LnhtbFBLAQIUABQAAAAIAIdO4kBHhUnV1gEAALADAAAOAAAAAAAA&#10;AAEAIAAAACYBAABkcnMvZTJvRG9jLnhtbFBLBQYAAAAABgAGAFkBAABuBQ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联系电话：0731-85162085、85162185   网址：</w:t>
    </w:r>
    <w:r>
      <w:fldChar w:fldCharType="begin"/>
    </w:r>
    <w:r>
      <w:instrText xml:space="preserve"> HYPERLINK "http://www.zcbid.com" </w:instrText>
    </w:r>
    <w:r>
      <w:fldChar w:fldCharType="separate"/>
    </w:r>
    <w:r>
      <w:rPr>
        <w:rStyle w:val="53"/>
        <w:rFonts w:hint="eastAsia"/>
      </w:rPr>
      <w:t>www.zcbid.com</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rPr>
        <w:rFonts w:hint="eastAsia"/>
      </w:rPr>
    </w:pPr>
    <w:r>
      <w:rPr>
        <w:rFonts w:hint="eastAsia"/>
      </w:rPr>
      <w:t>中采联合招标有限公司                办公地址：长沙市芙蓉中路一段88号天健壹平方英里H栋24楼</w:t>
    </w:r>
  </w:p>
  <w:p>
    <w:pPr>
      <w:pStyle w:val="30"/>
      <w:ind w:right="360"/>
      <w:rPr>
        <w:rFonts w:hint="eastAsia"/>
      </w:rPr>
    </w:pPr>
    <w:r>
      <mc:AlternateContent>
        <mc:Choice Requires="wps">
          <w:drawing>
            <wp:anchor distT="0" distB="0" distL="114300" distR="114300" simplePos="0" relativeHeight="251660288" behindDoc="0" locked="0" layoutInCell="1" allowOverlap="1">
              <wp:simplePos x="0" y="0"/>
              <wp:positionH relativeFrom="margin">
                <wp:posOffset>5857240</wp:posOffset>
              </wp:positionH>
              <wp:positionV relativeFrom="paragraph">
                <wp:posOffset>147955</wp:posOffset>
              </wp:positionV>
              <wp:extent cx="114935" cy="13144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461.2pt;margin-top:11.65pt;height:10.35pt;width:9.05pt;mso-position-horizontal-relative:margin;mso-wrap-style:none;z-index:251660288;mso-width-relative:page;mso-height-relative:page;" filled="f" stroked="f" coordsize="21600,21600" o:gfxdata="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pXP6HXAAAACQEAAA8AAAAAAAAAAQAg&#10;AAAAIgAAAGRycy9kb3ducmV2LnhtbFBLAQIUABQAAAAIAIdO4kApYN3Q1gEAALIDAAAOAAAAAAAA&#10;AAEAIAAAACYBAABkcnMvZTJvRG9jLnhtbFBLBQYAAAAABgAGAFkBAABuBQ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联系电话：0731-85162085、85162185   网址：</w:t>
    </w:r>
    <w:r>
      <w:fldChar w:fldCharType="begin"/>
    </w:r>
    <w:r>
      <w:instrText xml:space="preserve"> HYPERLINK "http://www.zcbid.com" </w:instrText>
    </w:r>
    <w:r>
      <w:fldChar w:fldCharType="separate"/>
    </w:r>
    <w:r>
      <w:rPr>
        <w:rStyle w:val="53"/>
        <w:rFonts w:hint="eastAsia"/>
      </w:rPr>
      <w:t>www.zcbid.com</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3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rPr>
        <w:rFonts w:hint="eastAsia"/>
      </w:rPr>
    </w:pPr>
    <w:r>
      <w:rPr>
        <w:rFonts w:hint="eastAsia"/>
      </w:rPr>
      <w:t>中采联合招标有限公司                办公地址：长沙市芙蓉中路一段88号天健壹平方英里H栋24楼</w:t>
    </w:r>
  </w:p>
  <w:p>
    <w:pPr>
      <w:pStyle w:val="30"/>
      <w:ind w:right="360"/>
      <w:rPr>
        <w:rFonts w:hint="eastAsia"/>
      </w:rPr>
    </w:pPr>
    <w:r>
      <mc:AlternateContent>
        <mc:Choice Requires="wps">
          <w:drawing>
            <wp:anchor distT="0" distB="0" distL="114300" distR="114300" simplePos="0" relativeHeight="251662336" behindDoc="0" locked="0" layoutInCell="1" allowOverlap="1">
              <wp:simplePos x="0" y="0"/>
              <wp:positionH relativeFrom="margin">
                <wp:posOffset>5857240</wp:posOffset>
              </wp:positionH>
              <wp:positionV relativeFrom="paragraph">
                <wp:posOffset>147955</wp:posOffset>
              </wp:positionV>
              <wp:extent cx="114935" cy="131445"/>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461.2pt;margin-top:11.65pt;height:10.35pt;width:9.05pt;mso-position-horizontal-relative:margin;mso-wrap-style:none;z-index:251662336;mso-width-relative:page;mso-height-relative:page;" filled="f" stroked="f" coordsize="21600,21600" o:gfxdata="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aVz+h1wAAAAkBAAAPAAAAAAAAAAEA&#10;IAAAACIAAABkcnMvZG93bnJldi54bWxQSwECFAAUAAAACACHTuJAHTafXtcBAACyAwAADgAAAAAA&#10;AAABACAAAAAmAQAAZHJzL2Uyb0RvYy54bWxQSwUGAAAAAAYABgBZAQAAbwU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联系电话：0731-85162085、85162185   网址：</w:t>
    </w:r>
    <w:r>
      <w:fldChar w:fldCharType="begin"/>
    </w:r>
    <w:r>
      <w:instrText xml:space="preserve"> HYPERLINK "http://www.zcbid.com" </w:instrText>
    </w:r>
    <w:r>
      <w:fldChar w:fldCharType="separate"/>
    </w:r>
    <w:r>
      <w:rPr>
        <w:rStyle w:val="53"/>
        <w:rFonts w:hint="eastAsia"/>
      </w:rPr>
      <w:t>www.zcbid.com</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rPr>
        <w:rFonts w:hint="eastAsia"/>
      </w:rPr>
    </w:pPr>
    <w:r>
      <w:rPr>
        <w:sz w:val="18"/>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中采联合招标有限公司                办公地址：长沙市芙蓉中路一段88号天健壹平方英里H栋24楼</w:t>
    </w:r>
  </w:p>
  <w:p>
    <w:pPr>
      <w:pStyle w:val="30"/>
      <w:ind w:right="360"/>
      <w:rPr>
        <w:rFonts w:ascii="宋体" w:hAnsi="宋体"/>
        <w:sz w:val="28"/>
        <w:szCs w:val="28"/>
      </w:rPr>
    </w:pPr>
    <w:r>
      <mc:AlternateContent>
        <mc:Choice Requires="wps">
          <w:drawing>
            <wp:anchor distT="0" distB="0" distL="114300" distR="114300" simplePos="0" relativeHeight="251663360" behindDoc="0" locked="0" layoutInCell="1" allowOverlap="1">
              <wp:simplePos x="0" y="0"/>
              <wp:positionH relativeFrom="margin">
                <wp:posOffset>5857240</wp:posOffset>
              </wp:positionH>
              <wp:positionV relativeFrom="paragraph">
                <wp:posOffset>147955</wp:posOffset>
              </wp:positionV>
              <wp:extent cx="114935" cy="13144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461.2pt;margin-top:11.65pt;height:10.35pt;width:9.05pt;mso-position-horizontal-relative:margin;mso-wrap-style:none;z-index:251663360;mso-width-relative:page;mso-height-relative:page;" filled="f" stroked="f" coordsize="21600,21600" o:gfxdata="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aVz+h1wAAAAkBAAAPAAAAAAAAAAEA&#10;IAAAACIAAABkcnMvZG93bnJldi54bWxQSwECFAAUAAAACACHTuJAqXAnvNcBAACyAwAADgAAAAAA&#10;AAABACAAAAAmAQAAZHJzL2Uyb0RvYy54bWxQSwUGAAAAAAYABgBZAQAAbwU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联系电话：0731-85162085、85162185   网址：</w:t>
    </w:r>
    <w:r>
      <w:fldChar w:fldCharType="begin"/>
    </w:r>
    <w:r>
      <w:instrText xml:space="preserve"> HYPERLINK "http://www.zcbid.com" </w:instrText>
    </w:r>
    <w:r>
      <w:fldChar w:fldCharType="separate"/>
    </w:r>
    <w:r>
      <w:rPr>
        <w:rStyle w:val="53"/>
        <w:rFonts w:hint="eastAsia"/>
      </w:rPr>
      <w:t>www.zcbid.com</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hint="eastAsia" w:ascii="宋体" w:hAnsi="宋体"/>
        <w:sz w:val="28"/>
        <w:szCs w:val="2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rPr>
        <w:rFonts w:hint="eastAsia"/>
      </w:rPr>
    </w:pPr>
    <w:r>
      <w:rPr>
        <w:sz w:val="18"/>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中采联合招标有限公司                办公地址：长沙市芙蓉中路一段88号天健壹平方英里H栋24楼</w:t>
    </w:r>
  </w:p>
  <w:p>
    <w:pPr>
      <w:pStyle w:val="30"/>
      <w:ind w:right="360"/>
    </w:pPr>
    <w:r>
      <mc:AlternateContent>
        <mc:Choice Requires="wps">
          <w:drawing>
            <wp:anchor distT="0" distB="0" distL="114300" distR="114300" simplePos="0" relativeHeight="251665408" behindDoc="0" locked="0" layoutInCell="1" allowOverlap="1">
              <wp:simplePos x="0" y="0"/>
              <wp:positionH relativeFrom="margin">
                <wp:posOffset>5857240</wp:posOffset>
              </wp:positionH>
              <wp:positionV relativeFrom="paragraph">
                <wp:posOffset>147955</wp:posOffset>
              </wp:positionV>
              <wp:extent cx="114935" cy="131445"/>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left:461.2pt;margin-top:11.65pt;height:10.35pt;width:9.05pt;mso-position-horizontal-relative:margin;mso-wrap-style:none;z-index:251665408;mso-width-relative:page;mso-height-relative:page;" filled="f" stroked="f" coordsize="21600,21600" o:gfxdata="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lc/odcAAAAJAQAADwAAAAAAAAAB&#10;ACAAAAAiAAAAZHJzL2Rvd25yZXYueG1sUEsBAhQAFAAAAAgAh07iQID7JqLYAQAAsgMAAA4AAAAA&#10;AAAAAQAgAAAAJgEAAGRycy9lMm9Eb2MueG1sUEsFBgAAAAAGAAYAWQEAAHA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r>
      <w:rPr>
        <w:rFonts w:hint="eastAsia"/>
      </w:rPr>
      <w:t>联系电话：0731-85162085、85162185   网址：</w:t>
    </w:r>
    <w:r>
      <w:fldChar w:fldCharType="begin"/>
    </w:r>
    <w:r>
      <w:instrText xml:space="preserve"> HYPERLINK "http://www.zcbid.com" </w:instrText>
    </w:r>
    <w:r>
      <w:fldChar w:fldCharType="separate"/>
    </w:r>
    <w:r>
      <w:rPr>
        <w:rStyle w:val="53"/>
        <w:rFonts w:hint="eastAsia"/>
      </w:rPr>
      <w:t>www.zcbid.com</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tabs>
        <w:tab w:val="left" w:pos="7821"/>
        <w:tab w:val="clear" w:pos="4153"/>
        <w:tab w:val="clear" w:pos="8306"/>
      </w:tabs>
      <w:jc w:val="both"/>
    </w:pPr>
    <w:r>
      <w:rPr>
        <w:rFonts w:hint="eastAsia"/>
      </w:rPr>
      <w:drawing>
        <wp:inline distT="0" distB="0" distL="114300" distR="114300">
          <wp:extent cx="629920" cy="517525"/>
          <wp:effectExtent l="0" t="0" r="17780" b="15875"/>
          <wp:docPr id="6"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logo"/>
                  <pic:cNvPicPr>
                    <a:picLocks noChangeAspect="1"/>
                  </pic:cNvPicPr>
                </pic:nvPicPr>
                <pic:blipFill>
                  <a:blip r:embed="rId1"/>
                  <a:stretch>
                    <a:fillRect/>
                  </a:stretch>
                </pic:blipFill>
                <pic:spPr>
                  <a:xfrm>
                    <a:off x="0" y="0"/>
                    <a:ext cx="629920" cy="517525"/>
                  </a:xfrm>
                  <a:prstGeom prst="rect">
                    <a:avLst/>
                  </a:prstGeom>
                  <a:noFill/>
                  <a:ln>
                    <a:noFill/>
                  </a:ln>
                </pic:spPr>
              </pic:pic>
            </a:graphicData>
          </a:graphic>
        </wp:inline>
      </w:drawing>
    </w:r>
    <w:r>
      <w:rPr>
        <w:rFonts w:hint="eastAsia"/>
        <w:lang w:val="en-US" w:eastAsia="zh-CN"/>
      </w:rPr>
      <w:t xml:space="preserve">                                                                    </w:t>
    </w:r>
    <w:r>
      <w:rPr>
        <w:rFonts w:hint="eastAsia"/>
      </w:rPr>
      <w:t xml:space="preserve"> </w:t>
    </w:r>
    <w:r>
      <w:rPr>
        <w:rFonts w:hint="eastAsia"/>
        <w:b/>
        <w:bCs/>
        <w:color w:val="FF0000"/>
      </w:rPr>
      <w:t>深耕细作、焕发新采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tabs>
        <w:tab w:val="left" w:pos="7821"/>
        <w:tab w:val="clear" w:pos="4153"/>
        <w:tab w:val="clear" w:pos="8306"/>
      </w:tabs>
      <w:jc w:val="both"/>
    </w:pPr>
    <w:r>
      <w:rPr>
        <w:rFonts w:hint="eastAsia"/>
      </w:rPr>
      <w:drawing>
        <wp:inline distT="0" distB="0" distL="114300" distR="114300">
          <wp:extent cx="629920" cy="517525"/>
          <wp:effectExtent l="0" t="0" r="17780" b="15875"/>
          <wp:docPr id="3"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logo"/>
                  <pic:cNvPicPr>
                    <a:picLocks noChangeAspect="1"/>
                  </pic:cNvPicPr>
                </pic:nvPicPr>
                <pic:blipFill>
                  <a:blip r:embed="rId1"/>
                  <a:stretch>
                    <a:fillRect/>
                  </a:stretch>
                </pic:blipFill>
                <pic:spPr>
                  <a:xfrm>
                    <a:off x="0" y="0"/>
                    <a:ext cx="629920" cy="517525"/>
                  </a:xfrm>
                  <a:prstGeom prst="rect">
                    <a:avLst/>
                  </a:prstGeom>
                  <a:noFill/>
                  <a:ln>
                    <a:noFill/>
                  </a:ln>
                </pic:spPr>
              </pic:pic>
            </a:graphicData>
          </a:graphic>
        </wp:inline>
      </w:drawing>
    </w:r>
    <w:r>
      <w:rPr>
        <w:rFonts w:hint="eastAsia"/>
      </w:rPr>
      <w:t xml:space="preserve">                                                                    </w:t>
    </w:r>
    <w:r>
      <w:rPr>
        <w:rFonts w:hint="eastAsia"/>
        <w:b/>
        <w:bCs/>
        <w:color w:val="FF0000"/>
      </w:rPr>
      <w:t>深耕细作、焕发新采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tabs>
        <w:tab w:val="left" w:pos="7821"/>
        <w:tab w:val="clear" w:pos="4153"/>
        <w:tab w:val="clear" w:pos="8306"/>
      </w:tabs>
      <w:jc w:val="both"/>
      <w:rPr>
        <w:u w:val="single"/>
      </w:rPr>
    </w:pPr>
    <w:r>
      <w:rPr>
        <w:rFonts w:hint="eastAsia"/>
      </w:rPr>
      <w:drawing>
        <wp:inline distT="0" distB="0" distL="114300" distR="114300">
          <wp:extent cx="629920" cy="517525"/>
          <wp:effectExtent l="0" t="0" r="17780" b="15875"/>
          <wp:docPr id="2"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
                  <pic:cNvPicPr>
                    <a:picLocks noChangeAspect="1"/>
                  </pic:cNvPicPr>
                </pic:nvPicPr>
                <pic:blipFill>
                  <a:blip r:embed="rId1"/>
                  <a:stretch>
                    <a:fillRect/>
                  </a:stretch>
                </pic:blipFill>
                <pic:spPr>
                  <a:xfrm>
                    <a:off x="0" y="0"/>
                    <a:ext cx="629920" cy="517525"/>
                  </a:xfrm>
                  <a:prstGeom prst="rect">
                    <a:avLst/>
                  </a:prstGeom>
                  <a:noFill/>
                  <a:ln>
                    <a:noFill/>
                  </a:ln>
                </pic:spPr>
              </pic:pic>
            </a:graphicData>
          </a:graphic>
        </wp:inline>
      </w:drawing>
    </w:r>
    <w:r>
      <w:rPr>
        <w:rFonts w:hint="eastAsia"/>
        <w:lang w:val="en-US" w:eastAsia="zh-CN"/>
      </w:rPr>
      <w:t xml:space="preserve">                                                                    </w:t>
    </w:r>
    <w:r>
      <w:rPr>
        <w:rFonts w:hint="eastAsia"/>
      </w:rPr>
      <w:t xml:space="preserve"> </w:t>
    </w:r>
    <w:r>
      <w:rPr>
        <w:rFonts w:hint="eastAsia"/>
        <w:b/>
        <w:bCs/>
        <w:color w:val="FF0000"/>
      </w:rPr>
      <w:t>深耕细作、焕发新采</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u w:val="single"/>
      </w:rPr>
    </w:pPr>
    <w:r>
      <w:rPr>
        <w:rFonts w:hint="eastAsia"/>
        <w:u w:val="single"/>
      </w:rPr>
      <w:t>湖南湘江城市运营管理</w:t>
    </w:r>
    <w:r>
      <w:rPr>
        <w:rFonts w:hint="eastAsia" w:ascii="宋体" w:hAnsi="宋体"/>
        <w:u w:val="single"/>
      </w:rPr>
      <w:t xml:space="preserve">有限公司                                                              </w:t>
    </w:r>
    <w:r>
      <w:rPr>
        <w:rFonts w:hint="eastAsia" w:ascii="宋体" w:hAnsi="宋体"/>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tabs>
        <w:tab w:val="left" w:pos="7821"/>
        <w:tab w:val="clear" w:pos="4153"/>
        <w:tab w:val="clear" w:pos="8306"/>
      </w:tabs>
      <w:jc w:val="both"/>
    </w:pPr>
    <w:r>
      <w:rPr>
        <w:rFonts w:hint="eastAsia"/>
      </w:rPr>
      <w:drawing>
        <wp:inline distT="0" distB="0" distL="114300" distR="114300">
          <wp:extent cx="629920" cy="517525"/>
          <wp:effectExtent l="0" t="0" r="17780" b="15875"/>
          <wp:docPr id="7"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logo"/>
                  <pic:cNvPicPr>
                    <a:picLocks noChangeAspect="1"/>
                  </pic:cNvPicPr>
                </pic:nvPicPr>
                <pic:blipFill>
                  <a:blip r:embed="rId1"/>
                  <a:stretch>
                    <a:fillRect/>
                  </a:stretch>
                </pic:blipFill>
                <pic:spPr>
                  <a:xfrm>
                    <a:off x="0" y="0"/>
                    <a:ext cx="629920" cy="517525"/>
                  </a:xfrm>
                  <a:prstGeom prst="rect">
                    <a:avLst/>
                  </a:prstGeom>
                  <a:noFill/>
                  <a:ln>
                    <a:noFill/>
                  </a:ln>
                </pic:spPr>
              </pic:pic>
            </a:graphicData>
          </a:graphic>
        </wp:inline>
      </w:drawing>
    </w:r>
    <w:r>
      <w:rPr>
        <w:rFonts w:hint="eastAsia"/>
      </w:rPr>
      <w:t xml:space="preserve">                                                   </w:t>
    </w:r>
    <w:r>
      <w:rPr>
        <w:rFonts w:hint="eastAsia"/>
        <w:lang w:val="en-US" w:eastAsia="zh-CN"/>
      </w:rPr>
      <w:t xml:space="preserve">      </w:t>
    </w:r>
    <w:r>
      <w:rPr>
        <w:rFonts w:hint="eastAsia"/>
      </w:rPr>
      <w:t xml:space="preserve">              </w:t>
    </w:r>
    <w:r>
      <w:rPr>
        <w:rFonts w:hint="eastAsia"/>
        <w:b/>
        <w:bCs/>
        <w:color w:val="FF0000"/>
      </w:rPr>
      <w:t>深耕细作、焕发新采</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tabs>
        <w:tab w:val="left" w:pos="7821"/>
        <w:tab w:val="clear" w:pos="4153"/>
        <w:tab w:val="clear" w:pos="8306"/>
      </w:tabs>
      <w:jc w:val="both"/>
      <w:rPr>
        <w:rFonts w:hint="eastAsia"/>
      </w:rPr>
    </w:pPr>
    <w:r>
      <w:rPr>
        <w:rFonts w:hint="eastAsia"/>
      </w:rPr>
      <w:drawing>
        <wp:inline distT="0" distB="0" distL="114300" distR="114300">
          <wp:extent cx="629920" cy="517525"/>
          <wp:effectExtent l="0" t="0" r="17780" b="15875"/>
          <wp:docPr id="8"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logo"/>
                  <pic:cNvPicPr>
                    <a:picLocks noChangeAspect="1"/>
                  </pic:cNvPicPr>
                </pic:nvPicPr>
                <pic:blipFill>
                  <a:blip r:embed="rId1"/>
                  <a:stretch>
                    <a:fillRect/>
                  </a:stretch>
                </pic:blipFill>
                <pic:spPr>
                  <a:xfrm>
                    <a:off x="0" y="0"/>
                    <a:ext cx="629920" cy="517525"/>
                  </a:xfrm>
                  <a:prstGeom prst="rect">
                    <a:avLst/>
                  </a:prstGeom>
                  <a:noFill/>
                  <a:ln>
                    <a:noFill/>
                  </a:ln>
                </pic:spPr>
              </pic:pic>
            </a:graphicData>
          </a:graphic>
        </wp:inline>
      </w:drawing>
    </w:r>
    <w:r>
      <w:rPr>
        <w:rFonts w:hint="eastAsia"/>
      </w:rPr>
      <w:t xml:space="preserve">                                                               </w:t>
    </w:r>
    <w:r>
      <w:rPr>
        <w:rFonts w:hint="eastAsia"/>
        <w:b/>
        <w:bCs/>
        <w:color w:val="FF0000"/>
      </w:rPr>
      <w:t>深耕细作、焕发新采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818831"/>
    <w:multiLevelType w:val="singleLevel"/>
    <w:tmpl w:val="9A818831"/>
    <w:lvl w:ilvl="0" w:tentative="0">
      <w:start w:val="1"/>
      <w:numFmt w:val="decimal"/>
      <w:suff w:val="nothing"/>
      <w:lvlText w:val="（%1）"/>
      <w:lvlJc w:val="left"/>
    </w:lvl>
  </w:abstractNum>
  <w:abstractNum w:abstractNumId="1">
    <w:nsid w:val="C6B26A2C"/>
    <w:multiLevelType w:val="singleLevel"/>
    <w:tmpl w:val="C6B26A2C"/>
    <w:lvl w:ilvl="0" w:tentative="0">
      <w:start w:val="1"/>
      <w:numFmt w:val="decimal"/>
      <w:lvlText w:val="%1."/>
      <w:lvlJc w:val="left"/>
      <w:pPr>
        <w:tabs>
          <w:tab w:val="left" w:pos="312"/>
        </w:tabs>
      </w:pPr>
    </w:lvl>
  </w:abstractNum>
  <w:abstractNum w:abstractNumId="2">
    <w:nsid w:val="E8816982"/>
    <w:multiLevelType w:val="singleLevel"/>
    <w:tmpl w:val="E8816982"/>
    <w:lvl w:ilvl="0" w:tentative="0">
      <w:start w:val="2"/>
      <w:numFmt w:val="chineseCounting"/>
      <w:suff w:val="space"/>
      <w:lvlText w:val="第%1条"/>
      <w:lvlJc w:val="left"/>
      <w:rPr>
        <w:rFonts w:hint="eastAsia"/>
      </w:rPr>
    </w:lvl>
  </w:abstractNum>
  <w:abstractNum w:abstractNumId="3">
    <w:nsid w:val="00000002"/>
    <w:multiLevelType w:val="multilevel"/>
    <w:tmpl w:val="00000002"/>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00000003"/>
    <w:multiLevelType w:val="multilevel"/>
    <w:tmpl w:val="0000000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3139E2F"/>
    <w:multiLevelType w:val="singleLevel"/>
    <w:tmpl w:val="03139E2F"/>
    <w:lvl w:ilvl="0" w:tentative="0">
      <w:start w:val="1"/>
      <w:numFmt w:val="decimal"/>
      <w:suff w:val="nothing"/>
      <w:lvlText w:val="（%1）"/>
      <w:lvlJc w:val="left"/>
    </w:lvl>
  </w:abstractNum>
  <w:abstractNum w:abstractNumId="6">
    <w:nsid w:val="5D83B9E4"/>
    <w:multiLevelType w:val="singleLevel"/>
    <w:tmpl w:val="5D83B9E4"/>
    <w:lvl w:ilvl="0" w:tentative="0">
      <w:start w:val="3"/>
      <w:numFmt w:val="decimal"/>
      <w:lvlText w:val="%1."/>
      <w:lvlJc w:val="left"/>
      <w:pPr>
        <w:tabs>
          <w:tab w:val="left" w:pos="312"/>
        </w:tabs>
      </w:p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jNTE1YjE3ZjA3NjAxOWZlYzA5MGZhMTYyMGRjMTAifQ=="/>
  </w:docVars>
  <w:rsids>
    <w:rsidRoot w:val="00172A27"/>
    <w:rsid w:val="000A60D8"/>
    <w:rsid w:val="001766BB"/>
    <w:rsid w:val="00177D19"/>
    <w:rsid w:val="00251144"/>
    <w:rsid w:val="005C6189"/>
    <w:rsid w:val="00706243"/>
    <w:rsid w:val="0089496F"/>
    <w:rsid w:val="00B00015"/>
    <w:rsid w:val="00E035F8"/>
    <w:rsid w:val="00FD77CD"/>
    <w:rsid w:val="02C2702E"/>
    <w:rsid w:val="062A6B5D"/>
    <w:rsid w:val="085E55CF"/>
    <w:rsid w:val="0CB942D8"/>
    <w:rsid w:val="0D0D671F"/>
    <w:rsid w:val="14D02DF5"/>
    <w:rsid w:val="16111102"/>
    <w:rsid w:val="16FA3688"/>
    <w:rsid w:val="1A565582"/>
    <w:rsid w:val="1A86783D"/>
    <w:rsid w:val="1B5F37E5"/>
    <w:rsid w:val="1D0F38D5"/>
    <w:rsid w:val="205C7FDB"/>
    <w:rsid w:val="25B844BD"/>
    <w:rsid w:val="264325AC"/>
    <w:rsid w:val="2F2513E2"/>
    <w:rsid w:val="322B7BA2"/>
    <w:rsid w:val="354357F4"/>
    <w:rsid w:val="3BCC5A00"/>
    <w:rsid w:val="3C974EDC"/>
    <w:rsid w:val="3CB0308D"/>
    <w:rsid w:val="3E595E2E"/>
    <w:rsid w:val="40897F13"/>
    <w:rsid w:val="451D186C"/>
    <w:rsid w:val="4991624D"/>
    <w:rsid w:val="4B2D0900"/>
    <w:rsid w:val="4C081DE7"/>
    <w:rsid w:val="4E3B5550"/>
    <w:rsid w:val="53F67336"/>
    <w:rsid w:val="55A82D9F"/>
    <w:rsid w:val="59DD504C"/>
    <w:rsid w:val="59EE008C"/>
    <w:rsid w:val="61975024"/>
    <w:rsid w:val="620837B8"/>
    <w:rsid w:val="639A0AA6"/>
    <w:rsid w:val="691C0CBD"/>
    <w:rsid w:val="6C602047"/>
    <w:rsid w:val="74640AAD"/>
    <w:rsid w:val="7638764B"/>
    <w:rsid w:val="771D7B15"/>
    <w:rsid w:val="77E477A5"/>
    <w:rsid w:val="7AEF309B"/>
    <w:rsid w:val="7BAB1F36"/>
    <w:rsid w:val="7BF92B82"/>
    <w:rsid w:val="7C773B20"/>
    <w:rsid w:val="7DB90ED2"/>
    <w:rsid w:val="7E891005"/>
    <w:rsid w:val="7EB652E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8"/>
      <w:szCs w:val="24"/>
      <w:lang w:val="en-US" w:eastAsia="zh-CN" w:bidi="ar-SA"/>
    </w:rPr>
  </w:style>
  <w:style w:type="paragraph" w:styleId="5">
    <w:name w:val="heading 1"/>
    <w:basedOn w:val="1"/>
    <w:next w:val="1"/>
    <w:link w:val="61"/>
    <w:qFormat/>
    <w:uiPriority w:val="0"/>
    <w:pPr>
      <w:keepNext/>
      <w:spacing w:line="360" w:lineRule="auto"/>
      <w:jc w:val="center"/>
      <w:outlineLvl w:val="0"/>
    </w:pPr>
    <w:rPr>
      <w:rFonts w:ascii="Times New Roman" w:hAnsi="Times New Roman"/>
      <w:b/>
      <w:bCs/>
      <w:sz w:val="30"/>
      <w:szCs w:val="20"/>
    </w:rPr>
  </w:style>
  <w:style w:type="paragraph" w:styleId="6">
    <w:name w:val="heading 2"/>
    <w:basedOn w:val="1"/>
    <w:next w:val="1"/>
    <w:link w:val="62"/>
    <w:qFormat/>
    <w:uiPriority w:val="0"/>
    <w:pPr>
      <w:keepNext/>
      <w:keepLines/>
      <w:spacing w:line="360" w:lineRule="auto"/>
      <w:jc w:val="center"/>
      <w:outlineLvl w:val="1"/>
    </w:pPr>
    <w:rPr>
      <w:rFonts w:ascii="Arial" w:hAnsi="Arial"/>
      <w:b/>
      <w:bCs/>
      <w:sz w:val="30"/>
      <w:szCs w:val="32"/>
    </w:rPr>
  </w:style>
  <w:style w:type="paragraph" w:styleId="7">
    <w:name w:val="heading 3"/>
    <w:basedOn w:val="1"/>
    <w:next w:val="1"/>
    <w:link w:val="63"/>
    <w:qFormat/>
    <w:uiPriority w:val="0"/>
    <w:pPr>
      <w:keepNext/>
      <w:keepLines/>
      <w:spacing w:before="260" w:after="260" w:line="416" w:lineRule="auto"/>
      <w:outlineLvl w:val="2"/>
    </w:pPr>
    <w:rPr>
      <w:rFonts w:ascii="Times New Roman" w:hAnsi="Times New Roman"/>
      <w:b/>
      <w:bCs/>
      <w:sz w:val="32"/>
      <w:szCs w:val="32"/>
    </w:rPr>
  </w:style>
  <w:style w:type="paragraph" w:styleId="8">
    <w:name w:val="heading 4"/>
    <w:basedOn w:val="1"/>
    <w:next w:val="1"/>
    <w:link w:val="64"/>
    <w:qFormat/>
    <w:uiPriority w:val="0"/>
    <w:pPr>
      <w:keepNext/>
      <w:keepLines/>
      <w:spacing w:before="280" w:after="290" w:line="376" w:lineRule="auto"/>
      <w:outlineLvl w:val="3"/>
    </w:pPr>
    <w:rPr>
      <w:rFonts w:ascii="Arial" w:hAnsi="Arial" w:eastAsia="黑体"/>
      <w:b/>
      <w:bCs/>
      <w:szCs w:val="28"/>
    </w:rPr>
  </w:style>
  <w:style w:type="paragraph" w:styleId="9">
    <w:name w:val="heading 5"/>
    <w:basedOn w:val="1"/>
    <w:next w:val="1"/>
    <w:link w:val="65"/>
    <w:qFormat/>
    <w:uiPriority w:val="0"/>
    <w:pPr>
      <w:keepNext/>
      <w:keepLines/>
      <w:adjustRightInd w:val="0"/>
      <w:spacing w:before="280" w:after="290" w:line="376" w:lineRule="atLeast"/>
      <w:jc w:val="left"/>
      <w:textAlignment w:val="baseline"/>
      <w:outlineLvl w:val="4"/>
    </w:pPr>
    <w:rPr>
      <w:rFonts w:ascii="Times New Roman" w:hAnsi="Times New Roman"/>
      <w:b/>
      <w:bCs/>
      <w:kern w:val="0"/>
      <w:szCs w:val="28"/>
    </w:rPr>
  </w:style>
  <w:style w:type="paragraph" w:styleId="10">
    <w:name w:val="heading 6"/>
    <w:basedOn w:val="1"/>
    <w:next w:val="1"/>
    <w:link w:val="66"/>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11">
    <w:name w:val="heading 7"/>
    <w:basedOn w:val="1"/>
    <w:next w:val="1"/>
    <w:link w:val="67"/>
    <w:qFormat/>
    <w:uiPriority w:val="0"/>
    <w:pPr>
      <w:keepNext/>
      <w:keepLines/>
      <w:adjustRightInd w:val="0"/>
      <w:spacing w:before="240" w:after="64" w:line="320" w:lineRule="atLeast"/>
      <w:jc w:val="left"/>
      <w:textAlignment w:val="baseline"/>
      <w:outlineLvl w:val="6"/>
    </w:pPr>
    <w:rPr>
      <w:rFonts w:ascii="Times New Roman" w:hAnsi="Times New Roman"/>
      <w:b/>
      <w:bCs/>
      <w:kern w:val="0"/>
      <w:sz w:val="24"/>
    </w:rPr>
  </w:style>
  <w:style w:type="paragraph" w:styleId="12">
    <w:name w:val="heading 8"/>
    <w:basedOn w:val="1"/>
    <w:next w:val="1"/>
    <w:link w:val="68"/>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3">
    <w:name w:val="heading 9"/>
    <w:basedOn w:val="1"/>
    <w:next w:val="1"/>
    <w:link w:val="69"/>
    <w:qFormat/>
    <w:uiPriority w:val="0"/>
    <w:pPr>
      <w:keepNext/>
      <w:keepLines/>
      <w:adjustRightInd w:val="0"/>
      <w:spacing w:before="240" w:after="64" w:line="320" w:lineRule="atLeast"/>
      <w:jc w:val="left"/>
      <w:textAlignment w:val="baseline"/>
      <w:outlineLvl w:val="8"/>
    </w:pPr>
    <w:rPr>
      <w:rFonts w:ascii="Arial" w:hAnsi="Arial" w:eastAsia="黑体"/>
      <w:kern w:val="0"/>
      <w:sz w:val="21"/>
      <w:szCs w:val="21"/>
    </w:rPr>
  </w:style>
  <w:style w:type="character" w:default="1" w:styleId="46">
    <w:name w:val="Default Paragraph Font"/>
    <w:qFormat/>
    <w:uiPriority w:val="0"/>
    <w:rPr>
      <w:rFonts w:ascii="Times New Roman" w:hAnsi="Times New Roman" w:eastAsia="宋体" w:cs="Times New Roman"/>
    </w:rPr>
  </w:style>
  <w:style w:type="table" w:default="1" w:styleId="44">
    <w:name w:val="Normal Table"/>
    <w:qFormat/>
    <w:uiPriority w:val="0"/>
    <w:rPr>
      <w:rFonts w:ascii="Times New Roman" w:hAnsi="Times New Roman" w:eastAsia="宋体" w:cs="Times New Roman"/>
    </w:rPr>
    <w:tblPr>
      <w:tblCellMar>
        <w:top w:w="0" w:type="dxa"/>
        <w:left w:w="108" w:type="dxa"/>
        <w:bottom w:w="0" w:type="dxa"/>
        <w:right w:w="108" w:type="dxa"/>
      </w:tblCellMar>
    </w:tblPr>
  </w:style>
  <w:style w:type="paragraph" w:customStyle="1" w:styleId="2">
    <w:name w:val="BodyText1I"/>
    <w:basedOn w:val="3"/>
    <w:qFormat/>
    <w:uiPriority w:val="0"/>
    <w:pPr>
      <w:widowControl/>
      <w:snapToGrid w:val="0"/>
      <w:spacing w:line="240" w:lineRule="auto"/>
      <w:ind w:firstLine="420" w:firstLineChars="100"/>
      <w:jc w:val="left"/>
      <w:textAlignment w:val="baseline"/>
    </w:pPr>
  </w:style>
  <w:style w:type="paragraph" w:customStyle="1" w:styleId="3">
    <w:name w:val="BodyText"/>
    <w:basedOn w:val="1"/>
    <w:next w:val="4"/>
    <w:qFormat/>
    <w:uiPriority w:val="0"/>
    <w:pPr>
      <w:widowControl/>
      <w:snapToGrid w:val="0"/>
      <w:spacing w:line="240" w:lineRule="auto"/>
      <w:jc w:val="left"/>
      <w:textAlignment w:val="baseline"/>
    </w:pPr>
    <w:rPr>
      <w:rFonts w:ascii="宋体" w:hAnsi="宋体" w:eastAsia="宋体"/>
      <w:color w:val="000000"/>
      <w:kern w:val="0"/>
      <w:sz w:val="24"/>
      <w:szCs w:val="24"/>
      <w:lang w:val="zh-CN" w:eastAsia="zh-CN" w:bidi="zh-CN"/>
    </w:rPr>
  </w:style>
  <w:style w:type="paragraph" w:customStyle="1" w:styleId="4">
    <w:name w:val="Acetate"/>
    <w:basedOn w:val="1"/>
    <w:qFormat/>
    <w:uiPriority w:val="0"/>
    <w:pPr>
      <w:widowControl/>
      <w:snapToGrid w:val="0"/>
      <w:spacing w:line="240" w:lineRule="auto"/>
      <w:jc w:val="left"/>
      <w:textAlignment w:val="baseline"/>
    </w:pPr>
    <w:rPr>
      <w:rFonts w:ascii="Times New Roman" w:hAnsi="Times New Roman" w:eastAsia="Arial"/>
      <w:color w:val="000000"/>
      <w:kern w:val="0"/>
      <w:sz w:val="18"/>
      <w:szCs w:val="18"/>
    </w:rPr>
  </w:style>
  <w:style w:type="paragraph" w:styleId="14">
    <w:name w:val="toc 7"/>
    <w:basedOn w:val="1"/>
    <w:next w:val="1"/>
    <w:qFormat/>
    <w:uiPriority w:val="0"/>
    <w:pPr>
      <w:ind w:left="2520" w:leftChars="1200"/>
    </w:pPr>
    <w:rPr>
      <w:rFonts w:ascii="Calibri" w:hAnsi="Calibri" w:eastAsia="宋体" w:cs="Times New Roman"/>
      <w:szCs w:val="22"/>
    </w:rPr>
  </w:style>
  <w:style w:type="paragraph" w:styleId="15">
    <w:name w:val="Normal Indent"/>
    <w:basedOn w:val="1"/>
    <w:qFormat/>
    <w:uiPriority w:val="0"/>
    <w:pPr>
      <w:widowControl/>
      <w:ind w:firstLine="420"/>
      <w:jc w:val="left"/>
    </w:pPr>
    <w:rPr>
      <w:rFonts w:ascii="Times New Roman" w:hAnsi="Times New Roman" w:eastAsia="宋体" w:cs="Times New Roman"/>
      <w:kern w:val="0"/>
      <w:sz w:val="20"/>
      <w:szCs w:val="20"/>
    </w:rPr>
  </w:style>
  <w:style w:type="paragraph" w:styleId="16">
    <w:name w:val="Document Map"/>
    <w:basedOn w:val="1"/>
    <w:qFormat/>
    <w:uiPriority w:val="0"/>
    <w:pPr>
      <w:shd w:val="clear" w:color="auto" w:fill="000080"/>
    </w:pPr>
    <w:rPr>
      <w:rFonts w:ascii="Times New Roman" w:hAnsi="Times New Roman" w:eastAsia="宋体" w:cs="Times New Roman"/>
    </w:rPr>
  </w:style>
  <w:style w:type="paragraph" w:styleId="17">
    <w:name w:val="annotation text"/>
    <w:basedOn w:val="1"/>
    <w:link w:val="70"/>
    <w:qFormat/>
    <w:uiPriority w:val="0"/>
    <w:pPr>
      <w:jc w:val="left"/>
    </w:pPr>
    <w:rPr>
      <w:rFonts w:ascii="Times New Roman" w:hAnsi="Times New Roman"/>
      <w:sz w:val="21"/>
    </w:rPr>
  </w:style>
  <w:style w:type="paragraph" w:styleId="18">
    <w:name w:val="Salutation"/>
    <w:basedOn w:val="1"/>
    <w:next w:val="1"/>
    <w:qFormat/>
    <w:uiPriority w:val="0"/>
    <w:rPr>
      <w:rFonts w:ascii="仿宋_GB2312" w:hAnsi="Times New Roman" w:eastAsia="仿宋_GB2312" w:cs="Times New Roman"/>
      <w:sz w:val="24"/>
    </w:rPr>
  </w:style>
  <w:style w:type="paragraph" w:styleId="19">
    <w:name w:val="Body Text 3"/>
    <w:basedOn w:val="1"/>
    <w:qFormat/>
    <w:uiPriority w:val="0"/>
    <w:pPr>
      <w:autoSpaceDE w:val="0"/>
      <w:autoSpaceDN w:val="0"/>
      <w:adjustRightInd w:val="0"/>
      <w:spacing w:line="410" w:lineRule="atLeast"/>
      <w:jc w:val="left"/>
    </w:pPr>
    <w:rPr>
      <w:rFonts w:ascii="宋体" w:hAnsi="Times New Roman" w:eastAsia="宋体" w:cs="Times New Roman"/>
      <w:color w:val="000000"/>
      <w:kern w:val="0"/>
      <w:sz w:val="24"/>
      <w:szCs w:val="20"/>
    </w:rPr>
  </w:style>
  <w:style w:type="paragraph" w:styleId="20">
    <w:name w:val="Body Text"/>
    <w:basedOn w:val="1"/>
    <w:next w:val="1"/>
    <w:qFormat/>
    <w:uiPriority w:val="0"/>
    <w:pPr>
      <w:spacing w:after="120"/>
    </w:pPr>
    <w:rPr>
      <w:rFonts w:ascii="Times New Roman" w:hAnsi="Times New Roman" w:eastAsia="宋体" w:cs="Times New Roman"/>
    </w:rPr>
  </w:style>
  <w:style w:type="paragraph" w:styleId="21">
    <w:name w:val="Body Text Indent"/>
    <w:basedOn w:val="1"/>
    <w:next w:val="1"/>
    <w:link w:val="60"/>
    <w:qFormat/>
    <w:uiPriority w:val="0"/>
    <w:pPr>
      <w:spacing w:after="120"/>
      <w:ind w:left="420" w:leftChars="200"/>
    </w:pPr>
    <w:rPr>
      <w:rFonts w:ascii="Times New Roman" w:hAnsi="Times New Roman"/>
      <w:sz w:val="21"/>
    </w:rPr>
  </w:style>
  <w:style w:type="paragraph" w:styleId="22">
    <w:name w:val="Block Text"/>
    <w:basedOn w:val="1"/>
    <w:qFormat/>
    <w:uiPriority w:val="0"/>
    <w:pPr>
      <w:ind w:left="1171" w:right="91" w:hanging="1080"/>
    </w:pPr>
    <w:rPr>
      <w:rFonts w:ascii="Times New Roman" w:hAnsi="Times New Roman" w:eastAsia="楷体_GB2312" w:cs="Times New Roman"/>
      <w:szCs w:val="20"/>
    </w:rPr>
  </w:style>
  <w:style w:type="paragraph" w:styleId="23">
    <w:name w:val="toc 5"/>
    <w:basedOn w:val="1"/>
    <w:next w:val="1"/>
    <w:qFormat/>
    <w:uiPriority w:val="0"/>
    <w:pPr>
      <w:ind w:left="1680" w:leftChars="800"/>
    </w:pPr>
    <w:rPr>
      <w:rFonts w:ascii="Calibri" w:hAnsi="Calibri" w:eastAsia="宋体" w:cs="Times New Roman"/>
      <w:szCs w:val="22"/>
    </w:rPr>
  </w:style>
  <w:style w:type="paragraph" w:styleId="24">
    <w:name w:val="toc 3"/>
    <w:basedOn w:val="1"/>
    <w:next w:val="1"/>
    <w:qFormat/>
    <w:uiPriority w:val="0"/>
    <w:pPr>
      <w:ind w:left="840" w:leftChars="400"/>
    </w:pPr>
    <w:rPr>
      <w:rFonts w:ascii="Times New Roman" w:hAnsi="Times New Roman" w:eastAsia="宋体" w:cs="Times New Roman"/>
    </w:rPr>
  </w:style>
  <w:style w:type="paragraph" w:styleId="25">
    <w:name w:val="Plain Text"/>
    <w:basedOn w:val="1"/>
    <w:link w:val="71"/>
    <w:qFormat/>
    <w:uiPriority w:val="0"/>
    <w:rPr>
      <w:rFonts w:ascii="宋体" w:hAnsi="Courier New" w:cs="Courier New"/>
      <w:sz w:val="21"/>
      <w:szCs w:val="21"/>
    </w:rPr>
  </w:style>
  <w:style w:type="paragraph" w:styleId="26">
    <w:name w:val="toc 8"/>
    <w:basedOn w:val="1"/>
    <w:next w:val="1"/>
    <w:qFormat/>
    <w:uiPriority w:val="0"/>
    <w:pPr>
      <w:ind w:left="2940" w:leftChars="1400"/>
    </w:pPr>
    <w:rPr>
      <w:rFonts w:ascii="Calibri" w:hAnsi="Calibri" w:eastAsia="宋体" w:cs="Times New Roman"/>
      <w:szCs w:val="22"/>
    </w:rPr>
  </w:style>
  <w:style w:type="paragraph" w:styleId="27">
    <w:name w:val="Date"/>
    <w:basedOn w:val="1"/>
    <w:next w:val="1"/>
    <w:link w:val="72"/>
    <w:qFormat/>
    <w:uiPriority w:val="0"/>
    <w:rPr>
      <w:rFonts w:ascii="Times New Roman" w:hAnsi="Times New Roman"/>
      <w:sz w:val="24"/>
      <w:szCs w:val="20"/>
    </w:rPr>
  </w:style>
  <w:style w:type="paragraph" w:styleId="28">
    <w:name w:val="Body Text Indent 2"/>
    <w:basedOn w:val="1"/>
    <w:qFormat/>
    <w:uiPriority w:val="0"/>
    <w:pPr>
      <w:spacing w:after="120" w:line="480" w:lineRule="auto"/>
      <w:ind w:left="420" w:leftChars="200"/>
    </w:pPr>
    <w:rPr>
      <w:rFonts w:ascii="Times New Roman" w:hAnsi="Times New Roman" w:eastAsia="宋体" w:cs="Times New Roman"/>
    </w:rPr>
  </w:style>
  <w:style w:type="paragraph" w:styleId="29">
    <w:name w:val="Balloon Text"/>
    <w:basedOn w:val="1"/>
    <w:link w:val="73"/>
    <w:qFormat/>
    <w:uiPriority w:val="0"/>
    <w:rPr>
      <w:sz w:val="18"/>
      <w:szCs w:val="18"/>
    </w:rPr>
  </w:style>
  <w:style w:type="paragraph" w:styleId="30">
    <w:name w:val="footer"/>
    <w:basedOn w:val="1"/>
    <w:link w:val="74"/>
    <w:qFormat/>
    <w:uiPriority w:val="0"/>
    <w:pPr>
      <w:tabs>
        <w:tab w:val="center" w:pos="4153"/>
        <w:tab w:val="right" w:pos="8306"/>
      </w:tabs>
      <w:snapToGrid w:val="0"/>
      <w:jc w:val="left"/>
    </w:pPr>
    <w:rPr>
      <w:rFonts w:ascii="Times New Roman" w:hAnsi="Times New Roman"/>
      <w:sz w:val="18"/>
      <w:szCs w:val="18"/>
    </w:rPr>
  </w:style>
  <w:style w:type="paragraph" w:styleId="31">
    <w:name w:val="header"/>
    <w:basedOn w:val="1"/>
    <w:link w:val="75"/>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32">
    <w:name w:val="toc 4"/>
    <w:basedOn w:val="1"/>
    <w:next w:val="1"/>
    <w:qFormat/>
    <w:uiPriority w:val="0"/>
    <w:pPr>
      <w:ind w:left="1260" w:leftChars="600"/>
    </w:pPr>
    <w:rPr>
      <w:rFonts w:ascii="Times New Roman" w:hAnsi="Times New Roman" w:eastAsia="宋体" w:cs="Times New Roman"/>
    </w:rPr>
  </w:style>
  <w:style w:type="paragraph" w:styleId="33">
    <w:name w:val="toc 6"/>
    <w:basedOn w:val="1"/>
    <w:next w:val="1"/>
    <w:qFormat/>
    <w:uiPriority w:val="0"/>
    <w:pPr>
      <w:ind w:left="2100" w:leftChars="1000"/>
    </w:pPr>
    <w:rPr>
      <w:rFonts w:ascii="Calibri" w:hAnsi="Calibri" w:eastAsia="宋体" w:cs="Times New Roman"/>
      <w:szCs w:val="22"/>
    </w:rPr>
  </w:style>
  <w:style w:type="paragraph" w:styleId="34">
    <w:name w:val="Body Text Indent 3"/>
    <w:basedOn w:val="1"/>
    <w:link w:val="76"/>
    <w:qFormat/>
    <w:uiPriority w:val="0"/>
    <w:pPr>
      <w:spacing w:after="120"/>
      <w:ind w:left="420" w:leftChars="200"/>
    </w:pPr>
    <w:rPr>
      <w:rFonts w:ascii="Times New Roman" w:hAnsi="Times New Roman"/>
      <w:sz w:val="16"/>
      <w:szCs w:val="16"/>
    </w:rPr>
  </w:style>
  <w:style w:type="paragraph" w:styleId="35">
    <w:name w:val="toc 2"/>
    <w:basedOn w:val="1"/>
    <w:next w:val="1"/>
    <w:qFormat/>
    <w:uiPriority w:val="0"/>
    <w:pPr>
      <w:ind w:left="420" w:leftChars="200"/>
    </w:pPr>
    <w:rPr>
      <w:rFonts w:ascii="Times New Roman" w:hAnsi="Times New Roman" w:eastAsia="宋体" w:cs="Times New Roman"/>
    </w:rPr>
  </w:style>
  <w:style w:type="paragraph" w:styleId="36">
    <w:name w:val="toc 9"/>
    <w:basedOn w:val="1"/>
    <w:next w:val="1"/>
    <w:qFormat/>
    <w:uiPriority w:val="0"/>
    <w:pPr>
      <w:ind w:left="3360" w:leftChars="1600"/>
    </w:pPr>
    <w:rPr>
      <w:rFonts w:ascii="Calibri" w:hAnsi="Calibri" w:eastAsia="宋体" w:cs="Times New Roman"/>
      <w:szCs w:val="22"/>
    </w:rPr>
  </w:style>
  <w:style w:type="paragraph" w:styleId="37">
    <w:name w:val="Body Text 2"/>
    <w:basedOn w:val="1"/>
    <w:qFormat/>
    <w:uiPriority w:val="0"/>
    <w:pPr>
      <w:spacing w:after="120" w:line="480" w:lineRule="auto"/>
    </w:pPr>
    <w:rPr>
      <w:rFonts w:ascii="Times New Roman" w:hAnsi="Times New Roman" w:eastAsia="宋体" w:cs="Times New Roman"/>
    </w:rPr>
  </w:style>
  <w:style w:type="paragraph" w:styleId="3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rPr>
  </w:style>
  <w:style w:type="paragraph" w:styleId="39">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styleId="40">
    <w:name w:val="index 1"/>
    <w:basedOn w:val="1"/>
    <w:next w:val="1"/>
    <w:qFormat/>
    <w:uiPriority w:val="0"/>
    <w:pPr>
      <w:spacing w:line="220" w:lineRule="exact"/>
      <w:jc w:val="center"/>
    </w:pPr>
    <w:rPr>
      <w:rFonts w:ascii="仿宋_GB2312" w:hAnsi="Times New Roman" w:eastAsia="仿宋_GB2312" w:cs="Times New Roman"/>
      <w:szCs w:val="20"/>
    </w:rPr>
  </w:style>
  <w:style w:type="paragraph" w:styleId="41">
    <w:name w:val="Title"/>
    <w:basedOn w:val="1"/>
    <w:next w:val="1"/>
    <w:qFormat/>
    <w:uiPriority w:val="0"/>
    <w:pPr>
      <w:spacing w:before="240" w:after="60"/>
      <w:jc w:val="center"/>
      <w:outlineLvl w:val="0"/>
    </w:pPr>
    <w:rPr>
      <w:rFonts w:ascii="Cambria" w:hAnsi="Cambria" w:eastAsia="宋体" w:cs="Times New Roman"/>
      <w:b/>
      <w:sz w:val="32"/>
    </w:rPr>
  </w:style>
  <w:style w:type="paragraph" w:styleId="42">
    <w:name w:val="annotation subject"/>
    <w:basedOn w:val="17"/>
    <w:next w:val="17"/>
    <w:link w:val="77"/>
    <w:qFormat/>
    <w:uiPriority w:val="0"/>
    <w:rPr>
      <w:b/>
      <w:bCs/>
    </w:rPr>
  </w:style>
  <w:style w:type="paragraph" w:styleId="43">
    <w:name w:val="Body Text First Indent 2"/>
    <w:basedOn w:val="21"/>
    <w:qFormat/>
    <w:uiPriority w:val="0"/>
    <w:pPr>
      <w:ind w:firstLine="420" w:firstLineChars="200"/>
    </w:pPr>
    <w:rPr>
      <w:rFonts w:ascii="Times New Roman" w:hAnsi="Times New Roman" w:eastAsia="宋体" w:cs="Times New Roman"/>
    </w:rPr>
  </w:style>
  <w:style w:type="table" w:styleId="45">
    <w:name w:val="Table Grid"/>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Strong"/>
    <w:qFormat/>
    <w:uiPriority w:val="0"/>
    <w:rPr>
      <w:rFonts w:ascii="Times New Roman" w:hAnsi="Times New Roman" w:eastAsia="宋体" w:cs="Times New Roman"/>
      <w:b/>
      <w:bCs/>
    </w:rPr>
  </w:style>
  <w:style w:type="character" w:styleId="48">
    <w:name w:val="page number"/>
    <w:qFormat/>
    <w:uiPriority w:val="0"/>
    <w:rPr>
      <w:rFonts w:ascii="Times New Roman" w:hAnsi="Times New Roman" w:eastAsia="宋体" w:cs="Times New Roman"/>
    </w:rPr>
  </w:style>
  <w:style w:type="character" w:styleId="49">
    <w:name w:val="FollowedHyperlink"/>
    <w:qFormat/>
    <w:uiPriority w:val="0"/>
    <w:rPr>
      <w:rFonts w:ascii="Times New Roman" w:hAnsi="Times New Roman" w:eastAsia="宋体" w:cs="Times New Roman"/>
      <w:color w:val="000000"/>
      <w:u w:val="none"/>
    </w:rPr>
  </w:style>
  <w:style w:type="character" w:styleId="50">
    <w:name w:val="Emphasis"/>
    <w:qFormat/>
    <w:uiPriority w:val="0"/>
    <w:rPr>
      <w:rFonts w:ascii="Times New Roman" w:hAnsi="Times New Roman" w:eastAsia="宋体" w:cs="Times New Roman"/>
    </w:rPr>
  </w:style>
  <w:style w:type="character" w:styleId="51">
    <w:name w:val="HTML Definition"/>
    <w:qFormat/>
    <w:uiPriority w:val="0"/>
    <w:rPr>
      <w:rFonts w:ascii="Times New Roman" w:hAnsi="Times New Roman" w:eastAsia="宋体" w:cs="Times New Roman"/>
    </w:rPr>
  </w:style>
  <w:style w:type="character" w:styleId="52">
    <w:name w:val="HTML Variable"/>
    <w:qFormat/>
    <w:uiPriority w:val="0"/>
    <w:rPr>
      <w:rFonts w:ascii="Times New Roman" w:hAnsi="Times New Roman" w:eastAsia="宋体" w:cs="Times New Roman"/>
    </w:rPr>
  </w:style>
  <w:style w:type="character" w:styleId="53">
    <w:name w:val="Hyperlink"/>
    <w:qFormat/>
    <w:uiPriority w:val="0"/>
    <w:rPr>
      <w:rFonts w:ascii="Times New Roman" w:hAnsi="Times New Roman" w:eastAsia="宋体" w:cs="Times New Roman"/>
      <w:color w:val="136EC2"/>
      <w:u w:val="single"/>
    </w:rPr>
  </w:style>
  <w:style w:type="character" w:styleId="54">
    <w:name w:val="HTML Code"/>
    <w:qFormat/>
    <w:uiPriority w:val="0"/>
    <w:rPr>
      <w:rFonts w:ascii="Courier New" w:hAnsi="Courier New" w:eastAsia="Courier New" w:cs="Courier New"/>
      <w:sz w:val="20"/>
    </w:rPr>
  </w:style>
  <w:style w:type="character" w:styleId="55">
    <w:name w:val="annotation reference"/>
    <w:qFormat/>
    <w:uiPriority w:val="0"/>
    <w:rPr>
      <w:rFonts w:ascii="Times New Roman" w:hAnsi="Times New Roman" w:eastAsia="宋体" w:cs="Times New Roman"/>
      <w:sz w:val="21"/>
      <w:szCs w:val="21"/>
    </w:rPr>
  </w:style>
  <w:style w:type="character" w:styleId="56">
    <w:name w:val="HTML Cite"/>
    <w:qFormat/>
    <w:uiPriority w:val="0"/>
    <w:rPr>
      <w:rFonts w:ascii="Times New Roman" w:hAnsi="Times New Roman" w:eastAsia="宋体" w:cs="Times New Roman"/>
    </w:rPr>
  </w:style>
  <w:style w:type="character" w:styleId="57">
    <w:name w:val="HTML Keyboard"/>
    <w:qFormat/>
    <w:uiPriority w:val="0"/>
    <w:rPr>
      <w:rFonts w:ascii="Courier New" w:hAnsi="Courier New" w:eastAsia="Courier New" w:cs="Courier New"/>
      <w:sz w:val="20"/>
    </w:rPr>
  </w:style>
  <w:style w:type="character" w:styleId="58">
    <w:name w:val="HTML Sample"/>
    <w:qFormat/>
    <w:uiPriority w:val="0"/>
    <w:rPr>
      <w:rFonts w:ascii="Courier New" w:hAnsi="Courier New" w:eastAsia="Courier New" w:cs="Courier New"/>
    </w:rPr>
  </w:style>
  <w:style w:type="paragraph" w:customStyle="1" w:styleId="59">
    <w:name w:val="列出段落1"/>
    <w:basedOn w:val="1"/>
    <w:qFormat/>
    <w:uiPriority w:val="0"/>
    <w:pPr>
      <w:ind w:firstLine="420" w:firstLineChars="200"/>
    </w:pPr>
  </w:style>
  <w:style w:type="character" w:customStyle="1" w:styleId="60">
    <w:name w:val="正文文本缩进 Char"/>
    <w:link w:val="21"/>
    <w:qFormat/>
    <w:uiPriority w:val="0"/>
    <w:rPr>
      <w:rFonts w:ascii="Times New Roman" w:hAnsi="Times New Roman" w:eastAsia="宋体" w:cs="Times New Roman"/>
      <w:kern w:val="2"/>
      <w:sz w:val="21"/>
      <w:szCs w:val="24"/>
      <w:lang w:val="en-US" w:eastAsia="zh-CN" w:bidi="ar-SA"/>
    </w:rPr>
  </w:style>
  <w:style w:type="character" w:customStyle="1" w:styleId="61">
    <w:name w:val="标题 1 Char1"/>
    <w:link w:val="5"/>
    <w:qFormat/>
    <w:uiPriority w:val="0"/>
    <w:rPr>
      <w:rFonts w:ascii="Times New Roman" w:hAnsi="Times New Roman" w:eastAsia="宋体" w:cs="Times New Roman"/>
      <w:b/>
      <w:bCs/>
      <w:kern w:val="2"/>
      <w:sz w:val="30"/>
      <w:lang w:val="en-US" w:eastAsia="zh-CN" w:bidi="ar-SA"/>
    </w:rPr>
  </w:style>
  <w:style w:type="character" w:customStyle="1" w:styleId="62">
    <w:name w:val="标题 2 Char1"/>
    <w:link w:val="6"/>
    <w:qFormat/>
    <w:uiPriority w:val="0"/>
    <w:rPr>
      <w:rFonts w:ascii="Arial" w:hAnsi="Arial" w:eastAsia="宋体" w:cs="Times New Roman"/>
      <w:b/>
      <w:bCs/>
      <w:kern w:val="2"/>
      <w:sz w:val="30"/>
      <w:szCs w:val="32"/>
      <w:lang w:val="en-US" w:eastAsia="zh-CN" w:bidi="ar-SA"/>
    </w:rPr>
  </w:style>
  <w:style w:type="character" w:customStyle="1" w:styleId="63">
    <w:name w:val="标题 3 Char1"/>
    <w:link w:val="7"/>
    <w:qFormat/>
    <w:uiPriority w:val="0"/>
    <w:rPr>
      <w:rFonts w:ascii="Times New Roman" w:hAnsi="Times New Roman" w:eastAsia="宋体" w:cs="Times New Roman"/>
      <w:b/>
      <w:bCs/>
      <w:kern w:val="2"/>
      <w:sz w:val="32"/>
      <w:szCs w:val="32"/>
      <w:lang w:val="en-US" w:eastAsia="zh-CN" w:bidi="ar-SA"/>
    </w:rPr>
  </w:style>
  <w:style w:type="character" w:customStyle="1" w:styleId="64">
    <w:name w:val="标题 4 Char1"/>
    <w:link w:val="8"/>
    <w:qFormat/>
    <w:uiPriority w:val="0"/>
    <w:rPr>
      <w:rFonts w:ascii="Arial" w:hAnsi="Arial" w:eastAsia="黑体" w:cs="Times New Roman"/>
      <w:b/>
      <w:bCs/>
      <w:kern w:val="2"/>
      <w:sz w:val="28"/>
      <w:szCs w:val="28"/>
      <w:lang w:val="en-US" w:eastAsia="zh-CN" w:bidi="ar-SA"/>
    </w:rPr>
  </w:style>
  <w:style w:type="character" w:customStyle="1" w:styleId="65">
    <w:name w:val="标题 5 Char1"/>
    <w:link w:val="9"/>
    <w:qFormat/>
    <w:uiPriority w:val="0"/>
    <w:rPr>
      <w:rFonts w:ascii="Times New Roman" w:hAnsi="Times New Roman" w:eastAsia="宋体" w:cs="Times New Roman"/>
      <w:b/>
      <w:bCs/>
      <w:sz w:val="28"/>
      <w:szCs w:val="28"/>
      <w:lang w:val="en-US" w:eastAsia="zh-CN" w:bidi="ar-SA"/>
    </w:rPr>
  </w:style>
  <w:style w:type="character" w:customStyle="1" w:styleId="66">
    <w:name w:val="标题 6 Char1"/>
    <w:link w:val="10"/>
    <w:qFormat/>
    <w:uiPriority w:val="0"/>
    <w:rPr>
      <w:rFonts w:ascii="Arial" w:hAnsi="Arial" w:eastAsia="黑体" w:cs="Times New Roman"/>
      <w:b/>
      <w:bCs/>
      <w:sz w:val="24"/>
      <w:szCs w:val="24"/>
      <w:lang w:val="en-US" w:eastAsia="zh-CN" w:bidi="ar-SA"/>
    </w:rPr>
  </w:style>
  <w:style w:type="character" w:customStyle="1" w:styleId="67">
    <w:name w:val="标题 7 Char1"/>
    <w:link w:val="11"/>
    <w:qFormat/>
    <w:uiPriority w:val="0"/>
    <w:rPr>
      <w:rFonts w:ascii="Times New Roman" w:hAnsi="Times New Roman" w:eastAsia="宋体" w:cs="Times New Roman"/>
      <w:b/>
      <w:bCs/>
      <w:sz w:val="24"/>
      <w:szCs w:val="24"/>
      <w:lang w:val="en-US" w:eastAsia="zh-CN" w:bidi="ar-SA"/>
    </w:rPr>
  </w:style>
  <w:style w:type="character" w:customStyle="1" w:styleId="68">
    <w:name w:val="标题 8 Char1"/>
    <w:link w:val="12"/>
    <w:qFormat/>
    <w:uiPriority w:val="0"/>
    <w:rPr>
      <w:rFonts w:ascii="Arial" w:hAnsi="Arial" w:eastAsia="黑体" w:cs="Times New Roman"/>
      <w:sz w:val="24"/>
      <w:szCs w:val="24"/>
      <w:lang w:val="en-US" w:eastAsia="zh-CN" w:bidi="ar-SA"/>
    </w:rPr>
  </w:style>
  <w:style w:type="character" w:customStyle="1" w:styleId="69">
    <w:name w:val="标题 9 Char1"/>
    <w:link w:val="13"/>
    <w:qFormat/>
    <w:uiPriority w:val="0"/>
    <w:rPr>
      <w:rFonts w:ascii="Arial" w:hAnsi="Arial" w:eastAsia="黑体" w:cs="Times New Roman"/>
      <w:sz w:val="21"/>
      <w:szCs w:val="21"/>
      <w:lang w:val="en-US" w:eastAsia="zh-CN" w:bidi="ar-SA"/>
    </w:rPr>
  </w:style>
  <w:style w:type="character" w:customStyle="1" w:styleId="70">
    <w:name w:val="批注文字 Char1"/>
    <w:link w:val="17"/>
    <w:qFormat/>
    <w:uiPriority w:val="0"/>
    <w:rPr>
      <w:rFonts w:ascii="Times New Roman" w:hAnsi="Times New Roman" w:eastAsia="宋体" w:cs="Times New Roman"/>
      <w:kern w:val="2"/>
      <w:sz w:val="21"/>
      <w:szCs w:val="24"/>
      <w:lang w:val="en-US" w:eastAsia="zh-CN" w:bidi="ar-SA"/>
    </w:rPr>
  </w:style>
  <w:style w:type="character" w:customStyle="1" w:styleId="71">
    <w:name w:val="纯文本 Char"/>
    <w:link w:val="25"/>
    <w:qFormat/>
    <w:uiPriority w:val="0"/>
    <w:rPr>
      <w:rFonts w:ascii="宋体" w:hAnsi="Courier New" w:eastAsia="宋体" w:cs="Courier New"/>
      <w:kern w:val="2"/>
      <w:sz w:val="21"/>
      <w:szCs w:val="21"/>
      <w:lang w:val="en-US" w:eastAsia="zh-CN" w:bidi="ar-SA"/>
    </w:rPr>
  </w:style>
  <w:style w:type="character" w:customStyle="1" w:styleId="72">
    <w:name w:val="日期 Char1"/>
    <w:link w:val="27"/>
    <w:qFormat/>
    <w:uiPriority w:val="0"/>
    <w:rPr>
      <w:rFonts w:ascii="Times New Roman" w:hAnsi="Times New Roman" w:eastAsia="宋体" w:cs="Times New Roman"/>
      <w:kern w:val="2"/>
      <w:sz w:val="24"/>
      <w:lang w:val="en-US" w:eastAsia="zh-CN" w:bidi="ar-SA"/>
    </w:rPr>
  </w:style>
  <w:style w:type="character" w:customStyle="1" w:styleId="73">
    <w:name w:val="批注框文本 Char1"/>
    <w:link w:val="29"/>
    <w:qFormat/>
    <w:uiPriority w:val="0"/>
    <w:rPr>
      <w:rFonts w:ascii="Calibri" w:hAnsi="Calibri" w:eastAsia="宋体" w:cs="Times New Roman"/>
      <w:kern w:val="2"/>
      <w:sz w:val="18"/>
      <w:szCs w:val="18"/>
      <w:lang w:val="en-US" w:eastAsia="zh-CN" w:bidi="ar-SA"/>
    </w:rPr>
  </w:style>
  <w:style w:type="character" w:customStyle="1" w:styleId="74">
    <w:name w:val="页脚 Char1"/>
    <w:link w:val="30"/>
    <w:qFormat/>
    <w:uiPriority w:val="0"/>
    <w:rPr>
      <w:rFonts w:ascii="Times New Roman" w:hAnsi="Times New Roman" w:eastAsia="宋体" w:cs="Times New Roman"/>
      <w:kern w:val="2"/>
      <w:sz w:val="18"/>
      <w:szCs w:val="18"/>
      <w:lang w:val="en-US" w:eastAsia="zh-CN" w:bidi="ar-SA"/>
    </w:rPr>
  </w:style>
  <w:style w:type="character" w:customStyle="1" w:styleId="75">
    <w:name w:val="页眉 Char1"/>
    <w:link w:val="31"/>
    <w:qFormat/>
    <w:uiPriority w:val="0"/>
    <w:rPr>
      <w:rFonts w:ascii="Times New Roman" w:hAnsi="Times New Roman" w:eastAsia="宋体" w:cs="Times New Roman"/>
      <w:kern w:val="2"/>
      <w:sz w:val="18"/>
      <w:szCs w:val="18"/>
      <w:lang w:val="en-US" w:eastAsia="zh-CN" w:bidi="ar-SA"/>
    </w:rPr>
  </w:style>
  <w:style w:type="character" w:customStyle="1" w:styleId="76">
    <w:name w:val="正文文本缩进 3 Char1"/>
    <w:link w:val="34"/>
    <w:qFormat/>
    <w:uiPriority w:val="0"/>
    <w:rPr>
      <w:rFonts w:ascii="Times New Roman" w:hAnsi="Times New Roman" w:eastAsia="宋体" w:cs="Times New Roman"/>
      <w:kern w:val="2"/>
      <w:sz w:val="16"/>
      <w:szCs w:val="16"/>
      <w:lang w:val="en-US" w:eastAsia="zh-CN" w:bidi="ar-SA"/>
    </w:rPr>
  </w:style>
  <w:style w:type="character" w:customStyle="1" w:styleId="77">
    <w:name w:val="批注主题 Char1"/>
    <w:link w:val="42"/>
    <w:qFormat/>
    <w:uiPriority w:val="0"/>
    <w:rPr>
      <w:rFonts w:ascii="Times New Roman" w:hAnsi="Times New Roman" w:eastAsia="宋体" w:cs="Times New Roman"/>
      <w:b/>
      <w:bCs/>
      <w:kern w:val="2"/>
      <w:sz w:val="21"/>
      <w:szCs w:val="24"/>
      <w:lang w:val="en-US" w:eastAsia="zh-CN" w:bidi="ar-SA"/>
    </w:rPr>
  </w:style>
  <w:style w:type="character" w:customStyle="1" w:styleId="78">
    <w:name w:val="Font Style86"/>
    <w:qFormat/>
    <w:uiPriority w:val="0"/>
    <w:rPr>
      <w:rFonts w:hint="eastAsia" w:ascii="黑体" w:hAnsi="黑体" w:eastAsia="黑体" w:cs="Times New Roman"/>
      <w:spacing w:val="10"/>
      <w:sz w:val="30"/>
    </w:rPr>
  </w:style>
  <w:style w:type="character" w:customStyle="1" w:styleId="79">
    <w:name w:val="p0 Char Char"/>
    <w:qFormat/>
    <w:uiPriority w:val="0"/>
    <w:rPr>
      <w:rFonts w:ascii="Times New Roman" w:hAnsi="Times New Roman" w:eastAsia="宋体" w:cs="Times New Roman"/>
      <w:kern w:val="2"/>
      <w:sz w:val="21"/>
      <w:szCs w:val="21"/>
      <w:lang w:val="en-US" w:eastAsia="zh-CN" w:bidi="ar-SA"/>
    </w:rPr>
  </w:style>
  <w:style w:type="character" w:customStyle="1" w:styleId="80">
    <w:name w:val="标题 8 Char"/>
    <w:qFormat/>
    <w:uiPriority w:val="0"/>
    <w:rPr>
      <w:rFonts w:ascii="Arial" w:hAnsi="Arial" w:eastAsia="黑体" w:cs="Times New Roman"/>
      <w:sz w:val="24"/>
      <w:szCs w:val="24"/>
    </w:rPr>
  </w:style>
  <w:style w:type="character" w:customStyle="1" w:styleId="81">
    <w:name w:val="标题 3 Char"/>
    <w:qFormat/>
    <w:uiPriority w:val="0"/>
    <w:rPr>
      <w:rFonts w:ascii="Times New Roman" w:hAnsi="Times New Roman" w:eastAsia="宋体" w:cs="Times New Roman"/>
      <w:b/>
      <w:bCs/>
      <w:sz w:val="24"/>
      <w:szCs w:val="24"/>
    </w:rPr>
  </w:style>
  <w:style w:type="character" w:customStyle="1" w:styleId="82">
    <w:name w:val="页眉 Char"/>
    <w:qFormat/>
    <w:uiPriority w:val="99"/>
    <w:rPr>
      <w:rFonts w:ascii="Times New Roman" w:hAnsi="Times New Roman" w:eastAsia="宋体" w:cs="Times New Roman"/>
      <w:kern w:val="2"/>
      <w:sz w:val="18"/>
      <w:szCs w:val="18"/>
    </w:rPr>
  </w:style>
  <w:style w:type="character" w:customStyle="1" w:styleId="83">
    <w:name w:val="Font Style116"/>
    <w:qFormat/>
    <w:uiPriority w:val="0"/>
    <w:rPr>
      <w:rFonts w:hint="eastAsia" w:ascii="宋体" w:hAnsi="宋体" w:eastAsia="宋体" w:cs="Times New Roman"/>
      <w:spacing w:val="-20"/>
      <w:sz w:val="24"/>
    </w:rPr>
  </w:style>
  <w:style w:type="character" w:customStyle="1" w:styleId="84">
    <w:name w:val="批注文字 Char"/>
    <w:qFormat/>
    <w:uiPriority w:val="0"/>
    <w:rPr>
      <w:rFonts w:ascii="Times New Roman" w:hAnsi="Times New Roman" w:eastAsia="宋体" w:cs="Times New Roman"/>
      <w:kern w:val="2"/>
      <w:sz w:val="21"/>
      <w:szCs w:val="24"/>
    </w:rPr>
  </w:style>
  <w:style w:type="character" w:customStyle="1" w:styleId="85">
    <w:name w:val="批注文字 Char Char"/>
    <w:qFormat/>
    <w:uiPriority w:val="0"/>
    <w:rPr>
      <w:rFonts w:ascii="Times New Roman" w:hAnsi="Times New Roman" w:eastAsia="宋体" w:cs="Times New Roman"/>
      <w:kern w:val="2"/>
      <w:sz w:val="21"/>
      <w:szCs w:val="24"/>
      <w:lang w:bidi="ar-SA"/>
    </w:rPr>
  </w:style>
  <w:style w:type="character" w:customStyle="1" w:styleId="86">
    <w:name w:val="Font Style90"/>
    <w:qFormat/>
    <w:uiPriority w:val="0"/>
    <w:rPr>
      <w:rFonts w:hint="eastAsia" w:ascii="宋体" w:hAnsi="宋体" w:eastAsia="宋体" w:cs="Times New Roman"/>
      <w:b/>
      <w:spacing w:val="-20"/>
      <w:sz w:val="40"/>
    </w:rPr>
  </w:style>
  <w:style w:type="character" w:customStyle="1" w:styleId="87">
    <w:name w:val="NormalCharacter"/>
    <w:qFormat/>
    <w:uiPriority w:val="0"/>
    <w:rPr>
      <w:rFonts w:ascii="Calibri" w:hAnsi="Calibri" w:eastAsia="宋体" w:cs="Times New Roman"/>
      <w:kern w:val="2"/>
      <w:sz w:val="28"/>
      <w:szCs w:val="24"/>
      <w:lang w:val="en-US" w:eastAsia="zh-CN" w:bidi="ar-SA"/>
    </w:rPr>
  </w:style>
  <w:style w:type="character" w:customStyle="1" w:styleId="88">
    <w:name w:val="Font Style125"/>
    <w:qFormat/>
    <w:uiPriority w:val="0"/>
    <w:rPr>
      <w:rFonts w:hint="eastAsia" w:ascii="宋体" w:hAnsi="宋体" w:eastAsia="宋体" w:cs="Times New Roman"/>
      <w:b/>
      <w:sz w:val="26"/>
    </w:rPr>
  </w:style>
  <w:style w:type="character" w:customStyle="1" w:styleId="89">
    <w:name w:val="plus"/>
    <w:qFormat/>
    <w:uiPriority w:val="0"/>
    <w:rPr>
      <w:rFonts w:ascii="Times New Roman" w:hAnsi="Times New Roman" w:eastAsia="宋体" w:cs="Times New Roman"/>
      <w:b/>
      <w:vanish/>
      <w:color w:val="1F8DEF"/>
      <w:sz w:val="24"/>
      <w:szCs w:val="24"/>
    </w:rPr>
  </w:style>
  <w:style w:type="character" w:customStyle="1" w:styleId="90">
    <w:name w:val="标题 5 Char"/>
    <w:qFormat/>
    <w:uiPriority w:val="0"/>
    <w:rPr>
      <w:rFonts w:ascii="Times New Roman" w:hAnsi="Times New Roman" w:eastAsia="宋体" w:cs="Times New Roman"/>
      <w:b/>
      <w:bCs/>
      <w:kern w:val="2"/>
      <w:sz w:val="28"/>
      <w:szCs w:val="28"/>
    </w:rPr>
  </w:style>
  <w:style w:type="character" w:customStyle="1" w:styleId="91">
    <w:name w:val="bds_more8"/>
    <w:qFormat/>
    <w:uiPriority w:val="0"/>
    <w:rPr>
      <w:rFonts w:ascii="Times New Roman" w:hAnsi="Times New Roman" w:eastAsia="宋体" w:cs="Times New Roman"/>
    </w:rPr>
  </w:style>
  <w:style w:type="character" w:customStyle="1" w:styleId="92">
    <w:name w:val="sidecatalog-dot"/>
    <w:qFormat/>
    <w:uiPriority w:val="0"/>
    <w:rPr>
      <w:rFonts w:ascii="Times New Roman" w:hAnsi="Times New Roman" w:eastAsia="宋体" w:cs="Times New Roman"/>
    </w:rPr>
  </w:style>
  <w:style w:type="character" w:customStyle="1" w:styleId="93">
    <w:name w:val=" Char Char12"/>
    <w:qFormat/>
    <w:uiPriority w:val="0"/>
    <w:rPr>
      <w:rFonts w:ascii="Arial" w:hAnsi="Arial" w:eastAsia="黑体" w:cs="Times New Roman"/>
      <w:b/>
      <w:bCs/>
      <w:kern w:val="2"/>
      <w:sz w:val="28"/>
      <w:szCs w:val="28"/>
      <w:lang w:val="en-US" w:eastAsia="zh-CN" w:bidi="ar-SA"/>
    </w:rPr>
  </w:style>
  <w:style w:type="character" w:customStyle="1" w:styleId="94">
    <w:name w:val="Font Style134"/>
    <w:qFormat/>
    <w:uiPriority w:val="0"/>
    <w:rPr>
      <w:rFonts w:hint="eastAsia" w:ascii="宋体" w:hAnsi="宋体" w:eastAsia="宋体" w:cs="Times New Roman"/>
      <w:spacing w:val="20"/>
      <w:sz w:val="22"/>
    </w:rPr>
  </w:style>
  <w:style w:type="character" w:customStyle="1" w:styleId="95">
    <w:name w:val="font61"/>
    <w:qFormat/>
    <w:uiPriority w:val="0"/>
    <w:rPr>
      <w:rFonts w:hint="eastAsia" w:ascii="宋体" w:hAnsi="宋体" w:eastAsia="宋体" w:cs="宋体"/>
      <w:color w:val="000000"/>
      <w:sz w:val="20"/>
      <w:szCs w:val="20"/>
      <w:u w:val="none"/>
    </w:rPr>
  </w:style>
  <w:style w:type="character" w:customStyle="1" w:styleId="96">
    <w:name w:val="bds_nopic1"/>
    <w:qFormat/>
    <w:uiPriority w:val="0"/>
    <w:rPr>
      <w:rFonts w:ascii="Times New Roman" w:hAnsi="Times New Roman" w:eastAsia="宋体" w:cs="Times New Roman"/>
    </w:rPr>
  </w:style>
  <w:style w:type="character" w:customStyle="1" w:styleId="97">
    <w:name w:val="Font Style133"/>
    <w:qFormat/>
    <w:uiPriority w:val="0"/>
    <w:rPr>
      <w:rFonts w:hint="eastAsia" w:ascii="宋体" w:hAnsi="宋体" w:eastAsia="宋体" w:cs="Times New Roman"/>
      <w:spacing w:val="30"/>
      <w:sz w:val="24"/>
    </w:rPr>
  </w:style>
  <w:style w:type="character" w:customStyle="1" w:styleId="98">
    <w:name w:val="批注框文本 Char"/>
    <w:qFormat/>
    <w:uiPriority w:val="0"/>
    <w:rPr>
      <w:rFonts w:ascii="Times New Roman" w:hAnsi="Times New Roman" w:eastAsia="宋体" w:cs="Times New Roman"/>
      <w:kern w:val="2"/>
      <w:sz w:val="18"/>
      <w:szCs w:val="18"/>
    </w:rPr>
  </w:style>
  <w:style w:type="character" w:customStyle="1" w:styleId="99">
    <w:name w:val="sort1"/>
    <w:qFormat/>
    <w:uiPriority w:val="0"/>
    <w:rPr>
      <w:rFonts w:ascii="Times New Roman" w:hAnsi="Times New Roman" w:eastAsia="宋体" w:cs="Times New Roman"/>
    </w:rPr>
  </w:style>
  <w:style w:type="character" w:customStyle="1" w:styleId="100">
    <w:name w:val="标题 4 Char Char"/>
    <w:qFormat/>
    <w:uiPriority w:val="0"/>
    <w:rPr>
      <w:rFonts w:ascii="Arial" w:hAnsi="Arial" w:eastAsia="宋体" w:cs="Times New Roman"/>
      <w:b/>
      <w:bCs/>
      <w:kern w:val="2"/>
      <w:sz w:val="21"/>
      <w:szCs w:val="28"/>
      <w:lang w:val="en-US" w:eastAsia="zh-CN" w:bidi="ar-SA"/>
    </w:rPr>
  </w:style>
  <w:style w:type="character" w:customStyle="1" w:styleId="101">
    <w:name w:val="标题 9 Char"/>
    <w:qFormat/>
    <w:uiPriority w:val="0"/>
    <w:rPr>
      <w:rFonts w:ascii="Arial" w:hAnsi="Arial" w:eastAsia="黑体" w:cs="Times New Roman"/>
      <w:sz w:val="21"/>
      <w:szCs w:val="21"/>
    </w:rPr>
  </w:style>
  <w:style w:type="character" w:customStyle="1" w:styleId="102">
    <w:name w:val="Font Style122"/>
    <w:qFormat/>
    <w:uiPriority w:val="0"/>
    <w:rPr>
      <w:rFonts w:hint="eastAsia" w:ascii="宋体" w:hAnsi="宋体" w:eastAsia="宋体" w:cs="Times New Roman"/>
      <w:spacing w:val="20"/>
      <w:sz w:val="24"/>
    </w:rPr>
  </w:style>
  <w:style w:type="character" w:customStyle="1" w:styleId="103">
    <w:name w:val="标题 2 Char"/>
    <w:qFormat/>
    <w:uiPriority w:val="0"/>
    <w:rPr>
      <w:rFonts w:ascii="Cambria" w:hAnsi="Cambria" w:eastAsia="宋体" w:cs="Times New Roman"/>
      <w:b/>
      <w:bCs/>
      <w:kern w:val="2"/>
      <w:sz w:val="32"/>
      <w:szCs w:val="32"/>
    </w:rPr>
  </w:style>
  <w:style w:type="character" w:customStyle="1" w:styleId="104">
    <w:name w:val=" Char Char16"/>
    <w:qFormat/>
    <w:uiPriority w:val="0"/>
    <w:rPr>
      <w:rFonts w:ascii="宋体" w:hAnsi="Times New Roman" w:eastAsia="宋体" w:cs="Times New Roman"/>
      <w:b/>
      <w:sz w:val="24"/>
      <w:lang w:val="en-US" w:eastAsia="zh-CN" w:bidi="ar-SA"/>
    </w:rPr>
  </w:style>
  <w:style w:type="character" w:customStyle="1" w:styleId="105">
    <w:name w:val="bds_more6"/>
    <w:qFormat/>
    <w:uiPriority w:val="0"/>
    <w:rPr>
      <w:rFonts w:hint="eastAsia" w:ascii="宋体" w:hAnsi="宋体" w:eastAsia="宋体" w:cs="宋体"/>
    </w:rPr>
  </w:style>
  <w:style w:type="character" w:customStyle="1" w:styleId="106">
    <w:name w:val="正文文本缩进 3 Char"/>
    <w:qFormat/>
    <w:uiPriority w:val="0"/>
    <w:rPr>
      <w:rFonts w:ascii="宋体" w:hAnsi="MS Sans Serif" w:eastAsia="宋体" w:cs="Times New Roman"/>
      <w:color w:val="000000"/>
      <w:sz w:val="24"/>
    </w:rPr>
  </w:style>
  <w:style w:type="character" w:customStyle="1" w:styleId="107">
    <w:name w:val="标题 6 Char"/>
    <w:qFormat/>
    <w:uiPriority w:val="0"/>
    <w:rPr>
      <w:rFonts w:ascii="Arial" w:hAnsi="Arial" w:eastAsia="黑体" w:cs="Times New Roman"/>
      <w:b/>
      <w:bCs/>
      <w:sz w:val="24"/>
      <w:szCs w:val="24"/>
    </w:rPr>
  </w:style>
  <w:style w:type="character" w:customStyle="1" w:styleId="108">
    <w:name w:val="Font Style105"/>
    <w:qFormat/>
    <w:uiPriority w:val="0"/>
    <w:rPr>
      <w:rFonts w:hint="eastAsia" w:ascii="Times New Roman" w:hAnsi="Times New Roman" w:eastAsia="Times New Roman" w:cs="Times New Roman"/>
      <w:w w:val="60"/>
      <w:sz w:val="26"/>
    </w:rPr>
  </w:style>
  <w:style w:type="character" w:customStyle="1" w:styleId="109">
    <w:name w:val="批注主题 Char"/>
    <w:qFormat/>
    <w:uiPriority w:val="0"/>
    <w:rPr>
      <w:rFonts w:ascii="Times New Roman" w:hAnsi="Times New Roman" w:eastAsia="宋体" w:cs="Times New Roman"/>
      <w:b/>
      <w:bCs/>
      <w:kern w:val="2"/>
      <w:sz w:val="21"/>
      <w:szCs w:val="24"/>
    </w:rPr>
  </w:style>
  <w:style w:type="character" w:customStyle="1" w:styleId="110">
    <w:name w:val="font71"/>
    <w:qFormat/>
    <w:uiPriority w:val="0"/>
    <w:rPr>
      <w:rFonts w:hint="eastAsia" w:ascii="宋体" w:hAnsi="宋体" w:eastAsia="宋体" w:cs="宋体"/>
      <w:color w:val="FF0000"/>
      <w:sz w:val="22"/>
      <w:szCs w:val="22"/>
      <w:u w:val="none"/>
    </w:rPr>
  </w:style>
  <w:style w:type="character" w:customStyle="1" w:styleId="111">
    <w:name w:val=" Char Char15"/>
    <w:qFormat/>
    <w:uiPriority w:val="0"/>
    <w:rPr>
      <w:rFonts w:ascii="Times New Roman" w:hAnsi="Times New Roman" w:eastAsia="宋体" w:cs="Times New Roman"/>
      <w:b/>
      <w:bCs/>
      <w:sz w:val="24"/>
      <w:szCs w:val="24"/>
    </w:rPr>
  </w:style>
  <w:style w:type="character" w:customStyle="1" w:styleId="112">
    <w:name w:val="font41"/>
    <w:qFormat/>
    <w:uiPriority w:val="0"/>
    <w:rPr>
      <w:rFonts w:hint="eastAsia" w:ascii="仿宋_GB2312" w:eastAsia="仿宋_GB2312" w:cs="仿宋_GB2312"/>
      <w:color w:val="FF0000"/>
      <w:sz w:val="24"/>
      <w:szCs w:val="24"/>
      <w:u w:val="none"/>
    </w:rPr>
  </w:style>
  <w:style w:type="character" w:customStyle="1" w:styleId="113">
    <w:name w:val="font11"/>
    <w:qFormat/>
    <w:uiPriority w:val="0"/>
    <w:rPr>
      <w:rFonts w:hint="eastAsia" w:ascii="宋体" w:hAnsi="宋体" w:eastAsia="宋体" w:cs="宋体"/>
      <w:color w:val="000000"/>
      <w:sz w:val="21"/>
      <w:szCs w:val="21"/>
      <w:u w:val="none"/>
    </w:rPr>
  </w:style>
  <w:style w:type="character" w:customStyle="1" w:styleId="114">
    <w:name w:val="Font Style128"/>
    <w:qFormat/>
    <w:uiPriority w:val="0"/>
    <w:rPr>
      <w:rFonts w:hint="eastAsia" w:ascii="Times New Roman" w:hAnsi="Times New Roman" w:eastAsia="Times New Roman" w:cs="Times New Roman"/>
      <w:sz w:val="16"/>
    </w:rPr>
  </w:style>
  <w:style w:type="character" w:customStyle="1" w:styleId="115">
    <w:name w:val="Font Style126"/>
    <w:qFormat/>
    <w:uiPriority w:val="0"/>
    <w:rPr>
      <w:rFonts w:hint="eastAsia" w:ascii="宋体" w:hAnsi="宋体" w:eastAsia="宋体" w:cs="Times New Roman"/>
      <w:b/>
      <w:spacing w:val="-30"/>
      <w:sz w:val="28"/>
    </w:rPr>
  </w:style>
  <w:style w:type="character" w:customStyle="1" w:styleId="116">
    <w:name w:val="Font Style94"/>
    <w:qFormat/>
    <w:uiPriority w:val="0"/>
    <w:rPr>
      <w:rFonts w:hint="eastAsia" w:ascii="Times New Roman" w:hAnsi="Times New Roman" w:eastAsia="Times New Roman" w:cs="Times New Roman"/>
      <w:sz w:val="28"/>
    </w:rPr>
  </w:style>
  <w:style w:type="character" w:customStyle="1" w:styleId="117">
    <w:name w:val=" Char Char13"/>
    <w:qFormat/>
    <w:uiPriority w:val="0"/>
    <w:rPr>
      <w:rFonts w:ascii="Times New Roman" w:hAnsi="Times New Roman" w:eastAsia="宋体" w:cs="Times New Roman"/>
      <w:b/>
      <w:bCs/>
      <w:kern w:val="2"/>
      <w:sz w:val="24"/>
      <w:lang w:val="en-US" w:eastAsia="zh-CN" w:bidi="ar-SA"/>
    </w:rPr>
  </w:style>
  <w:style w:type="character" w:customStyle="1" w:styleId="118">
    <w:name w:val="Font Style131"/>
    <w:qFormat/>
    <w:uiPriority w:val="0"/>
    <w:rPr>
      <w:rFonts w:hint="eastAsia" w:ascii="Times New Roman" w:hAnsi="Times New Roman" w:eastAsia="Times New Roman" w:cs="Times New Roman"/>
      <w:sz w:val="18"/>
    </w:rPr>
  </w:style>
  <w:style w:type="character" w:customStyle="1" w:styleId="119">
    <w:name w:val="polysemyred"/>
    <w:qFormat/>
    <w:uiPriority w:val="0"/>
    <w:rPr>
      <w:rFonts w:ascii="Times New Roman" w:hAnsi="Times New Roman" w:eastAsia="宋体" w:cs="Times New Roman"/>
      <w:color w:val="FF6666"/>
      <w:sz w:val="18"/>
      <w:szCs w:val="18"/>
    </w:rPr>
  </w:style>
  <w:style w:type="character" w:customStyle="1" w:styleId="120">
    <w:name w:val="desc"/>
    <w:qFormat/>
    <w:uiPriority w:val="0"/>
    <w:rPr>
      <w:rFonts w:ascii="Times New Roman" w:hAnsi="Times New Roman" w:eastAsia="宋体" w:cs="Times New Roman"/>
      <w:color w:val="000000"/>
      <w:sz w:val="18"/>
      <w:szCs w:val="18"/>
    </w:rPr>
  </w:style>
  <w:style w:type="character" w:customStyle="1" w:styleId="121">
    <w:name w:val="Font Style104"/>
    <w:qFormat/>
    <w:uiPriority w:val="0"/>
    <w:rPr>
      <w:rFonts w:hint="eastAsia" w:ascii="宋体" w:hAnsi="宋体" w:eastAsia="宋体" w:cs="Times New Roman"/>
      <w:spacing w:val="30"/>
      <w:sz w:val="18"/>
    </w:rPr>
  </w:style>
  <w:style w:type="character" w:customStyle="1" w:styleId="122">
    <w:name w:val="标题 7 Char"/>
    <w:qFormat/>
    <w:uiPriority w:val="0"/>
    <w:rPr>
      <w:rFonts w:ascii="Times New Roman" w:hAnsi="Times New Roman" w:eastAsia="宋体" w:cs="Times New Roman"/>
      <w:b/>
      <w:bCs/>
      <w:sz w:val="24"/>
      <w:szCs w:val="24"/>
    </w:rPr>
  </w:style>
  <w:style w:type="character" w:customStyle="1" w:styleId="123">
    <w:name w:val="标题 2 字符"/>
    <w:qFormat/>
    <w:uiPriority w:val="0"/>
    <w:rPr>
      <w:rFonts w:ascii="Arial" w:hAnsi="Arial" w:eastAsia="仿宋" w:cs="Times New Roman"/>
      <w:b/>
      <w:color w:val="000000"/>
      <w:sz w:val="28"/>
      <w:szCs w:val="22"/>
    </w:rPr>
  </w:style>
  <w:style w:type="character" w:customStyle="1" w:styleId="124">
    <w:name w:val="sidecatalog-dot1"/>
    <w:qFormat/>
    <w:uiPriority w:val="0"/>
    <w:rPr>
      <w:rFonts w:ascii="Times New Roman" w:hAnsi="Times New Roman" w:eastAsia="宋体" w:cs="Times New Roman"/>
    </w:rPr>
  </w:style>
  <w:style w:type="character" w:customStyle="1" w:styleId="125">
    <w:name w:val="bds_nopic"/>
    <w:qFormat/>
    <w:uiPriority w:val="0"/>
    <w:rPr>
      <w:rFonts w:ascii="Times New Roman" w:hAnsi="Times New Roman" w:eastAsia="宋体" w:cs="Times New Roman"/>
    </w:rPr>
  </w:style>
  <w:style w:type="character" w:customStyle="1" w:styleId="126">
    <w:name w:val="Font Style115"/>
    <w:qFormat/>
    <w:uiPriority w:val="0"/>
    <w:rPr>
      <w:rFonts w:hint="eastAsia" w:ascii="Times New Roman" w:hAnsi="Times New Roman" w:eastAsia="Times New Roman" w:cs="Times New Roman"/>
      <w:sz w:val="16"/>
    </w:rPr>
  </w:style>
  <w:style w:type="character" w:customStyle="1" w:styleId="127">
    <w:name w:val="Font Style124"/>
    <w:qFormat/>
    <w:uiPriority w:val="0"/>
    <w:rPr>
      <w:rFonts w:hint="eastAsia" w:ascii="宋体" w:hAnsi="宋体" w:eastAsia="宋体" w:cs="Times New Roman"/>
      <w:spacing w:val="30"/>
      <w:sz w:val="24"/>
    </w:rPr>
  </w:style>
  <w:style w:type="character" w:customStyle="1" w:styleId="128">
    <w:name w:val="bds_more10"/>
    <w:qFormat/>
    <w:uiPriority w:val="0"/>
    <w:rPr>
      <w:rFonts w:ascii="Times New Roman" w:hAnsi="Times New Roman" w:eastAsia="宋体" w:cs="Times New Roman"/>
    </w:rPr>
  </w:style>
  <w:style w:type="character" w:customStyle="1" w:styleId="129">
    <w:name w:val="sort"/>
    <w:qFormat/>
    <w:uiPriority w:val="0"/>
    <w:rPr>
      <w:rFonts w:ascii="Times New Roman" w:hAnsi="Times New Roman" w:eastAsia="宋体" w:cs="Times New Roman"/>
      <w:color w:val="FFFFFF"/>
      <w:bdr w:val="single" w:color="auto" w:sz="24" w:space="0"/>
    </w:rPr>
  </w:style>
  <w:style w:type="character" w:customStyle="1" w:styleId="130">
    <w:name w:val="标题 Char"/>
    <w:qFormat/>
    <w:uiPriority w:val="0"/>
    <w:rPr>
      <w:rFonts w:ascii="Cambria" w:hAnsi="Cambria" w:eastAsia="宋体" w:cs="Times New Roman"/>
      <w:b/>
      <w:kern w:val="2"/>
      <w:sz w:val="32"/>
      <w:szCs w:val="24"/>
    </w:rPr>
  </w:style>
  <w:style w:type="character" w:customStyle="1" w:styleId="131">
    <w:name w:val="纯文本 Char1"/>
    <w:qFormat/>
    <w:uiPriority w:val="0"/>
    <w:rPr>
      <w:rFonts w:ascii="宋体" w:hAnsi="Courier New" w:eastAsia="宋体" w:cs="Courier New"/>
      <w:kern w:val="2"/>
      <w:sz w:val="21"/>
      <w:szCs w:val="21"/>
      <w:lang w:val="en-US" w:eastAsia="zh-CN" w:bidi="ar-SA"/>
    </w:rPr>
  </w:style>
  <w:style w:type="character" w:customStyle="1" w:styleId="132">
    <w:name w:val="Font Style127"/>
    <w:qFormat/>
    <w:uiPriority w:val="0"/>
    <w:rPr>
      <w:rFonts w:hint="eastAsia" w:ascii="Times New Roman" w:hAnsi="Times New Roman" w:eastAsia="Times New Roman" w:cs="Times New Roman"/>
      <w:sz w:val="20"/>
    </w:rPr>
  </w:style>
  <w:style w:type="character" w:customStyle="1" w:styleId="133">
    <w:name w:val=" Char Char17"/>
    <w:qFormat/>
    <w:uiPriority w:val="0"/>
    <w:rPr>
      <w:rFonts w:ascii="宋体" w:hAnsi="Times New Roman" w:eastAsia="宋体" w:cs="Times New Roman"/>
      <w:b/>
      <w:sz w:val="28"/>
      <w:lang w:val="en-US" w:eastAsia="zh-CN" w:bidi="ar-SA"/>
    </w:rPr>
  </w:style>
  <w:style w:type="character" w:customStyle="1" w:styleId="134">
    <w:name w:val="polysemyexp"/>
    <w:qFormat/>
    <w:uiPriority w:val="0"/>
    <w:rPr>
      <w:rFonts w:ascii="Times New Roman" w:hAnsi="Times New Roman" w:eastAsia="宋体" w:cs="Times New Roman"/>
      <w:color w:val="AAAAAA"/>
      <w:sz w:val="18"/>
      <w:szCs w:val="18"/>
    </w:rPr>
  </w:style>
  <w:style w:type="character" w:customStyle="1" w:styleId="135">
    <w:name w:val="bds_more7"/>
    <w:qFormat/>
    <w:uiPriority w:val="0"/>
    <w:rPr>
      <w:rFonts w:ascii="Times New Roman" w:hAnsi="Times New Roman" w:eastAsia="宋体" w:cs="Times New Roman"/>
    </w:rPr>
  </w:style>
  <w:style w:type="character" w:customStyle="1" w:styleId="136">
    <w:name w:val="Font Style121"/>
    <w:qFormat/>
    <w:uiPriority w:val="0"/>
    <w:rPr>
      <w:rFonts w:hint="eastAsia" w:ascii="宋体" w:hAnsi="宋体" w:eastAsia="宋体" w:cs="Times New Roman"/>
      <w:spacing w:val="-10"/>
      <w:sz w:val="30"/>
    </w:rPr>
  </w:style>
  <w:style w:type="character" w:customStyle="1" w:styleId="137">
    <w:name w:val="lemmatitleh12"/>
    <w:qFormat/>
    <w:uiPriority w:val="0"/>
    <w:rPr>
      <w:rFonts w:ascii="Times New Roman" w:hAnsi="Times New Roman" w:eastAsia="宋体" w:cs="Times New Roman"/>
    </w:rPr>
  </w:style>
  <w:style w:type="character" w:customStyle="1" w:styleId="138">
    <w:name w:val="Font Style119"/>
    <w:qFormat/>
    <w:uiPriority w:val="0"/>
    <w:rPr>
      <w:rFonts w:hint="eastAsia" w:ascii="宋体" w:hAnsi="宋体" w:eastAsia="宋体" w:cs="Times New Roman"/>
      <w:sz w:val="24"/>
    </w:rPr>
  </w:style>
  <w:style w:type="character" w:customStyle="1" w:styleId="139">
    <w:name w:val=" Char Char14"/>
    <w:qFormat/>
    <w:uiPriority w:val="0"/>
    <w:rPr>
      <w:rFonts w:ascii="Arial" w:hAnsi="Arial" w:eastAsia="黑体" w:cs="Times New Roman"/>
      <w:b/>
      <w:bCs/>
      <w:sz w:val="28"/>
      <w:szCs w:val="28"/>
      <w:lang w:val="en-US" w:eastAsia="zh-CN" w:bidi="ar-SA"/>
    </w:rPr>
  </w:style>
  <w:style w:type="character" w:customStyle="1" w:styleId="140">
    <w:name w:val="sidecatalog-index2"/>
    <w:qFormat/>
    <w:uiPriority w:val="0"/>
    <w:rPr>
      <w:rFonts w:ascii="Arail" w:hAnsi="Arail" w:eastAsia="Arail" w:cs="Arail"/>
      <w:color w:val="999999"/>
      <w:sz w:val="21"/>
      <w:szCs w:val="21"/>
    </w:rPr>
  </w:style>
  <w:style w:type="character" w:customStyle="1" w:styleId="141">
    <w:name w:val="morelink-item"/>
    <w:qFormat/>
    <w:uiPriority w:val="0"/>
    <w:rPr>
      <w:rFonts w:ascii="Times New Roman" w:hAnsi="Times New Roman" w:eastAsia="宋体" w:cs="Times New Roman"/>
    </w:rPr>
  </w:style>
  <w:style w:type="character" w:customStyle="1" w:styleId="142">
    <w:name w:val="sidecatalog-index1"/>
    <w:qFormat/>
    <w:uiPriority w:val="0"/>
    <w:rPr>
      <w:rFonts w:ascii="Arial" w:hAnsi="Arial" w:eastAsia="宋体" w:cs="Arial"/>
      <w:b/>
      <w:color w:val="999999"/>
      <w:sz w:val="21"/>
      <w:szCs w:val="21"/>
    </w:rPr>
  </w:style>
  <w:style w:type="character" w:customStyle="1" w:styleId="143">
    <w:name w:val="font51"/>
    <w:qFormat/>
    <w:uiPriority w:val="0"/>
    <w:rPr>
      <w:rFonts w:hint="eastAsia" w:ascii="仿宋_GB2312" w:eastAsia="仿宋_GB2312" w:cs="仿宋_GB2312"/>
      <w:color w:val="000000"/>
      <w:sz w:val="24"/>
      <w:szCs w:val="24"/>
      <w:u w:val="none"/>
    </w:rPr>
  </w:style>
  <w:style w:type="character" w:customStyle="1" w:styleId="144">
    <w:name w:val="标题 1 Char"/>
    <w:qFormat/>
    <w:uiPriority w:val="0"/>
    <w:rPr>
      <w:rFonts w:ascii="Cambria" w:hAnsi="Cambria" w:eastAsia="宋体" w:cs="Times New Roman"/>
      <w:b/>
      <w:bCs/>
      <w:kern w:val="32"/>
      <w:sz w:val="32"/>
      <w:szCs w:val="32"/>
    </w:rPr>
  </w:style>
  <w:style w:type="character" w:customStyle="1" w:styleId="145">
    <w:name w:val="font91"/>
    <w:qFormat/>
    <w:uiPriority w:val="0"/>
    <w:rPr>
      <w:rFonts w:hint="eastAsia" w:ascii="宋体" w:hAnsi="宋体" w:eastAsia="宋体" w:cs="宋体"/>
      <w:color w:val="000000"/>
      <w:sz w:val="22"/>
      <w:szCs w:val="22"/>
      <w:u w:val="none"/>
    </w:rPr>
  </w:style>
  <w:style w:type="character" w:customStyle="1" w:styleId="146">
    <w:name w:val="页脚 Char"/>
    <w:qFormat/>
    <w:uiPriority w:val="99"/>
    <w:rPr>
      <w:rFonts w:ascii="Times New Roman" w:hAnsi="Times New Roman" w:eastAsia="宋体" w:cs="Times New Roman"/>
      <w:kern w:val="2"/>
      <w:sz w:val="18"/>
      <w:szCs w:val="18"/>
    </w:rPr>
  </w:style>
  <w:style w:type="character" w:customStyle="1" w:styleId="147">
    <w:name w:val="标题 Char1"/>
    <w:qFormat/>
    <w:uiPriority w:val="0"/>
    <w:rPr>
      <w:rFonts w:ascii="Cambria" w:hAnsi="Cambria" w:eastAsia="宋体" w:cs="Times New Roman"/>
      <w:b/>
      <w:bCs/>
      <w:sz w:val="32"/>
      <w:szCs w:val="32"/>
    </w:rPr>
  </w:style>
  <w:style w:type="character" w:customStyle="1" w:styleId="148">
    <w:name w:val="Font Style117"/>
    <w:qFormat/>
    <w:uiPriority w:val="0"/>
    <w:rPr>
      <w:rFonts w:hint="eastAsia" w:ascii="宋体" w:hAnsi="宋体" w:eastAsia="宋体" w:cs="Times New Roman"/>
      <w:spacing w:val="20"/>
      <w:sz w:val="24"/>
    </w:rPr>
  </w:style>
  <w:style w:type="character" w:customStyle="1" w:styleId="149">
    <w:name w:val="bds_more9"/>
    <w:qFormat/>
    <w:uiPriority w:val="0"/>
    <w:rPr>
      <w:rFonts w:ascii="Times New Roman" w:hAnsi="Times New Roman" w:eastAsia="宋体" w:cs="Times New Roman"/>
    </w:rPr>
  </w:style>
  <w:style w:type="character" w:customStyle="1" w:styleId="150">
    <w:name w:val="标题 4 Char"/>
    <w:qFormat/>
    <w:uiPriority w:val="0"/>
    <w:rPr>
      <w:rFonts w:ascii="Arial" w:hAnsi="Arial" w:eastAsia="宋体" w:cs="Times New Roman"/>
      <w:b/>
      <w:bCs/>
      <w:szCs w:val="28"/>
    </w:rPr>
  </w:style>
  <w:style w:type="character" w:customStyle="1" w:styleId="151">
    <w:name w:val="日期 Char"/>
    <w:qFormat/>
    <w:uiPriority w:val="0"/>
    <w:rPr>
      <w:rFonts w:ascii="Times New Roman" w:hAnsi="Times New Roman" w:eastAsia="宋体" w:cs="Times New Roman"/>
      <w:kern w:val="2"/>
      <w:sz w:val="21"/>
      <w:szCs w:val="24"/>
    </w:rPr>
  </w:style>
  <w:style w:type="character" w:customStyle="1" w:styleId="152">
    <w:name w:val="p0 Char"/>
    <w:link w:val="153"/>
    <w:qFormat/>
    <w:uiPriority w:val="0"/>
    <w:rPr>
      <w:rFonts w:ascii="Times New Roman" w:hAnsi="Times New Roman" w:eastAsia="宋体" w:cs="Times New Roman"/>
      <w:sz w:val="21"/>
      <w:szCs w:val="21"/>
      <w:lang w:val="en-US" w:eastAsia="zh-CN" w:bidi="ar-SA"/>
    </w:rPr>
  </w:style>
  <w:style w:type="paragraph" w:customStyle="1" w:styleId="153">
    <w:name w:val="p0"/>
    <w:basedOn w:val="1"/>
    <w:link w:val="152"/>
    <w:qFormat/>
    <w:uiPriority w:val="0"/>
    <w:pPr>
      <w:widowControl/>
    </w:pPr>
    <w:rPr>
      <w:rFonts w:ascii="Times New Roman" w:hAnsi="Times New Roman"/>
      <w:kern w:val="0"/>
      <w:sz w:val="21"/>
      <w:szCs w:val="21"/>
    </w:rPr>
  </w:style>
  <w:style w:type="character" w:customStyle="1" w:styleId="154">
    <w:name w:val="font01"/>
    <w:qFormat/>
    <w:uiPriority w:val="0"/>
    <w:rPr>
      <w:rFonts w:hint="eastAsia" w:ascii="宋体" w:hAnsi="宋体" w:eastAsia="宋体" w:cs="宋体"/>
      <w:color w:val="000000"/>
      <w:sz w:val="22"/>
      <w:szCs w:val="22"/>
      <w:u w:val="none"/>
    </w:rPr>
  </w:style>
  <w:style w:type="character" w:customStyle="1" w:styleId="155">
    <w:name w:val="bds_nopic2"/>
    <w:qFormat/>
    <w:uiPriority w:val="0"/>
    <w:rPr>
      <w:rFonts w:ascii="Times New Roman" w:hAnsi="Times New Roman" w:eastAsia="宋体" w:cs="Times New Roman"/>
    </w:rPr>
  </w:style>
  <w:style w:type="character" w:customStyle="1" w:styleId="156">
    <w:name w:val="title_1"/>
    <w:qFormat/>
    <w:uiPriority w:val="0"/>
    <w:rPr>
      <w:rFonts w:ascii="Times New Roman" w:hAnsi="Times New Roman" w:eastAsia="宋体" w:cs="Times New Roman"/>
      <w:b/>
      <w:sz w:val="30"/>
      <w:szCs w:val="30"/>
    </w:rPr>
  </w:style>
  <w:style w:type="character" w:customStyle="1" w:styleId="157">
    <w:name w:val="Font Style123"/>
    <w:qFormat/>
    <w:uiPriority w:val="0"/>
    <w:rPr>
      <w:rFonts w:hint="eastAsia" w:ascii="宋体" w:hAnsi="宋体" w:eastAsia="宋体" w:cs="Times New Roman"/>
      <w:b/>
      <w:sz w:val="32"/>
    </w:rPr>
  </w:style>
  <w:style w:type="character" w:customStyle="1" w:styleId="158">
    <w:name w:val="无间隔 Char"/>
    <w:link w:val="159"/>
    <w:qFormat/>
    <w:uiPriority w:val="1"/>
    <w:rPr>
      <w:sz w:val="22"/>
      <w:szCs w:val="22"/>
      <w:lang w:val="en-US" w:eastAsia="zh-CN" w:bidi="ar-SA"/>
    </w:rPr>
  </w:style>
  <w:style w:type="paragraph" w:styleId="159">
    <w:name w:val="No Spacing"/>
    <w:link w:val="158"/>
    <w:qFormat/>
    <w:uiPriority w:val="1"/>
    <w:rPr>
      <w:rFonts w:ascii="Calibri" w:hAnsi="Calibri" w:eastAsia="宋体" w:cs="Times New Roman"/>
      <w:sz w:val="22"/>
      <w:szCs w:val="22"/>
      <w:lang w:val="en-US" w:eastAsia="zh-CN" w:bidi="ar-SA"/>
    </w:rPr>
  </w:style>
  <w:style w:type="paragraph" w:customStyle="1" w:styleId="160">
    <w:name w:val="正文_128"/>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1">
    <w:name w:val="Style46"/>
    <w:basedOn w:val="1"/>
    <w:qFormat/>
    <w:uiPriority w:val="0"/>
    <w:pPr>
      <w:spacing w:line="672" w:lineRule="exact"/>
    </w:pPr>
    <w:rPr>
      <w:rFonts w:ascii="Times New Roman" w:hAnsi="Times New Roman" w:eastAsia="宋体" w:cs="Times New Roman"/>
    </w:rPr>
  </w:style>
  <w:style w:type="paragraph" w:customStyle="1" w:styleId="162">
    <w:name w:val="正文_6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3">
    <w:name w:val="Style47"/>
    <w:basedOn w:val="1"/>
    <w:qFormat/>
    <w:uiPriority w:val="0"/>
    <w:rPr>
      <w:rFonts w:ascii="Times New Roman" w:hAnsi="Times New Roman" w:eastAsia="宋体" w:cs="Times New Roman"/>
    </w:rPr>
  </w:style>
  <w:style w:type="paragraph" w:customStyle="1" w:styleId="164">
    <w:name w:val="1 Char Char Char Char"/>
    <w:basedOn w:val="1"/>
    <w:qFormat/>
    <w:uiPriority w:val="0"/>
    <w:rPr>
      <w:rFonts w:ascii="Times New Roman" w:hAnsi="Times New Roman" w:eastAsia="宋体" w:cs="Times New Roman"/>
    </w:rPr>
  </w:style>
  <w:style w:type="paragraph" w:customStyle="1" w:styleId="165">
    <w:name w:val="Style26"/>
    <w:basedOn w:val="1"/>
    <w:qFormat/>
    <w:uiPriority w:val="0"/>
    <w:rPr>
      <w:rFonts w:ascii="Times New Roman" w:hAnsi="Times New Roman" w:eastAsia="宋体" w:cs="Times New Roman"/>
    </w:rPr>
  </w:style>
  <w:style w:type="paragraph" w:customStyle="1" w:styleId="166">
    <w:name w:val="正文_35"/>
    <w:qFormat/>
    <w:uiPriority w:val="0"/>
    <w:pPr>
      <w:widowControl w:val="0"/>
      <w:jc w:val="both"/>
    </w:pPr>
    <w:rPr>
      <w:rFonts w:ascii="Calibri" w:hAnsi="Calibri" w:eastAsia="宋体" w:cs="Times New Roman"/>
      <w:kern w:val="2"/>
      <w:sz w:val="21"/>
      <w:szCs w:val="24"/>
      <w:lang w:val="en-US" w:eastAsia="zh-CN" w:bidi="ar-SA"/>
    </w:rPr>
  </w:style>
  <w:style w:type="paragraph" w:customStyle="1" w:styleId="167">
    <w:name w:val="Style56"/>
    <w:basedOn w:val="1"/>
    <w:qFormat/>
    <w:uiPriority w:val="0"/>
    <w:rPr>
      <w:rFonts w:ascii="Times New Roman" w:hAnsi="Times New Roman" w:eastAsia="宋体" w:cs="Times New Roman"/>
    </w:rPr>
  </w:style>
  <w:style w:type="paragraph" w:customStyle="1" w:styleId="168">
    <w:name w:val="Style12"/>
    <w:basedOn w:val="1"/>
    <w:qFormat/>
    <w:uiPriority w:val="0"/>
    <w:pPr>
      <w:spacing w:line="564" w:lineRule="exact"/>
      <w:ind w:hanging="115"/>
    </w:pPr>
    <w:rPr>
      <w:rFonts w:ascii="Times New Roman" w:hAnsi="Times New Roman" w:eastAsia="宋体" w:cs="Times New Roman"/>
    </w:rPr>
  </w:style>
  <w:style w:type="paragraph" w:customStyle="1" w:styleId="169">
    <w:name w:val="BodyTextIndent3"/>
    <w:basedOn w:val="1"/>
    <w:qFormat/>
    <w:uiPriority w:val="0"/>
    <w:pPr>
      <w:spacing w:after="120" w:line="240" w:lineRule="auto"/>
      <w:ind w:left="420" w:leftChars="200"/>
      <w:jc w:val="both"/>
    </w:pPr>
    <w:rPr>
      <w:rFonts w:ascii="Calibri" w:hAnsi="Calibri" w:eastAsia="宋体" w:cs="Times New Roman"/>
      <w:kern w:val="2"/>
      <w:sz w:val="16"/>
      <w:szCs w:val="16"/>
      <w:lang w:val="en-US" w:eastAsia="zh-CN" w:bidi="ar-SA"/>
    </w:rPr>
  </w:style>
  <w:style w:type="paragraph" w:customStyle="1" w:styleId="170">
    <w:name w:val="Style27"/>
    <w:basedOn w:val="1"/>
    <w:qFormat/>
    <w:uiPriority w:val="0"/>
    <w:rPr>
      <w:rFonts w:ascii="Times New Roman" w:hAnsi="Times New Roman" w:eastAsia="宋体" w:cs="Times New Roman"/>
    </w:rPr>
  </w:style>
  <w:style w:type="paragraph" w:customStyle="1" w:styleId="171">
    <w:name w:val="Style52"/>
    <w:basedOn w:val="1"/>
    <w:qFormat/>
    <w:uiPriority w:val="0"/>
    <w:pPr>
      <w:spacing w:line="682" w:lineRule="exact"/>
      <w:ind w:firstLine="557"/>
    </w:pPr>
    <w:rPr>
      <w:rFonts w:ascii="Times New Roman" w:hAnsi="Times New Roman" w:eastAsia="宋体" w:cs="Times New Roman"/>
    </w:rPr>
  </w:style>
  <w:style w:type="paragraph" w:customStyle="1" w:styleId="172">
    <w:name w:val=" Char1 Char Char Char"/>
    <w:basedOn w:val="1"/>
    <w:qFormat/>
    <w:uiPriority w:val="0"/>
    <w:pPr>
      <w:widowControl/>
      <w:spacing w:after="160" w:line="240" w:lineRule="exact"/>
      <w:jc w:val="left"/>
    </w:pPr>
    <w:rPr>
      <w:rFonts w:ascii="Times New Roman" w:hAnsi="Times New Roman" w:eastAsia="宋体" w:cs="Times New Roman"/>
      <w:kern w:val="0"/>
      <w:sz w:val="24"/>
      <w:szCs w:val="20"/>
    </w:rPr>
  </w:style>
  <w:style w:type="paragraph" w:customStyle="1" w:styleId="173">
    <w:name w:val="Char Char1 Char Char Char Char Char Char Char Char Char Char Char Char Char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74">
    <w:name w:val="Style54"/>
    <w:basedOn w:val="1"/>
    <w:qFormat/>
    <w:uiPriority w:val="0"/>
    <w:rPr>
      <w:rFonts w:ascii="Times New Roman" w:hAnsi="Times New Roman" w:eastAsia="宋体" w:cs="Times New Roman"/>
    </w:rPr>
  </w:style>
  <w:style w:type="paragraph" w:customStyle="1" w:styleId="175">
    <w:name w:val="样式1"/>
    <w:basedOn w:val="1"/>
    <w:qFormat/>
    <w:uiPriority w:val="0"/>
    <w:pPr>
      <w:tabs>
        <w:tab w:val="left" w:pos="360"/>
      </w:tabs>
      <w:adjustRightInd w:val="0"/>
      <w:ind w:left="360" w:hanging="360"/>
      <w:textAlignment w:val="baseline"/>
    </w:pPr>
    <w:rPr>
      <w:rFonts w:ascii="宋体" w:hAnsi="宋体" w:eastAsia="宋体" w:cs="Times New Roman"/>
      <w:kern w:val="0"/>
      <w:szCs w:val="21"/>
    </w:rPr>
  </w:style>
  <w:style w:type="paragraph" w:customStyle="1" w:styleId="176">
    <w:name w:val="Style45"/>
    <w:basedOn w:val="1"/>
    <w:qFormat/>
    <w:uiPriority w:val="0"/>
    <w:rPr>
      <w:rFonts w:ascii="Times New Roman" w:hAnsi="Times New Roman" w:eastAsia="宋体" w:cs="Times New Roman"/>
    </w:rPr>
  </w:style>
  <w:style w:type="paragraph" w:customStyle="1" w:styleId="177">
    <w:name w:val="正文_127"/>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8">
    <w:name w:val="正文_3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79">
    <w:name w:val="NO3"/>
    <w:basedOn w:val="1"/>
    <w:qFormat/>
    <w:uiPriority w:val="0"/>
    <w:pPr>
      <w:tabs>
        <w:tab w:val="left" w:pos="907"/>
      </w:tabs>
      <w:spacing w:line="360" w:lineRule="auto"/>
    </w:pPr>
    <w:rPr>
      <w:rFonts w:ascii="宋体" w:hAnsi="宋体" w:eastAsia="宋体" w:cs="Times New Roman"/>
      <w:sz w:val="24"/>
    </w:rPr>
  </w:style>
  <w:style w:type="paragraph" w:customStyle="1" w:styleId="180">
    <w:name w:val="标题 1 +"/>
    <w:basedOn w:val="5"/>
    <w:next w:val="1"/>
    <w:qFormat/>
    <w:uiPriority w:val="0"/>
    <w:pPr>
      <w:keepLines/>
      <w:spacing w:line="600" w:lineRule="auto"/>
    </w:pPr>
    <w:rPr>
      <w:rFonts w:ascii="Times New Roman" w:hAnsi="Times New Roman" w:eastAsia="黑体" w:cs="Times New Roman"/>
      <w:kern w:val="0"/>
      <w:sz w:val="32"/>
      <w:szCs w:val="32"/>
    </w:rPr>
  </w:style>
  <w:style w:type="paragraph" w:customStyle="1" w:styleId="181">
    <w:name w:val="Style10"/>
    <w:basedOn w:val="1"/>
    <w:qFormat/>
    <w:uiPriority w:val="0"/>
    <w:pPr>
      <w:spacing w:line="538" w:lineRule="exact"/>
    </w:pPr>
    <w:rPr>
      <w:rFonts w:ascii="Times New Roman" w:hAnsi="Times New Roman" w:eastAsia="宋体" w:cs="Times New Roman"/>
    </w:rPr>
  </w:style>
  <w:style w:type="paragraph" w:customStyle="1" w:styleId="182">
    <w:name w:val="正文_37"/>
    <w:qFormat/>
    <w:uiPriority w:val="0"/>
    <w:pPr>
      <w:widowControl w:val="0"/>
      <w:jc w:val="both"/>
    </w:pPr>
    <w:rPr>
      <w:rFonts w:ascii="Calibri" w:hAnsi="Calibri" w:eastAsia="宋体" w:cs="Times New Roman"/>
      <w:kern w:val="2"/>
      <w:sz w:val="21"/>
      <w:szCs w:val="24"/>
      <w:lang w:val="en-US" w:eastAsia="zh-CN" w:bidi="ar-SA"/>
    </w:rPr>
  </w:style>
  <w:style w:type="paragraph" w:customStyle="1" w:styleId="183">
    <w:name w:val="Style62"/>
    <w:basedOn w:val="1"/>
    <w:qFormat/>
    <w:uiPriority w:val="0"/>
    <w:rPr>
      <w:rFonts w:ascii="Times New Roman" w:hAnsi="Times New Roman" w:eastAsia="宋体" w:cs="Times New Roman"/>
    </w:rPr>
  </w:style>
  <w:style w:type="paragraph" w:customStyle="1" w:styleId="184">
    <w:name w:val="Style60"/>
    <w:basedOn w:val="1"/>
    <w:qFormat/>
    <w:uiPriority w:val="0"/>
    <w:pPr>
      <w:spacing w:line="566" w:lineRule="exact"/>
    </w:pPr>
    <w:rPr>
      <w:rFonts w:ascii="Times New Roman" w:hAnsi="Times New Roman" w:eastAsia="宋体" w:cs="Times New Roman"/>
    </w:rPr>
  </w:style>
  <w:style w:type="paragraph" w:customStyle="1" w:styleId="185">
    <w:name w:val="正文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86">
    <w:name w:val="表正文"/>
    <w:qFormat/>
    <w:uiPriority w:val="0"/>
    <w:pPr>
      <w:widowControl w:val="0"/>
      <w:ind w:left="840" w:leftChars="350"/>
      <w:jc w:val="both"/>
      <w:outlineLvl w:val="0"/>
    </w:pPr>
    <w:rPr>
      <w:rFonts w:ascii="宋体" w:hAnsi="Calibri" w:eastAsia="宋体" w:cs="Times New Roman"/>
      <w:b/>
      <w:sz w:val="24"/>
      <w:lang w:val="en-US" w:eastAsia="zh-CN" w:bidi="ar-SA"/>
    </w:rPr>
  </w:style>
  <w:style w:type="paragraph" w:customStyle="1" w:styleId="187">
    <w:name w:val="Style81"/>
    <w:basedOn w:val="1"/>
    <w:qFormat/>
    <w:uiPriority w:val="0"/>
    <w:pPr>
      <w:spacing w:line="547" w:lineRule="exact"/>
    </w:pPr>
    <w:rPr>
      <w:rFonts w:ascii="Times New Roman" w:hAnsi="Times New Roman" w:eastAsia="宋体" w:cs="Times New Roman"/>
    </w:rPr>
  </w:style>
  <w:style w:type="paragraph" w:customStyle="1" w:styleId="188">
    <w:name w:val="附录标识"/>
    <w:basedOn w:val="189"/>
    <w:qFormat/>
    <w:uiPriority w:val="0"/>
    <w:pPr>
      <w:tabs>
        <w:tab w:val="left" w:pos="360"/>
        <w:tab w:val="left" w:pos="720"/>
        <w:tab w:val="left" w:pos="6405"/>
      </w:tabs>
      <w:spacing w:after="200"/>
    </w:pPr>
    <w:rPr>
      <w:rFonts w:ascii="Times New Roman" w:hAnsi="Times New Roman" w:eastAsia="宋体" w:cs="Times New Roman"/>
      <w:sz w:val="21"/>
    </w:rPr>
  </w:style>
  <w:style w:type="paragraph" w:customStyle="1" w:styleId="189">
    <w:name w:val="前言、引言标题"/>
    <w:next w:val="1"/>
    <w:qFormat/>
    <w:uiPriority w:val="0"/>
    <w:pPr>
      <w:shd w:val="clear" w:color="FFFFFF" w:fill="FFFFFF"/>
      <w:tabs>
        <w:tab w:val="left" w:pos="360"/>
        <w:tab w:val="left" w:pos="720"/>
      </w:tabs>
      <w:spacing w:before="640" w:after="560"/>
      <w:ind w:left="720" w:hanging="720"/>
      <w:jc w:val="center"/>
      <w:outlineLvl w:val="0"/>
    </w:pPr>
    <w:rPr>
      <w:rFonts w:ascii="黑体" w:hAnsi="Calibri" w:eastAsia="黑体" w:cs="Times New Roman"/>
      <w:sz w:val="32"/>
      <w:lang w:val="en-US" w:eastAsia="zh-CN" w:bidi="ar-SA"/>
    </w:rPr>
  </w:style>
  <w:style w:type="paragraph" w:customStyle="1" w:styleId="190">
    <w:name w:val="Style70"/>
    <w:basedOn w:val="1"/>
    <w:qFormat/>
    <w:uiPriority w:val="0"/>
    <w:pPr>
      <w:spacing w:line="549" w:lineRule="exact"/>
      <w:ind w:firstLine="686"/>
    </w:pPr>
    <w:rPr>
      <w:rFonts w:ascii="Times New Roman" w:hAnsi="Times New Roman" w:eastAsia="宋体" w:cs="Times New Roman"/>
    </w:rPr>
  </w:style>
  <w:style w:type="paragraph" w:customStyle="1" w:styleId="191">
    <w:name w:val="Char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92">
    <w:name w:val="Style65"/>
    <w:basedOn w:val="1"/>
    <w:qFormat/>
    <w:uiPriority w:val="0"/>
    <w:rPr>
      <w:rFonts w:ascii="Times New Roman" w:hAnsi="Times New Roman" w:eastAsia="宋体" w:cs="Times New Roman"/>
    </w:rPr>
  </w:style>
  <w:style w:type="paragraph" w:customStyle="1" w:styleId="193">
    <w:name w:val="Style78"/>
    <w:basedOn w:val="1"/>
    <w:qFormat/>
    <w:uiPriority w:val="0"/>
    <w:rPr>
      <w:rFonts w:ascii="Times New Roman" w:hAnsi="Times New Roman" w:eastAsia="宋体" w:cs="Times New Roman"/>
    </w:rPr>
  </w:style>
  <w:style w:type="paragraph" w:customStyle="1" w:styleId="194">
    <w:name w:val="默认段落字体 Para Char Char Char Char Char Char Char Char Char Char Char Char Char Char Char Char Char Char Char"/>
    <w:basedOn w:val="1"/>
    <w:qFormat/>
    <w:uiPriority w:val="0"/>
    <w:rPr>
      <w:rFonts w:ascii="Times New Roman" w:hAnsi="Times New Roman" w:eastAsia="宋体" w:cs="Times New Roman"/>
    </w:rPr>
  </w:style>
  <w:style w:type="paragraph" w:customStyle="1" w:styleId="195">
    <w:name w:val="正文_12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6">
    <w:name w:val="正文_38"/>
    <w:qFormat/>
    <w:uiPriority w:val="0"/>
    <w:pPr>
      <w:widowControl w:val="0"/>
      <w:jc w:val="both"/>
    </w:pPr>
    <w:rPr>
      <w:rFonts w:ascii="Calibri" w:hAnsi="Calibri" w:eastAsia="宋体" w:cs="Times New Roman"/>
      <w:kern w:val="2"/>
      <w:sz w:val="21"/>
      <w:szCs w:val="24"/>
      <w:lang w:val="en-US" w:eastAsia="zh-CN" w:bidi="ar-SA"/>
    </w:rPr>
  </w:style>
  <w:style w:type="paragraph" w:customStyle="1" w:styleId="197">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Times New Roman"/>
      <w:kern w:val="0"/>
      <w:sz w:val="24"/>
    </w:rPr>
  </w:style>
  <w:style w:type="paragraph" w:customStyle="1" w:styleId="198">
    <w:name w:val="正文_28"/>
    <w:qFormat/>
    <w:uiPriority w:val="0"/>
    <w:pPr>
      <w:widowControl w:val="0"/>
      <w:jc w:val="both"/>
    </w:pPr>
    <w:rPr>
      <w:rFonts w:ascii="Calibri" w:hAnsi="Calibri" w:eastAsia="宋体" w:cs="Times New Roman"/>
      <w:kern w:val="2"/>
      <w:sz w:val="21"/>
      <w:szCs w:val="24"/>
      <w:lang w:val="en-US" w:eastAsia="zh-CN" w:bidi="ar-SA"/>
    </w:rPr>
  </w:style>
  <w:style w:type="paragraph" w:customStyle="1" w:styleId="199">
    <w:name w:val="Char1 Char Char Char 字元 Char Char 字元 Char 字元 Char1 Char Char Char"/>
    <w:basedOn w:val="1"/>
    <w:qFormat/>
    <w:uiPriority w:val="0"/>
    <w:rPr>
      <w:rFonts w:ascii="Times New Roman" w:hAnsi="Times New Roman" w:eastAsia="宋体" w:cs="Times New Roman"/>
      <w:szCs w:val="20"/>
    </w:rPr>
  </w:style>
  <w:style w:type="paragraph" w:customStyle="1" w:styleId="200">
    <w:name w:val="Style63"/>
    <w:basedOn w:val="1"/>
    <w:qFormat/>
    <w:uiPriority w:val="0"/>
    <w:pPr>
      <w:spacing w:line="564" w:lineRule="exact"/>
      <w:ind w:firstLine="682"/>
    </w:pPr>
    <w:rPr>
      <w:rFonts w:ascii="Times New Roman" w:hAnsi="Times New Roman" w:eastAsia="宋体" w:cs="Times New Roman"/>
    </w:rPr>
  </w:style>
  <w:style w:type="paragraph" w:customStyle="1" w:styleId="201">
    <w:name w:val="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202">
    <w:name w:val="样式 正文缩进 + 首行缩进:  2 字符"/>
    <w:basedOn w:val="15"/>
    <w:qFormat/>
    <w:uiPriority w:val="0"/>
    <w:pPr>
      <w:widowControl/>
      <w:spacing w:line="360" w:lineRule="auto"/>
      <w:ind w:firstLine="200" w:firstLineChars="0"/>
      <w:jc w:val="left"/>
    </w:pPr>
    <w:rPr>
      <w:rFonts w:ascii="Calibri" w:hAnsi="Calibri" w:eastAsia="宋体" w:cs="Times New Roman"/>
      <w:kern w:val="0"/>
      <w:sz w:val="24"/>
      <w:szCs w:val="22"/>
    </w:rPr>
  </w:style>
  <w:style w:type="paragraph" w:customStyle="1" w:styleId="203">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ind w:left="840" w:hanging="420"/>
      <w:jc w:val="left"/>
      <w:textAlignment w:val="baseline"/>
      <w:outlineLvl w:val="1"/>
    </w:pPr>
    <w:rPr>
      <w:rFonts w:ascii="宋体" w:hAnsi="宋体" w:eastAsia="宋体" w:cs="Times New Roman"/>
      <w:b/>
      <w:bCs/>
      <w:color w:val="000000"/>
      <w:kern w:val="0"/>
      <w:szCs w:val="20"/>
    </w:rPr>
  </w:style>
  <w:style w:type="paragraph" w:customStyle="1" w:styleId="204">
    <w:name w:val="Style41"/>
    <w:basedOn w:val="1"/>
    <w:qFormat/>
    <w:uiPriority w:val="0"/>
    <w:pPr>
      <w:spacing w:line="542" w:lineRule="exact"/>
      <w:ind w:firstLine="125"/>
    </w:pPr>
    <w:rPr>
      <w:rFonts w:ascii="Times New Roman" w:hAnsi="Times New Roman" w:eastAsia="宋体" w:cs="Times New Roman"/>
    </w:rPr>
  </w:style>
  <w:style w:type="paragraph" w:customStyle="1" w:styleId="205">
    <w:name w:val="Style23"/>
    <w:basedOn w:val="1"/>
    <w:qFormat/>
    <w:uiPriority w:val="0"/>
    <w:rPr>
      <w:rFonts w:ascii="Times New Roman" w:hAnsi="Times New Roman" w:eastAsia="宋体" w:cs="Times New Roman"/>
    </w:rPr>
  </w:style>
  <w:style w:type="paragraph" w:customStyle="1" w:styleId="206">
    <w:name w:val="Char Char Char Char Char Char Char"/>
    <w:basedOn w:val="1"/>
    <w:qFormat/>
    <w:uiPriority w:val="0"/>
    <w:pPr>
      <w:snapToGrid w:val="0"/>
      <w:spacing w:line="360" w:lineRule="auto"/>
      <w:ind w:firstLine="200" w:firstLineChars="200"/>
    </w:pPr>
    <w:rPr>
      <w:rFonts w:ascii="Times New Roman" w:hAnsi="Times New Roman" w:eastAsia="仿宋_GB2312" w:cs="Times New Roman"/>
      <w:sz w:val="24"/>
    </w:rPr>
  </w:style>
  <w:style w:type="paragraph" w:customStyle="1" w:styleId="207">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208">
    <w:name w:val="Style36"/>
    <w:basedOn w:val="1"/>
    <w:qFormat/>
    <w:uiPriority w:val="0"/>
    <w:rPr>
      <w:rFonts w:ascii="Times New Roman" w:hAnsi="Times New Roman" w:eastAsia="宋体" w:cs="Times New Roman"/>
    </w:rPr>
  </w:style>
  <w:style w:type="paragraph" w:customStyle="1" w:styleId="209">
    <w:name w:val="表格内容"/>
    <w:basedOn w:val="20"/>
    <w:qFormat/>
    <w:uiPriority w:val="0"/>
    <w:pPr>
      <w:suppressLineNumbers/>
      <w:suppressAutoHyphens/>
      <w:jc w:val="left"/>
    </w:pPr>
    <w:rPr>
      <w:rFonts w:ascii="Times New Roman" w:hAnsi="Times New Roman" w:eastAsia="宋体" w:cs="Tahoma"/>
      <w:kern w:val="0"/>
      <w:sz w:val="24"/>
    </w:rPr>
  </w:style>
  <w:style w:type="paragraph" w:customStyle="1" w:styleId="210">
    <w:name w:val="BodyText1I2"/>
    <w:basedOn w:val="211"/>
    <w:qFormat/>
    <w:uiPriority w:val="0"/>
    <w:pPr>
      <w:spacing w:after="120" w:line="240" w:lineRule="auto"/>
      <w:ind w:left="420" w:leftChars="200" w:firstLine="420" w:firstLineChars="200"/>
      <w:jc w:val="both"/>
    </w:pPr>
    <w:rPr>
      <w:rFonts w:ascii="Times New Roman" w:hAnsi="Times New Roman" w:eastAsia="宋体" w:cs="Times New Roman"/>
    </w:rPr>
  </w:style>
  <w:style w:type="paragraph" w:customStyle="1" w:styleId="211">
    <w:name w:val="BodyTextIndent"/>
    <w:basedOn w:val="1"/>
    <w:qFormat/>
    <w:uiPriority w:val="0"/>
    <w:pPr>
      <w:spacing w:after="120" w:line="240" w:lineRule="auto"/>
      <w:ind w:left="420" w:leftChars="200"/>
      <w:jc w:val="both"/>
    </w:pPr>
    <w:rPr>
      <w:rFonts w:ascii="Times New Roman" w:hAnsi="Times New Roman" w:eastAsia="宋体" w:cs="Times New Roman"/>
    </w:rPr>
  </w:style>
  <w:style w:type="paragraph" w:customStyle="1" w:styleId="212">
    <w:name w:val="Style68"/>
    <w:basedOn w:val="1"/>
    <w:qFormat/>
    <w:uiPriority w:val="0"/>
    <w:pPr>
      <w:spacing w:line="547" w:lineRule="exact"/>
    </w:pPr>
    <w:rPr>
      <w:rFonts w:ascii="Times New Roman" w:hAnsi="Times New Roman" w:eastAsia="宋体" w:cs="Times New Roman"/>
    </w:rPr>
  </w:style>
  <w:style w:type="paragraph" w:customStyle="1" w:styleId="213">
    <w:name w:val="正文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14">
    <w:name w:val=" Char Char Char Char Char Char Char"/>
    <w:basedOn w:val="1"/>
    <w:qFormat/>
    <w:uiPriority w:val="0"/>
    <w:pPr>
      <w:snapToGrid w:val="0"/>
      <w:spacing w:line="360" w:lineRule="auto"/>
      <w:ind w:firstLine="200" w:firstLineChars="200"/>
    </w:pPr>
    <w:rPr>
      <w:rFonts w:ascii="Times New Roman" w:hAnsi="Times New Roman" w:eastAsia="仿宋_GB2312" w:cs="Times New Roman"/>
      <w:sz w:val="24"/>
    </w:rPr>
  </w:style>
  <w:style w:type="paragraph" w:customStyle="1" w:styleId="215">
    <w:name w:val="Char Char1 Char Char Char Char Char1 Char Char Char Char"/>
    <w:basedOn w:val="16"/>
    <w:qFormat/>
    <w:uiPriority w:val="0"/>
    <w:rPr>
      <w:rFonts w:ascii="Tahoma" w:hAnsi="Tahoma" w:eastAsia="宋体" w:cs="Times New Roman"/>
    </w:rPr>
  </w:style>
  <w:style w:type="paragraph" w:customStyle="1" w:styleId="216">
    <w:name w:val="Blockquote"/>
    <w:basedOn w:val="1"/>
    <w:qFormat/>
    <w:uiPriority w:val="0"/>
    <w:pPr>
      <w:autoSpaceDE w:val="0"/>
      <w:autoSpaceDN w:val="0"/>
      <w:adjustRightInd w:val="0"/>
      <w:spacing w:before="100" w:after="100"/>
      <w:ind w:left="360" w:right="360"/>
      <w:jc w:val="left"/>
    </w:pPr>
    <w:rPr>
      <w:rFonts w:ascii="Times New Roman" w:hAnsi="Times New Roman" w:eastAsia="宋体" w:cs="Times New Roman"/>
      <w:kern w:val="0"/>
      <w:sz w:val="24"/>
      <w:szCs w:val="20"/>
    </w:rPr>
  </w:style>
  <w:style w:type="paragraph" w:customStyle="1" w:styleId="217">
    <w:name w:val=" Char1 Char Char Char Char Char Char Char Char Char"/>
    <w:basedOn w:val="1"/>
    <w:qFormat/>
    <w:uiPriority w:val="0"/>
    <w:rPr>
      <w:rFonts w:ascii="Times New Roman" w:hAnsi="Times New Roman" w:eastAsia="宋体" w:cs="Times New Roman"/>
      <w:szCs w:val="20"/>
    </w:rPr>
  </w:style>
  <w:style w:type="paragraph" w:customStyle="1" w:styleId="218">
    <w:name w:val="Style58"/>
    <w:basedOn w:val="1"/>
    <w:qFormat/>
    <w:uiPriority w:val="0"/>
    <w:pPr>
      <w:spacing w:line="413" w:lineRule="exact"/>
    </w:pPr>
    <w:rPr>
      <w:rFonts w:ascii="Times New Roman" w:hAnsi="Times New Roman" w:eastAsia="宋体" w:cs="Times New Roman"/>
    </w:rPr>
  </w:style>
  <w:style w:type="paragraph" w:customStyle="1" w:styleId="219">
    <w:name w:val="Style21"/>
    <w:basedOn w:val="1"/>
    <w:qFormat/>
    <w:uiPriority w:val="0"/>
    <w:pPr>
      <w:spacing w:line="566" w:lineRule="exact"/>
      <w:ind w:firstLine="682"/>
    </w:pPr>
    <w:rPr>
      <w:rFonts w:ascii="Times New Roman" w:hAnsi="Times New Roman" w:eastAsia="宋体" w:cs="Times New Roman"/>
    </w:rPr>
  </w:style>
  <w:style w:type="paragraph" w:customStyle="1" w:styleId="220">
    <w:name w:val="Style48"/>
    <w:basedOn w:val="1"/>
    <w:qFormat/>
    <w:uiPriority w:val="0"/>
    <w:pPr>
      <w:spacing w:line="542" w:lineRule="exact"/>
      <w:jc w:val="right"/>
    </w:pPr>
    <w:rPr>
      <w:rFonts w:ascii="Times New Roman" w:hAnsi="Times New Roman" w:eastAsia="宋体" w:cs="Times New Roman"/>
    </w:rPr>
  </w:style>
  <w:style w:type="paragraph" w:customStyle="1" w:styleId="221">
    <w:name w:val="Char Char1 Char Char Char"/>
    <w:basedOn w:val="1"/>
    <w:qFormat/>
    <w:uiPriority w:val="0"/>
    <w:rPr>
      <w:rFonts w:ascii="Times New Roman" w:hAnsi="Times New Roman" w:eastAsia="宋体" w:cs="Times New Roman"/>
      <w:kern w:val="0"/>
      <w:sz w:val="20"/>
      <w:szCs w:val="20"/>
    </w:rPr>
  </w:style>
  <w:style w:type="paragraph" w:customStyle="1" w:styleId="222">
    <w:name w:val="Default"/>
    <w:qFormat/>
    <w:uiPriority w:val="0"/>
    <w:pPr>
      <w:widowControl w:val="0"/>
      <w:autoSpaceDE w:val="0"/>
      <w:autoSpaceDN w:val="0"/>
      <w:adjustRightInd w:val="0"/>
    </w:pPr>
    <w:rPr>
      <w:rFonts w:ascii="黑体" w:hAnsi="Calibri" w:eastAsia="黑体" w:cs="Times New Roman"/>
      <w:lang w:val="en-US" w:eastAsia="zh-CN" w:bidi="ar-SA"/>
    </w:rPr>
  </w:style>
  <w:style w:type="paragraph" w:customStyle="1" w:styleId="223">
    <w:name w:val="Style5"/>
    <w:basedOn w:val="1"/>
    <w:qFormat/>
    <w:uiPriority w:val="0"/>
    <w:rPr>
      <w:rFonts w:ascii="Times New Roman" w:hAnsi="Times New Roman" w:eastAsia="宋体" w:cs="Times New Roman"/>
    </w:rPr>
  </w:style>
  <w:style w:type="paragraph" w:customStyle="1" w:styleId="224">
    <w:name w:val="Style16"/>
    <w:basedOn w:val="1"/>
    <w:qFormat/>
    <w:uiPriority w:val="0"/>
    <w:pPr>
      <w:jc w:val="right"/>
    </w:pPr>
    <w:rPr>
      <w:rFonts w:ascii="Times New Roman" w:hAnsi="Times New Roman" w:eastAsia="宋体" w:cs="Times New Roman"/>
    </w:rPr>
  </w:style>
  <w:style w:type="paragraph" w:customStyle="1" w:styleId="225">
    <w:name w:val="Style11"/>
    <w:basedOn w:val="1"/>
    <w:qFormat/>
    <w:uiPriority w:val="0"/>
    <w:pPr>
      <w:spacing w:line="559" w:lineRule="exact"/>
      <w:ind w:firstLine="590"/>
    </w:pPr>
    <w:rPr>
      <w:rFonts w:ascii="Times New Roman" w:hAnsi="Times New Roman" w:eastAsia="宋体" w:cs="Times New Roman"/>
    </w:rPr>
  </w:style>
  <w:style w:type="paragraph" w:customStyle="1" w:styleId="226">
    <w:name w:val="Style13"/>
    <w:basedOn w:val="1"/>
    <w:qFormat/>
    <w:uiPriority w:val="0"/>
    <w:rPr>
      <w:rFonts w:ascii="Times New Roman" w:hAnsi="Times New Roman" w:eastAsia="宋体" w:cs="Times New Roman"/>
    </w:rPr>
  </w:style>
  <w:style w:type="paragraph" w:customStyle="1" w:styleId="227">
    <w:name w:val="Style24"/>
    <w:basedOn w:val="1"/>
    <w:qFormat/>
    <w:uiPriority w:val="0"/>
    <w:rPr>
      <w:rFonts w:ascii="Times New Roman" w:hAnsi="Times New Roman" w:eastAsia="宋体" w:cs="Times New Roman"/>
    </w:rPr>
  </w:style>
  <w:style w:type="paragraph" w:customStyle="1" w:styleId="228">
    <w:name w:val="正文_52"/>
    <w:qFormat/>
    <w:uiPriority w:val="0"/>
    <w:pPr>
      <w:widowControl w:val="0"/>
      <w:jc w:val="both"/>
    </w:pPr>
    <w:rPr>
      <w:rFonts w:ascii="Calibri" w:hAnsi="Calibri" w:eastAsia="宋体" w:cs="Times New Roman"/>
      <w:kern w:val="2"/>
      <w:sz w:val="21"/>
      <w:szCs w:val="24"/>
      <w:lang w:val="en-US" w:eastAsia="zh-CN" w:bidi="ar-SA"/>
    </w:rPr>
  </w:style>
  <w:style w:type="paragraph" w:customStyle="1" w:styleId="229">
    <w:name w:val="Style76"/>
    <w:basedOn w:val="1"/>
    <w:qFormat/>
    <w:uiPriority w:val="0"/>
    <w:rPr>
      <w:rFonts w:ascii="Times New Roman" w:hAnsi="Times New Roman" w:eastAsia="宋体" w:cs="Times New Roman"/>
    </w:rPr>
  </w:style>
  <w:style w:type="paragraph" w:customStyle="1" w:styleId="230">
    <w:name w:val="Char"/>
    <w:basedOn w:val="1"/>
    <w:qFormat/>
    <w:uiPriority w:val="0"/>
    <w:pPr>
      <w:tabs>
        <w:tab w:val="left" w:pos="360"/>
      </w:tabs>
      <w:ind w:left="360" w:hanging="360" w:hangingChars="200"/>
    </w:pPr>
    <w:rPr>
      <w:rFonts w:ascii="Times New Roman" w:hAnsi="Times New Roman" w:eastAsia="宋体" w:cs="Times New Roman"/>
      <w:sz w:val="24"/>
    </w:rPr>
  </w:style>
  <w:style w:type="paragraph" w:customStyle="1" w:styleId="231">
    <w:name w:val="Style77"/>
    <w:basedOn w:val="1"/>
    <w:qFormat/>
    <w:uiPriority w:val="0"/>
    <w:rPr>
      <w:rFonts w:ascii="Times New Roman" w:hAnsi="Times New Roman" w:eastAsia="宋体" w:cs="Times New Roman"/>
    </w:rPr>
  </w:style>
  <w:style w:type="paragraph" w:customStyle="1" w:styleId="232">
    <w:name w:val="Style8"/>
    <w:basedOn w:val="1"/>
    <w:qFormat/>
    <w:uiPriority w:val="0"/>
    <w:pPr>
      <w:spacing w:line="566" w:lineRule="exact"/>
      <w:jc w:val="center"/>
    </w:pPr>
    <w:rPr>
      <w:rFonts w:ascii="Times New Roman" w:hAnsi="Times New Roman" w:eastAsia="宋体" w:cs="Times New Roman"/>
    </w:rPr>
  </w:style>
  <w:style w:type="paragraph" w:customStyle="1" w:styleId="233">
    <w:name w:val="Style67"/>
    <w:basedOn w:val="1"/>
    <w:qFormat/>
    <w:uiPriority w:val="0"/>
    <w:pPr>
      <w:spacing w:line="566" w:lineRule="exact"/>
      <w:ind w:firstLine="552"/>
    </w:pPr>
    <w:rPr>
      <w:rFonts w:ascii="Times New Roman" w:hAnsi="Times New Roman" w:eastAsia="宋体" w:cs="Times New Roman"/>
    </w:rPr>
  </w:style>
  <w:style w:type="paragraph" w:customStyle="1" w:styleId="234">
    <w:name w:val="正文_12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5">
    <w:name w:val="Style4"/>
    <w:basedOn w:val="1"/>
    <w:qFormat/>
    <w:uiPriority w:val="0"/>
    <w:rPr>
      <w:rFonts w:ascii="Times New Roman" w:hAnsi="Times New Roman" w:eastAsia="宋体" w:cs="Times New Roman"/>
    </w:rPr>
  </w:style>
  <w:style w:type="paragraph" w:customStyle="1" w:styleId="236">
    <w:name w:val="Normal_0_1"/>
    <w:qFormat/>
    <w:uiPriority w:val="0"/>
    <w:rPr>
      <w:rFonts w:ascii="Calibri" w:hAnsi="Calibri" w:eastAsia="Times New Roman" w:cs="Times New Roman"/>
      <w:sz w:val="24"/>
      <w:szCs w:val="24"/>
      <w:lang w:bidi="ar-SA"/>
    </w:rPr>
  </w:style>
  <w:style w:type="paragraph" w:customStyle="1" w:styleId="237">
    <w:name w:val="_Style 39"/>
    <w:basedOn w:val="185"/>
    <w:qFormat/>
    <w:uiPriority w:val="0"/>
    <w:rPr>
      <w:rFonts w:ascii="Times New Roman" w:hAnsi="Times New Roman" w:eastAsia="宋体" w:cs="Times New Roman"/>
    </w:rPr>
  </w:style>
  <w:style w:type="paragraph" w:customStyle="1" w:styleId="238">
    <w:name w:val="Char Char1 Char Char Char Char Char Char Char"/>
    <w:basedOn w:val="1"/>
    <w:qFormat/>
    <w:uiPriority w:val="0"/>
    <w:pPr>
      <w:widowControl/>
      <w:spacing w:after="160" w:line="240" w:lineRule="exact"/>
      <w:jc w:val="left"/>
    </w:pPr>
    <w:rPr>
      <w:rFonts w:ascii="Times New Roman" w:hAnsi="Times New Roman" w:eastAsia="宋体" w:cs="Times New Roman"/>
    </w:rPr>
  </w:style>
  <w:style w:type="paragraph" w:customStyle="1" w:styleId="239">
    <w:name w:val="reader-word-layer reader-word-s1-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40">
    <w:name w:val="Style44"/>
    <w:basedOn w:val="1"/>
    <w:qFormat/>
    <w:uiPriority w:val="0"/>
    <w:rPr>
      <w:rFonts w:ascii="Times New Roman" w:hAnsi="Times New Roman" w:eastAsia="宋体" w:cs="Times New Roman"/>
    </w:rPr>
  </w:style>
  <w:style w:type="paragraph" w:customStyle="1" w:styleId="241">
    <w:name w:val="Style73"/>
    <w:basedOn w:val="1"/>
    <w:qFormat/>
    <w:uiPriority w:val="0"/>
    <w:pPr>
      <w:spacing w:line="538" w:lineRule="exact"/>
      <w:ind w:firstLine="533"/>
    </w:pPr>
    <w:rPr>
      <w:rFonts w:ascii="Times New Roman" w:hAnsi="Times New Roman" w:eastAsia="宋体" w:cs="Times New Roman"/>
    </w:rPr>
  </w:style>
  <w:style w:type="paragraph" w:customStyle="1" w:styleId="242">
    <w:name w:val="Style61"/>
    <w:basedOn w:val="1"/>
    <w:qFormat/>
    <w:uiPriority w:val="0"/>
    <w:rPr>
      <w:rFonts w:ascii="Times New Roman" w:hAnsi="Times New Roman" w:eastAsia="宋体" w:cs="Times New Roman"/>
    </w:rPr>
  </w:style>
  <w:style w:type="paragraph" w:customStyle="1" w:styleId="243">
    <w:name w:val="标题2"/>
    <w:basedOn w:val="41"/>
    <w:qFormat/>
    <w:uiPriority w:val="0"/>
    <w:pPr>
      <w:spacing w:after="240"/>
      <w:jc w:val="left"/>
    </w:pPr>
    <w:rPr>
      <w:rFonts w:ascii="Times New Roman" w:hAnsi="Times New Roman" w:eastAsia="宋体" w:cs="Times New Roman"/>
      <w:sz w:val="30"/>
    </w:rPr>
  </w:style>
  <w:style w:type="paragraph" w:customStyle="1" w:styleId="244">
    <w:name w:val="List Paragraph1"/>
    <w:basedOn w:val="1"/>
    <w:qFormat/>
    <w:uiPriority w:val="0"/>
    <w:pPr>
      <w:ind w:firstLine="420" w:firstLineChars="200"/>
    </w:pPr>
    <w:rPr>
      <w:rFonts w:ascii="Calibri" w:hAnsi="Calibri" w:eastAsia="宋体" w:cs="Calibri"/>
      <w:szCs w:val="21"/>
    </w:rPr>
  </w:style>
  <w:style w:type="paragraph" w:customStyle="1" w:styleId="245">
    <w:name w:val="正文_51"/>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6">
    <w:name w:val=" Char Char Char1 Char"/>
    <w:basedOn w:val="1"/>
    <w:qFormat/>
    <w:uiPriority w:val="0"/>
    <w:pPr>
      <w:tabs>
        <w:tab w:val="left" w:pos="360"/>
      </w:tabs>
      <w:snapToGrid w:val="0"/>
      <w:spacing w:line="360" w:lineRule="auto"/>
    </w:pPr>
    <w:rPr>
      <w:rFonts w:ascii="Times New Roman" w:hAnsi="Times New Roman" w:eastAsia="仿宋_GB2312" w:cs="宋体"/>
      <w:sz w:val="24"/>
    </w:rPr>
  </w:style>
  <w:style w:type="paragraph" w:customStyle="1" w:styleId="247">
    <w:name w:val="正文_125"/>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8">
    <w:name w:val="Style53"/>
    <w:basedOn w:val="1"/>
    <w:qFormat/>
    <w:uiPriority w:val="0"/>
    <w:pPr>
      <w:spacing w:line="533" w:lineRule="exact"/>
      <w:ind w:firstLine="581"/>
    </w:pPr>
    <w:rPr>
      <w:rFonts w:ascii="Times New Roman" w:hAnsi="Times New Roman" w:eastAsia="宋体" w:cs="Times New Roman"/>
    </w:rPr>
  </w:style>
  <w:style w:type="paragraph" w:customStyle="1" w:styleId="249">
    <w:name w:val=" Char Char Char"/>
    <w:basedOn w:val="1"/>
    <w:qFormat/>
    <w:uiPriority w:val="0"/>
    <w:rPr>
      <w:rFonts w:ascii="宋体" w:hAnsi="宋体" w:eastAsia="宋体" w:cs="Times New Roman"/>
      <w:b/>
      <w:sz w:val="28"/>
      <w:szCs w:val="28"/>
    </w:rPr>
  </w:style>
  <w:style w:type="paragraph" w:customStyle="1" w:styleId="250">
    <w:name w:val="Style59"/>
    <w:basedOn w:val="1"/>
    <w:qFormat/>
    <w:uiPriority w:val="0"/>
    <w:rPr>
      <w:rFonts w:ascii="Times New Roman" w:hAnsi="Times New Roman" w:eastAsia="宋体" w:cs="Times New Roman"/>
    </w:rPr>
  </w:style>
  <w:style w:type="paragraph" w:styleId="251">
    <w:name w:val="List Paragraph"/>
    <w:basedOn w:val="1"/>
    <w:qFormat/>
    <w:uiPriority w:val="0"/>
    <w:pPr>
      <w:ind w:firstLine="420" w:firstLineChars="200"/>
    </w:pPr>
    <w:rPr>
      <w:rFonts w:ascii="Calibri" w:hAnsi="Calibri" w:eastAsia="宋体" w:cs="Times New Roman"/>
      <w:szCs w:val="22"/>
    </w:rPr>
  </w:style>
  <w:style w:type="paragraph" w:customStyle="1" w:styleId="252">
    <w:name w:val="正文_3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53">
    <w:name w:val="样式 标题 2 + Times New Roman 四号 非加粗 段前: 5 磅 段后: 0 磅 行距: 固定值 20..."/>
    <w:basedOn w:val="6"/>
    <w:qFormat/>
    <w:uiPriority w:val="0"/>
    <w:pPr>
      <w:spacing w:before="100" w:line="400" w:lineRule="exact"/>
    </w:pPr>
    <w:rPr>
      <w:rFonts w:ascii="Times New Roman" w:hAnsi="Times New Roman" w:eastAsia="黑体" w:cs="Times New Roman"/>
      <w:b w:val="0"/>
      <w:bCs w:val="0"/>
      <w:sz w:val="28"/>
      <w:szCs w:val="20"/>
    </w:rPr>
  </w:style>
  <w:style w:type="paragraph" w:customStyle="1" w:styleId="254">
    <w:name w:val="Style74"/>
    <w:basedOn w:val="1"/>
    <w:qFormat/>
    <w:uiPriority w:val="0"/>
    <w:pPr>
      <w:spacing w:line="437" w:lineRule="exact"/>
    </w:pPr>
    <w:rPr>
      <w:rFonts w:ascii="Times New Roman" w:hAnsi="Times New Roman" w:eastAsia="宋体" w:cs="Times New Roman"/>
    </w:rPr>
  </w:style>
  <w:style w:type="paragraph" w:customStyle="1" w:styleId="255">
    <w:name w:val="Style64"/>
    <w:basedOn w:val="1"/>
    <w:qFormat/>
    <w:uiPriority w:val="0"/>
    <w:rPr>
      <w:rFonts w:ascii="Times New Roman" w:hAnsi="Times New Roman" w:eastAsia="宋体" w:cs="Times New Roman"/>
    </w:rPr>
  </w:style>
  <w:style w:type="paragraph" w:customStyle="1" w:styleId="256">
    <w:name w:val="Normal_0_2"/>
    <w:qFormat/>
    <w:uiPriority w:val="0"/>
    <w:rPr>
      <w:rFonts w:ascii="Calibri" w:hAnsi="Calibri" w:eastAsia="Times New Roman" w:cs="Times New Roman"/>
      <w:sz w:val="24"/>
      <w:szCs w:val="24"/>
      <w:lang w:bidi="ar-SA"/>
    </w:rPr>
  </w:style>
  <w:style w:type="paragraph" w:customStyle="1" w:styleId="257">
    <w:name w:val="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258">
    <w:name w:val="正文_32"/>
    <w:qFormat/>
    <w:uiPriority w:val="0"/>
    <w:pPr>
      <w:widowControl w:val="0"/>
      <w:jc w:val="both"/>
    </w:pPr>
    <w:rPr>
      <w:rFonts w:ascii="Calibri" w:hAnsi="Calibri" w:eastAsia="宋体" w:cs="Times New Roman"/>
      <w:kern w:val="2"/>
      <w:sz w:val="21"/>
      <w:szCs w:val="24"/>
      <w:lang w:val="en-US" w:eastAsia="zh-CN" w:bidi="ar-SA"/>
    </w:rPr>
  </w:style>
  <w:style w:type="paragraph" w:customStyle="1" w:styleId="259">
    <w:name w:val="Style80"/>
    <w:basedOn w:val="1"/>
    <w:qFormat/>
    <w:uiPriority w:val="0"/>
    <w:rPr>
      <w:rFonts w:ascii="Times New Roman" w:hAnsi="Times New Roman" w:eastAsia="宋体" w:cs="Times New Roman"/>
    </w:rPr>
  </w:style>
  <w:style w:type="paragraph" w:customStyle="1" w:styleId="260">
    <w:name w:val="Style15"/>
    <w:basedOn w:val="1"/>
    <w:qFormat/>
    <w:uiPriority w:val="0"/>
    <w:pPr>
      <w:spacing w:line="557" w:lineRule="exact"/>
      <w:ind w:firstLine="672"/>
    </w:pPr>
    <w:rPr>
      <w:rFonts w:ascii="Times New Roman" w:hAnsi="Times New Roman" w:eastAsia="宋体" w:cs="Times New Roman"/>
    </w:rPr>
  </w:style>
  <w:style w:type="paragraph" w:customStyle="1" w:styleId="261">
    <w:name w:val="正文_29"/>
    <w:qFormat/>
    <w:uiPriority w:val="0"/>
    <w:pPr>
      <w:widowControl w:val="0"/>
      <w:jc w:val="both"/>
    </w:pPr>
    <w:rPr>
      <w:rFonts w:ascii="Calibri" w:hAnsi="Calibri" w:eastAsia="宋体" w:cs="Times New Roman"/>
      <w:kern w:val="2"/>
      <w:sz w:val="21"/>
      <w:szCs w:val="24"/>
      <w:lang w:val="en-US" w:eastAsia="zh-CN" w:bidi="ar-SA"/>
    </w:rPr>
  </w:style>
  <w:style w:type="paragraph" w:customStyle="1" w:styleId="262">
    <w:name w:val="Style34"/>
    <w:basedOn w:val="1"/>
    <w:qFormat/>
    <w:uiPriority w:val="0"/>
    <w:pPr>
      <w:spacing w:line="375" w:lineRule="exact"/>
    </w:pPr>
    <w:rPr>
      <w:rFonts w:ascii="Times New Roman" w:hAnsi="Times New Roman" w:eastAsia="宋体" w:cs="Times New Roman"/>
    </w:rPr>
  </w:style>
  <w:style w:type="paragraph" w:customStyle="1" w:styleId="263">
    <w:name w:val="Style69"/>
    <w:basedOn w:val="1"/>
    <w:qFormat/>
    <w:uiPriority w:val="0"/>
    <w:pPr>
      <w:spacing w:line="557" w:lineRule="exact"/>
      <w:ind w:firstLine="1666"/>
    </w:pPr>
    <w:rPr>
      <w:rFonts w:ascii="Times New Roman" w:hAnsi="Times New Roman" w:eastAsia="宋体" w:cs="Times New Roman"/>
    </w:rPr>
  </w:style>
  <w:style w:type="paragraph" w:customStyle="1" w:styleId="264">
    <w:name w:val="正文_13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5">
    <w:name w:val="Style28"/>
    <w:basedOn w:val="1"/>
    <w:qFormat/>
    <w:uiPriority w:val="0"/>
    <w:pPr>
      <w:spacing w:line="552" w:lineRule="exact"/>
      <w:ind w:firstLine="547"/>
    </w:pPr>
    <w:rPr>
      <w:rFonts w:ascii="Times New Roman" w:hAnsi="Times New Roman" w:eastAsia="宋体" w:cs="Times New Roman"/>
    </w:rPr>
  </w:style>
  <w:style w:type="paragraph" w:customStyle="1" w:styleId="266">
    <w:name w:val="正文_34"/>
    <w:qFormat/>
    <w:uiPriority w:val="0"/>
    <w:pPr>
      <w:widowControl w:val="0"/>
      <w:jc w:val="both"/>
    </w:pPr>
    <w:rPr>
      <w:rFonts w:ascii="Calibri" w:hAnsi="Calibri" w:eastAsia="宋体" w:cs="Times New Roman"/>
      <w:kern w:val="2"/>
      <w:sz w:val="21"/>
      <w:szCs w:val="24"/>
      <w:lang w:val="en-US" w:eastAsia="zh-CN" w:bidi="ar-SA"/>
    </w:rPr>
  </w:style>
  <w:style w:type="paragraph" w:customStyle="1" w:styleId="267">
    <w:name w:val="1"/>
    <w:basedOn w:val="1"/>
    <w:qFormat/>
    <w:uiPriority w:val="0"/>
    <w:pPr>
      <w:spacing w:afterLines="50" w:line="360" w:lineRule="auto"/>
    </w:pPr>
    <w:rPr>
      <w:rFonts w:ascii="宋体" w:hAnsi="宋体" w:eastAsia="宋体" w:cs="Times New Roman"/>
      <w:b/>
      <w:sz w:val="30"/>
      <w:szCs w:val="21"/>
    </w:rPr>
  </w:style>
  <w:style w:type="paragraph" w:customStyle="1" w:styleId="268">
    <w:name w:val="文档正文"/>
    <w:basedOn w:val="1"/>
    <w:qFormat/>
    <w:uiPriority w:val="0"/>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269">
    <w:name w:val="p16"/>
    <w:basedOn w:val="1"/>
    <w:qFormat/>
    <w:uiPriority w:val="0"/>
    <w:pPr>
      <w:widowControl/>
      <w:jc w:val="left"/>
    </w:pPr>
    <w:rPr>
      <w:rFonts w:ascii="Times New Roman" w:hAnsi="Times New Roman" w:eastAsia="宋体" w:cs="Times New Roman"/>
      <w:kern w:val="0"/>
      <w:szCs w:val="21"/>
    </w:rPr>
  </w:style>
  <w:style w:type="paragraph" w:customStyle="1" w:styleId="270">
    <w:name w:val="正文_36"/>
    <w:qFormat/>
    <w:uiPriority w:val="0"/>
    <w:pPr>
      <w:widowControl w:val="0"/>
      <w:jc w:val="both"/>
    </w:pPr>
    <w:rPr>
      <w:rFonts w:ascii="Calibri" w:hAnsi="Calibri" w:eastAsia="宋体" w:cs="Times New Roman"/>
      <w:kern w:val="2"/>
      <w:sz w:val="21"/>
      <w:szCs w:val="24"/>
      <w:lang w:val="en-US" w:eastAsia="zh-CN" w:bidi="ar-SA"/>
    </w:rPr>
  </w:style>
  <w:style w:type="paragraph" w:customStyle="1" w:styleId="271">
    <w:name w:val="标题3"/>
    <w:basedOn w:val="5"/>
    <w:qFormat/>
    <w:uiPriority w:val="0"/>
    <w:pPr>
      <w:spacing w:beforeLines="50" w:afterLines="50" w:line="400" w:lineRule="exact"/>
      <w:jc w:val="both"/>
    </w:pPr>
    <w:rPr>
      <w:rFonts w:ascii="宋体" w:hAnsi="宋体" w:eastAsia="宋体" w:cs="Times New Roman"/>
      <w:kern w:val="32"/>
      <w:szCs w:val="32"/>
    </w:rPr>
  </w:style>
  <w:style w:type="paragraph" w:customStyle="1" w:styleId="272">
    <w:name w:val="样式 标题 2 + 宋体 五号 行距: 单倍行距"/>
    <w:basedOn w:val="6"/>
    <w:qFormat/>
    <w:uiPriority w:val="0"/>
    <w:pPr>
      <w:tabs>
        <w:tab w:val="left" w:pos="2175"/>
      </w:tabs>
      <w:adjustRightInd w:val="0"/>
      <w:spacing w:before="260" w:after="260" w:line="240" w:lineRule="auto"/>
      <w:ind w:left="2175" w:hanging="1275"/>
      <w:jc w:val="left"/>
      <w:textAlignment w:val="baseline"/>
    </w:pPr>
    <w:rPr>
      <w:rFonts w:ascii="宋体" w:hAnsi="宋体" w:eastAsia="宋体" w:cs="Times New Roman"/>
      <w:kern w:val="0"/>
      <w:sz w:val="21"/>
      <w:szCs w:val="20"/>
    </w:rPr>
  </w:style>
  <w:style w:type="paragraph" w:customStyle="1" w:styleId="273">
    <w:name w:val="Style42"/>
    <w:basedOn w:val="1"/>
    <w:qFormat/>
    <w:uiPriority w:val="0"/>
    <w:pPr>
      <w:spacing w:line="542" w:lineRule="exact"/>
      <w:ind w:firstLine="547"/>
    </w:pPr>
    <w:rPr>
      <w:rFonts w:ascii="Times New Roman" w:hAnsi="Times New Roman" w:eastAsia="宋体" w:cs="Times New Roman"/>
    </w:rPr>
  </w:style>
  <w:style w:type="paragraph" w:customStyle="1" w:styleId="274">
    <w:name w:val="Style72"/>
    <w:basedOn w:val="1"/>
    <w:qFormat/>
    <w:uiPriority w:val="0"/>
    <w:rPr>
      <w:rFonts w:ascii="Times New Roman" w:hAnsi="Times New Roman" w:eastAsia="宋体" w:cs="Times New Roman"/>
    </w:rPr>
  </w:style>
  <w:style w:type="paragraph" w:customStyle="1" w:styleId="275">
    <w:name w:val="Style9"/>
    <w:basedOn w:val="1"/>
    <w:qFormat/>
    <w:uiPriority w:val="0"/>
    <w:rPr>
      <w:rFonts w:ascii="Times New Roman" w:hAnsi="Times New Roman" w:eastAsia="宋体" w:cs="Times New Roman"/>
    </w:rPr>
  </w:style>
  <w:style w:type="paragraph" w:customStyle="1" w:styleId="276">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277">
    <w:name w:val="_Style 272"/>
    <w:qFormat/>
    <w:uiPriority w:val="0"/>
    <w:rPr>
      <w:rFonts w:ascii="Calibri" w:hAnsi="Calibri" w:eastAsia="宋体" w:cs="Times New Roman"/>
      <w:kern w:val="2"/>
      <w:sz w:val="21"/>
      <w:szCs w:val="24"/>
      <w:lang w:val="en-US" w:eastAsia="zh-CN" w:bidi="ar-SA"/>
    </w:rPr>
  </w:style>
  <w:style w:type="paragraph" w:customStyle="1" w:styleId="278">
    <w:name w:val="正文_31"/>
    <w:qFormat/>
    <w:uiPriority w:val="0"/>
    <w:pPr>
      <w:widowControl w:val="0"/>
      <w:jc w:val="both"/>
    </w:pPr>
    <w:rPr>
      <w:rFonts w:ascii="Calibri" w:hAnsi="Calibri" w:eastAsia="宋体" w:cs="Times New Roman"/>
      <w:kern w:val="2"/>
      <w:sz w:val="21"/>
      <w:szCs w:val="24"/>
      <w:lang w:val="en-US" w:eastAsia="zh-CN" w:bidi="ar-SA"/>
    </w:rPr>
  </w:style>
  <w:style w:type="paragraph" w:customStyle="1" w:styleId="279">
    <w:name w:val="Style71"/>
    <w:basedOn w:val="1"/>
    <w:qFormat/>
    <w:uiPriority w:val="0"/>
    <w:pPr>
      <w:spacing w:line="538" w:lineRule="exact"/>
      <w:ind w:firstLine="101"/>
    </w:pPr>
    <w:rPr>
      <w:rFonts w:ascii="Times New Roman" w:hAnsi="Times New Roman" w:eastAsia="宋体" w:cs="Times New Roman"/>
    </w:rPr>
  </w:style>
  <w:style w:type="paragraph" w:customStyle="1" w:styleId="280">
    <w:name w:val="正文_54"/>
    <w:qFormat/>
    <w:uiPriority w:val="0"/>
    <w:pPr>
      <w:widowControl w:val="0"/>
      <w:jc w:val="both"/>
    </w:pPr>
    <w:rPr>
      <w:rFonts w:ascii="Calibri" w:hAnsi="Calibri" w:eastAsia="宋体" w:cs="Times New Roman"/>
      <w:kern w:val="2"/>
      <w:sz w:val="21"/>
      <w:szCs w:val="24"/>
      <w:lang w:val="en-US" w:eastAsia="zh-CN" w:bidi="ar-SA"/>
    </w:rPr>
  </w:style>
  <w:style w:type="paragraph" w:customStyle="1" w:styleId="281">
    <w:name w:val="正文_5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82">
    <w:name w:val="Style50"/>
    <w:basedOn w:val="1"/>
    <w:qFormat/>
    <w:uiPriority w:val="0"/>
    <w:rPr>
      <w:rFonts w:ascii="Times New Roman" w:hAnsi="Times New Roman" w:eastAsia="宋体" w:cs="Times New Roman"/>
    </w:rPr>
  </w:style>
  <w:style w:type="paragraph" w:customStyle="1" w:styleId="283">
    <w:name w:val="Style29"/>
    <w:basedOn w:val="1"/>
    <w:qFormat/>
    <w:uiPriority w:val="0"/>
    <w:pPr>
      <w:spacing w:line="547" w:lineRule="exact"/>
      <w:ind w:firstLine="547"/>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2.png"/><Relationship Id="rId21" Type="http://schemas.openxmlformats.org/officeDocument/2006/relationships/theme" Target="theme/theme1.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header" Target="header7.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78</Pages>
  <Words>7659</Words>
  <Characters>43660</Characters>
  <Lines>363</Lines>
  <Paragraphs>102</Paragraphs>
  <TotalTime>10</TotalTime>
  <ScaleCrop>false</ScaleCrop>
  <LinksUpToDate>false</LinksUpToDate>
  <CharactersWithSpaces>51217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2021-08-23T10:41:00Z</dcterms:created>
  <dc:creator>微软用户</dc:creator>
  <cp:lastModifiedBy>中采招标</cp:lastModifiedBy>
  <cp:lastPrinted>2020-01-19T09:37:00Z</cp:lastPrinted>
  <dcterms:modified xsi:type="dcterms:W3CDTF">2023-10-27T03:28:23Z</dcterms:modified>
  <dc:title>附件2:</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CCB90D6BDA8E45A9BADD3F1B43AC9B4F</vt:lpwstr>
  </property>
</Properties>
</file>