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Fonts w:ascii="楷体_GB2312" w:hAnsi="宋体" w:eastAsia="楷体_GB2312"/>
          <w:b/>
          <w:color w:val="auto"/>
          <w:highlight w:val="none"/>
        </w:rPr>
      </w:pPr>
    </w:p>
    <w:p>
      <w:pPr>
        <w:pStyle w:val="22"/>
        <w:rPr>
          <w:rFonts w:hAnsi="宋体"/>
          <w:b/>
          <w:color w:val="auto"/>
          <w:highlight w:val="none"/>
        </w:rPr>
      </w:pPr>
    </w:p>
    <w:p>
      <w:pPr>
        <w:pStyle w:val="22"/>
        <w:jc w:val="center"/>
        <w:rPr>
          <w:rFonts w:hint="eastAsia" w:hAnsi="宋体"/>
          <w:b/>
          <w:color w:val="auto"/>
          <w:highlight w:val="none"/>
        </w:rPr>
      </w:pPr>
    </w:p>
    <w:p>
      <w:pPr>
        <w:pStyle w:val="22"/>
        <w:jc w:val="center"/>
        <w:rPr>
          <w:rFonts w:hint="eastAsia" w:hAnsi="宋体"/>
          <w:b/>
          <w:color w:val="auto"/>
          <w:sz w:val="84"/>
          <w:szCs w:val="84"/>
          <w:highlight w:val="none"/>
        </w:rPr>
      </w:pPr>
    </w:p>
    <w:p>
      <w:pPr>
        <w:pStyle w:val="22"/>
        <w:jc w:val="center"/>
        <w:rPr>
          <w:rFonts w:hint="eastAsia" w:hAnsi="宋体"/>
          <w:b/>
          <w:color w:val="auto"/>
          <w:sz w:val="84"/>
          <w:szCs w:val="84"/>
          <w:highlight w:val="none"/>
        </w:rPr>
      </w:pPr>
      <w:r>
        <w:rPr>
          <w:rFonts w:hint="eastAsia" w:hAnsi="宋体"/>
          <w:b/>
          <w:color w:val="auto"/>
          <w:sz w:val="84"/>
          <w:szCs w:val="84"/>
          <w:highlight w:val="none"/>
        </w:rPr>
        <w:t>竞争性磋商文件</w:t>
      </w:r>
    </w:p>
    <w:p>
      <w:pPr>
        <w:pStyle w:val="22"/>
        <w:rPr>
          <w:rFonts w:hint="eastAsia" w:hAnsi="宋体"/>
          <w:b/>
          <w:color w:val="auto"/>
          <w:sz w:val="72"/>
          <w:szCs w:val="72"/>
          <w:highlight w:val="none"/>
        </w:rPr>
      </w:pPr>
    </w:p>
    <w:p>
      <w:pPr>
        <w:pStyle w:val="22"/>
        <w:jc w:val="center"/>
        <w:rPr>
          <w:rFonts w:hint="eastAsia" w:hAnsi="宋体"/>
          <w:b/>
          <w:color w:val="auto"/>
          <w:sz w:val="72"/>
          <w:szCs w:val="72"/>
          <w:highlight w:val="none"/>
        </w:rPr>
      </w:pPr>
    </w:p>
    <w:p>
      <w:pPr>
        <w:pStyle w:val="22"/>
        <w:jc w:val="center"/>
        <w:rPr>
          <w:rFonts w:hint="eastAsia" w:hAnsi="宋体"/>
          <w:b/>
          <w:color w:val="auto"/>
          <w:sz w:val="72"/>
          <w:szCs w:val="72"/>
          <w:highlight w:val="none"/>
        </w:rPr>
      </w:pPr>
    </w:p>
    <w:p>
      <w:pPr>
        <w:spacing w:line="360" w:lineRule="auto"/>
        <w:ind w:firstLine="1280" w:firstLineChars="400"/>
        <w:rPr>
          <w:rFonts w:hint="eastAsia" w:ascii="宋体" w:hAnsi="宋体"/>
          <w:color w:val="auto"/>
          <w:sz w:val="32"/>
          <w:szCs w:val="32"/>
          <w:highlight w:val="none"/>
          <w:lang w:eastAsia="zh-CN"/>
        </w:rPr>
      </w:pPr>
      <w:r>
        <w:rPr>
          <w:rFonts w:hint="eastAsia" w:ascii="宋体" w:hAnsi="宋体"/>
          <w:color w:val="auto"/>
          <w:sz w:val="32"/>
          <w:szCs w:val="32"/>
          <w:highlight w:val="none"/>
        </w:rPr>
        <w:t>采购项目名称：</w:t>
      </w:r>
      <w:r>
        <w:rPr>
          <w:rFonts w:hint="eastAsia" w:ascii="宋体" w:hAnsi="宋体"/>
          <w:color w:val="auto"/>
          <w:sz w:val="32"/>
          <w:szCs w:val="32"/>
          <w:highlight w:val="none"/>
          <w:lang w:eastAsia="zh-CN"/>
        </w:rPr>
        <w:t>湖南省检验检测特色产业园2023-2024</w:t>
      </w:r>
    </w:p>
    <w:p>
      <w:pPr>
        <w:spacing w:line="360" w:lineRule="auto"/>
        <w:ind w:firstLine="3520" w:firstLineChars="1100"/>
        <w:rPr>
          <w:rFonts w:hint="eastAsia" w:ascii="宋体" w:hAnsi="宋体"/>
          <w:color w:val="auto"/>
          <w:sz w:val="32"/>
          <w:szCs w:val="32"/>
          <w:highlight w:val="none"/>
        </w:rPr>
      </w:pPr>
      <w:r>
        <w:rPr>
          <w:rFonts w:hint="eastAsia" w:ascii="宋体" w:hAnsi="宋体"/>
          <w:color w:val="auto"/>
          <w:sz w:val="32"/>
          <w:szCs w:val="32"/>
          <w:highlight w:val="none"/>
          <w:lang w:eastAsia="zh-CN"/>
        </w:rPr>
        <w:t>年度保安服务采购项目</w:t>
      </w:r>
      <w:r>
        <w:rPr>
          <w:rFonts w:hint="eastAsia" w:ascii="宋体" w:hAnsi="宋体"/>
          <w:color w:val="auto"/>
          <w:sz w:val="32"/>
          <w:szCs w:val="32"/>
          <w:highlight w:val="none"/>
        </w:rPr>
        <w:t xml:space="preserve"> </w:t>
      </w:r>
    </w:p>
    <w:p>
      <w:pPr>
        <w:pStyle w:val="22"/>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采   购  人：</w:t>
      </w:r>
      <w:r>
        <w:rPr>
          <w:rFonts w:hint="eastAsia" w:hAnsi="宋体"/>
          <w:color w:val="auto"/>
          <w:sz w:val="32"/>
          <w:szCs w:val="32"/>
          <w:highlight w:val="none"/>
          <w:lang w:eastAsia="zh-CN"/>
        </w:rPr>
        <w:t>湖南智谷投资发展集团有限公司</w:t>
      </w:r>
      <w:r>
        <w:rPr>
          <w:rFonts w:hint="eastAsia" w:hAnsi="宋体"/>
          <w:color w:val="auto"/>
          <w:sz w:val="32"/>
          <w:szCs w:val="32"/>
          <w:highlight w:val="none"/>
        </w:rPr>
        <w:t xml:space="preserve"> </w:t>
      </w:r>
    </w:p>
    <w:p>
      <w:pPr>
        <w:pStyle w:val="22"/>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委托代理编号：</w:t>
      </w:r>
      <w:r>
        <w:rPr>
          <w:rFonts w:hint="eastAsia" w:hAnsi="宋体"/>
          <w:color w:val="auto"/>
          <w:sz w:val="32"/>
          <w:szCs w:val="32"/>
          <w:highlight w:val="none"/>
          <w:lang w:eastAsia="zh-CN"/>
        </w:rPr>
        <w:t>ZCZB-CG(F)-2023084</w:t>
      </w:r>
      <w:r>
        <w:rPr>
          <w:rFonts w:hint="eastAsia" w:hAnsi="宋体"/>
          <w:color w:val="auto"/>
          <w:sz w:val="32"/>
          <w:szCs w:val="32"/>
          <w:highlight w:val="none"/>
        </w:rPr>
        <w:t xml:space="preserve"> </w:t>
      </w:r>
    </w:p>
    <w:p>
      <w:pPr>
        <w:pStyle w:val="22"/>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采购代理机构:</w:t>
      </w:r>
      <w:r>
        <w:rPr>
          <w:rFonts w:hint="eastAsia" w:hAnsi="宋体"/>
          <w:color w:val="auto"/>
          <w:sz w:val="32"/>
          <w:szCs w:val="32"/>
          <w:highlight w:val="none"/>
          <w:lang w:eastAsia="zh-CN"/>
        </w:rPr>
        <w:t>中采联合招标有限公司</w:t>
      </w:r>
      <w:r>
        <w:rPr>
          <w:rFonts w:hint="eastAsia" w:hAnsi="宋体"/>
          <w:color w:val="auto"/>
          <w:sz w:val="32"/>
          <w:szCs w:val="32"/>
          <w:highlight w:val="none"/>
        </w:rPr>
        <w:t xml:space="preserve"> </w:t>
      </w: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800" w:leftChars="1000" w:right="302" w:rightChars="108" w:firstLine="675" w:firstLineChars="211"/>
        <w:rPr>
          <w:rFonts w:hint="eastAsia" w:hAnsi="宋体"/>
          <w:color w:val="auto"/>
          <w:sz w:val="32"/>
          <w:szCs w:val="32"/>
          <w:highlight w:val="none"/>
        </w:rPr>
      </w:pPr>
      <w:r>
        <w:rPr>
          <w:rFonts w:hint="eastAsia" w:hAnsi="宋体"/>
          <w:color w:val="auto"/>
          <w:sz w:val="32"/>
          <w:szCs w:val="32"/>
          <w:highlight w:val="none"/>
        </w:rPr>
        <w:t>202</w:t>
      </w:r>
      <w:r>
        <w:rPr>
          <w:rFonts w:hint="eastAsia" w:hAnsi="宋体"/>
          <w:color w:val="auto"/>
          <w:sz w:val="32"/>
          <w:szCs w:val="32"/>
          <w:highlight w:val="none"/>
          <w:lang w:val="en-US" w:eastAsia="zh-CN"/>
        </w:rPr>
        <w:t>3</w:t>
      </w:r>
      <w:r>
        <w:rPr>
          <w:rFonts w:hint="eastAsia" w:hAnsi="宋体"/>
          <w:color w:val="auto"/>
          <w:sz w:val="32"/>
          <w:szCs w:val="32"/>
          <w:highlight w:val="none"/>
        </w:rPr>
        <w:t>年</w:t>
      </w:r>
      <w:r>
        <w:rPr>
          <w:rFonts w:hint="eastAsia" w:hAnsi="宋体"/>
          <w:color w:val="auto"/>
          <w:sz w:val="32"/>
          <w:szCs w:val="32"/>
          <w:highlight w:val="none"/>
          <w:lang w:val="en-US" w:eastAsia="zh-CN"/>
        </w:rPr>
        <w:t>9</w:t>
      </w:r>
      <w:r>
        <w:rPr>
          <w:rFonts w:hint="eastAsia" w:hAnsi="宋体"/>
          <w:color w:val="auto"/>
          <w:sz w:val="32"/>
          <w:szCs w:val="32"/>
          <w:highlight w:val="none"/>
        </w:rPr>
        <w:t>月</w:t>
      </w:r>
    </w:p>
    <w:p>
      <w:pPr>
        <w:pStyle w:val="22"/>
        <w:adjustRightInd w:val="0"/>
        <w:snapToGrid w:val="0"/>
        <w:spacing w:line="360" w:lineRule="auto"/>
        <w:ind w:left="2774" w:leftChars="202" w:right="302" w:rightChars="108" w:hanging="2208" w:hangingChars="690"/>
        <w:rPr>
          <w:rFonts w:hint="eastAsia" w:ascii="华文中宋" w:hAnsi="华文中宋" w:eastAsia="华文中宋"/>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700" w:bottom="1418" w:left="1474" w:header="851" w:footer="992" w:gutter="0"/>
          <w:pgNumType w:fmt="decimal" w:start="1"/>
          <w:cols w:space="720" w:num="1"/>
          <w:titlePg/>
          <w:docGrid w:type="lines" w:linePitch="312" w:charSpace="0"/>
        </w:sectPr>
      </w:pPr>
    </w:p>
    <w:p>
      <w:pPr>
        <w:pStyle w:val="22"/>
        <w:adjustRightInd w:val="0"/>
        <w:snapToGrid w:val="0"/>
        <w:spacing w:line="360" w:lineRule="auto"/>
        <w:jc w:val="center"/>
        <w:rPr>
          <w:rFonts w:hint="eastAsia" w:hAnsi="宋体"/>
          <w:b/>
          <w:color w:val="auto"/>
          <w:spacing w:val="160"/>
          <w:sz w:val="24"/>
          <w:szCs w:val="24"/>
          <w:highlight w:val="none"/>
        </w:rPr>
      </w:pPr>
      <w:r>
        <w:rPr>
          <w:rFonts w:hint="eastAsia" w:hAnsi="宋体"/>
          <w:b/>
          <w:color w:val="auto"/>
          <w:spacing w:val="160"/>
          <w:sz w:val="24"/>
          <w:szCs w:val="24"/>
          <w:highlight w:val="none"/>
        </w:rPr>
        <w:t>目录</w:t>
      </w:r>
    </w:p>
    <w:p>
      <w:pPr>
        <w:pStyle w:val="22"/>
        <w:adjustRightInd w:val="0"/>
        <w:snapToGrid w:val="0"/>
        <w:spacing w:line="360" w:lineRule="auto"/>
        <w:jc w:val="center"/>
        <w:rPr>
          <w:rFonts w:hint="eastAsia" w:hAnsi="宋体"/>
          <w:b/>
          <w:color w:val="auto"/>
          <w:sz w:val="24"/>
          <w:szCs w:val="24"/>
          <w:highlight w:val="none"/>
        </w:rPr>
      </w:pPr>
    </w:p>
    <w:p>
      <w:pPr>
        <w:pStyle w:val="22"/>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第一章  磋商通知</w:t>
      </w:r>
    </w:p>
    <w:p>
      <w:pPr>
        <w:pStyle w:val="22"/>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第二章  磋商须知</w:t>
      </w:r>
    </w:p>
    <w:p>
      <w:pPr>
        <w:tabs>
          <w:tab w:val="left" w:pos="1440"/>
        </w:tabs>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磋商须知前附表</w:t>
      </w:r>
    </w:p>
    <w:p>
      <w:pPr>
        <w:tabs>
          <w:tab w:val="left" w:pos="1440"/>
        </w:tabs>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磋商须知正文</w:t>
      </w:r>
    </w:p>
    <w:p>
      <w:pPr>
        <w:tabs>
          <w:tab w:val="left" w:pos="1440"/>
        </w:tabs>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一、说明</w:t>
      </w:r>
    </w:p>
    <w:p>
      <w:pPr>
        <w:tabs>
          <w:tab w:val="left" w:pos="1440"/>
        </w:tabs>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二、</w:t>
      </w:r>
      <w:r>
        <w:rPr>
          <w:rFonts w:hint="eastAsia" w:ascii="宋体" w:hAnsi="宋体" w:cs="仿宋"/>
          <w:bCs/>
          <w:color w:val="auto"/>
          <w:sz w:val="24"/>
          <w:highlight w:val="none"/>
        </w:rPr>
        <w:t>磋商</w:t>
      </w:r>
      <w:r>
        <w:rPr>
          <w:rFonts w:hint="eastAsia" w:ascii="宋体" w:hAnsi="宋体" w:cs="仿宋"/>
          <w:color w:val="auto"/>
          <w:sz w:val="24"/>
          <w:highlight w:val="none"/>
        </w:rPr>
        <w:t>文件</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三、响应文件</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四、响应文件的递交</w:t>
      </w:r>
    </w:p>
    <w:p>
      <w:pPr>
        <w:adjustRightInd w:val="0"/>
        <w:snapToGrid w:val="0"/>
        <w:spacing w:line="360" w:lineRule="auto"/>
        <w:ind w:firstLine="720" w:firstLineChars="300"/>
        <w:rPr>
          <w:rFonts w:hint="eastAsia" w:ascii="宋体" w:hAnsi="宋体" w:cs="仿宋"/>
          <w:bCs/>
          <w:color w:val="auto"/>
          <w:sz w:val="24"/>
          <w:highlight w:val="none"/>
        </w:rPr>
      </w:pPr>
      <w:r>
        <w:rPr>
          <w:rFonts w:hint="eastAsia" w:ascii="宋体" w:hAnsi="宋体" w:cs="仿宋"/>
          <w:bCs/>
          <w:color w:val="auto"/>
          <w:sz w:val="24"/>
          <w:highlight w:val="none"/>
        </w:rPr>
        <w:t>五、</w:t>
      </w:r>
      <w:r>
        <w:rPr>
          <w:rFonts w:hint="eastAsia" w:ascii="宋体" w:hAnsi="宋体" w:cs="仿宋"/>
          <w:color w:val="auto"/>
          <w:sz w:val="24"/>
          <w:highlight w:val="none"/>
        </w:rPr>
        <w:t>响应文件</w:t>
      </w:r>
      <w:r>
        <w:rPr>
          <w:rFonts w:hint="eastAsia" w:ascii="宋体" w:hAnsi="宋体" w:cs="仿宋"/>
          <w:bCs/>
          <w:color w:val="auto"/>
          <w:sz w:val="24"/>
          <w:highlight w:val="none"/>
        </w:rPr>
        <w:t>的</w:t>
      </w:r>
      <w:r>
        <w:rPr>
          <w:rFonts w:hint="eastAsia" w:ascii="宋体" w:hAnsi="宋体" w:cs="仿宋"/>
          <w:color w:val="auto"/>
          <w:sz w:val="24"/>
          <w:highlight w:val="none"/>
        </w:rPr>
        <w:t>评审与磋商</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六、成交结果信息公布与授予合同</w:t>
      </w:r>
    </w:p>
    <w:p>
      <w:pPr>
        <w:adjustRightInd w:val="0"/>
        <w:snapToGrid w:val="0"/>
        <w:spacing w:line="360" w:lineRule="auto"/>
        <w:ind w:firstLine="720" w:firstLineChars="300"/>
        <w:jc w:val="left"/>
        <w:rPr>
          <w:rFonts w:hint="eastAsia" w:ascii="宋体" w:hAnsi="宋体" w:cs="仿宋"/>
          <w:color w:val="auto"/>
          <w:sz w:val="24"/>
          <w:highlight w:val="none"/>
        </w:rPr>
      </w:pPr>
      <w:r>
        <w:rPr>
          <w:rFonts w:hint="eastAsia" w:ascii="宋体" w:hAnsi="宋体" w:cs="仿宋"/>
          <w:color w:val="auto"/>
          <w:sz w:val="24"/>
          <w:highlight w:val="none"/>
        </w:rPr>
        <w:t>七、其他规定</w:t>
      </w:r>
    </w:p>
    <w:p>
      <w:pPr>
        <w:adjustRightInd w:val="0"/>
        <w:snapToGrid w:val="0"/>
        <w:spacing w:line="360" w:lineRule="auto"/>
        <w:rPr>
          <w:rFonts w:hint="eastAsia" w:ascii="宋体" w:hAnsi="宋体" w:cs="仿宋"/>
          <w:b/>
          <w:color w:val="auto"/>
          <w:sz w:val="24"/>
          <w:highlight w:val="none"/>
        </w:rPr>
      </w:pPr>
      <w:r>
        <w:rPr>
          <w:rFonts w:hint="eastAsia" w:ascii="宋体" w:hAnsi="宋体" w:cs="仿宋"/>
          <w:b/>
          <w:color w:val="auto"/>
          <w:sz w:val="24"/>
          <w:highlight w:val="none"/>
        </w:rPr>
        <w:t>第三章  采购合同格式条款</w:t>
      </w:r>
    </w:p>
    <w:p>
      <w:pPr>
        <w:pStyle w:val="22"/>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第四章  采购需求</w:t>
      </w:r>
    </w:p>
    <w:p>
      <w:pPr>
        <w:autoSpaceDE w:val="0"/>
        <w:autoSpaceDN w:val="0"/>
        <w:adjustRightInd w:val="0"/>
        <w:snapToGrid w:val="0"/>
        <w:spacing w:line="360" w:lineRule="auto"/>
        <w:rPr>
          <w:rFonts w:hint="eastAsia" w:ascii="宋体" w:hAnsi="宋体" w:cs="仿宋"/>
          <w:b/>
          <w:color w:val="auto"/>
          <w:sz w:val="24"/>
          <w:highlight w:val="none"/>
        </w:rPr>
      </w:pPr>
      <w:r>
        <w:rPr>
          <w:rFonts w:hint="eastAsia" w:ascii="宋体" w:hAnsi="宋体" w:cs="仿宋"/>
          <w:b/>
          <w:color w:val="auto"/>
          <w:sz w:val="24"/>
          <w:highlight w:val="none"/>
        </w:rPr>
        <w:t>第五章  响应文件组成</w:t>
      </w: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bookmarkStart w:id="7" w:name="_GoBack"/>
      <w:bookmarkEnd w:id="7"/>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sectPr>
          <w:footerReference r:id="rId10" w:type="first"/>
          <w:footerReference r:id="rId9" w:type="default"/>
          <w:pgSz w:w="11906" w:h="16838"/>
          <w:pgMar w:top="1474" w:right="1418" w:bottom="1418" w:left="1474" w:header="992" w:footer="992" w:gutter="0"/>
          <w:pgNumType w:fmt="decimal"/>
          <w:cols w:space="720" w:num="1"/>
          <w:docGrid w:type="lines" w:linePitch="312" w:charSpace="0"/>
        </w:sectPr>
      </w:pPr>
    </w:p>
    <w:p>
      <w:pPr>
        <w:pStyle w:val="3"/>
        <w:rPr>
          <w:rFonts w:hint="eastAsia"/>
          <w:color w:val="auto"/>
          <w:sz w:val="28"/>
          <w:szCs w:val="28"/>
          <w:highlight w:val="none"/>
        </w:rPr>
      </w:pPr>
      <w:r>
        <w:rPr>
          <w:rFonts w:hint="eastAsia"/>
          <w:color w:val="auto"/>
          <w:sz w:val="28"/>
          <w:szCs w:val="28"/>
          <w:highlight w:val="none"/>
        </w:rPr>
        <w:t>第一章  磋商邀请</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rPr>
        <w:t>受</w:t>
      </w:r>
      <w:r>
        <w:rPr>
          <w:rFonts w:hint="eastAsia" w:ascii="宋体" w:hAnsi="宋体"/>
          <w:color w:val="auto"/>
          <w:sz w:val="21"/>
          <w:szCs w:val="21"/>
          <w:highlight w:val="none"/>
          <w:u w:val="single"/>
          <w:lang w:eastAsia="zh-CN"/>
        </w:rPr>
        <w:t>湖南智谷投资发展集团有限公司</w:t>
      </w:r>
      <w:r>
        <w:rPr>
          <w:rFonts w:hint="eastAsia" w:ascii="宋体" w:hAnsi="宋体" w:cs="宋体"/>
          <w:color w:val="auto"/>
          <w:sz w:val="21"/>
          <w:szCs w:val="21"/>
          <w:highlight w:val="none"/>
        </w:rPr>
        <w:t>的委托，对</w:t>
      </w:r>
      <w:r>
        <w:rPr>
          <w:rFonts w:hint="eastAsia" w:ascii="宋体" w:hAnsi="宋体" w:cs="宋体"/>
          <w:color w:val="auto"/>
          <w:sz w:val="21"/>
          <w:szCs w:val="21"/>
          <w:highlight w:val="none"/>
          <w:u w:val="single"/>
          <w:lang w:eastAsia="zh-CN"/>
        </w:rPr>
        <w:t>湖南省检验检测特色产业园2023-2024年度保安服务采购项目</w:t>
      </w:r>
      <w:r>
        <w:rPr>
          <w:rFonts w:hint="eastAsia" w:ascii="宋体" w:hAnsi="宋体" w:cs="宋体"/>
          <w:color w:val="auto"/>
          <w:sz w:val="21"/>
          <w:szCs w:val="21"/>
          <w:highlight w:val="none"/>
        </w:rPr>
        <w:t>进行竞争性磋商采购，现采用</w:t>
      </w:r>
      <w:r>
        <w:rPr>
          <w:rFonts w:hint="eastAsia" w:ascii="宋体" w:hAnsi="宋体" w:cs="宋体"/>
          <w:b/>
          <w:bCs/>
          <w:color w:val="auto"/>
          <w:sz w:val="21"/>
          <w:szCs w:val="21"/>
          <w:highlight w:val="none"/>
          <w:u w:val="single"/>
        </w:rPr>
        <w:t>发布公告</w:t>
      </w:r>
      <w:r>
        <w:rPr>
          <w:rFonts w:hint="eastAsia" w:ascii="宋体" w:hAnsi="宋体" w:cs="宋体"/>
          <w:color w:val="auto"/>
          <w:sz w:val="21"/>
          <w:szCs w:val="21"/>
          <w:highlight w:val="none"/>
        </w:rPr>
        <w:t>方式，邀请符合资格条件的供应商参与竞争性磋商采购活动。</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一、项目概况</w:t>
      </w:r>
    </w:p>
    <w:p>
      <w:pPr>
        <w:adjustRightInd w:val="0"/>
        <w:snapToGrid w:val="0"/>
        <w:spacing w:line="360" w:lineRule="auto"/>
        <w:rPr>
          <w:rFonts w:hint="eastAsia" w:ascii="宋体" w:hAnsi="宋体" w:cs="宋体"/>
          <w:color w:val="auto"/>
          <w:sz w:val="21"/>
          <w:szCs w:val="21"/>
          <w:highlight w:val="none"/>
          <w:u w:val="single"/>
        </w:rPr>
      </w:pPr>
      <w:r>
        <w:rPr>
          <w:rFonts w:hint="eastAsia" w:ascii="宋体" w:hAnsi="宋体"/>
          <w:color w:val="auto"/>
          <w:sz w:val="21"/>
          <w:szCs w:val="21"/>
          <w:highlight w:val="none"/>
        </w:rPr>
        <w:t>1、采购项目名称：</w:t>
      </w:r>
      <w:r>
        <w:rPr>
          <w:rFonts w:hint="eastAsia" w:ascii="宋体" w:hAnsi="宋体" w:cs="宋体"/>
          <w:color w:val="auto"/>
          <w:sz w:val="21"/>
          <w:szCs w:val="21"/>
          <w:highlight w:val="none"/>
          <w:u w:val="single"/>
          <w:lang w:eastAsia="zh-CN"/>
        </w:rPr>
        <w:t>湖南省检验检测特色产业园2023-2024年度保安服务采购项目</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2、委托代理编号：</w:t>
      </w:r>
      <w:r>
        <w:rPr>
          <w:rFonts w:hint="eastAsia" w:ascii="宋体" w:hAnsi="宋体"/>
          <w:color w:val="auto"/>
          <w:sz w:val="21"/>
          <w:szCs w:val="21"/>
          <w:highlight w:val="none"/>
          <w:u w:val="single"/>
          <w:lang w:eastAsia="zh-CN"/>
        </w:rPr>
        <w:t>ZCZB-CG(F)-2023084</w:t>
      </w:r>
    </w:p>
    <w:p>
      <w:pPr>
        <w:adjustRightInd w:val="0"/>
        <w:snapToGrid w:val="0"/>
        <w:spacing w:line="360" w:lineRule="auto"/>
        <w:rPr>
          <w:rFonts w:hint="eastAsia" w:ascii="宋体" w:hAnsi="宋体"/>
          <w:color w:val="auto"/>
          <w:sz w:val="21"/>
          <w:szCs w:val="21"/>
          <w:highlight w:val="none"/>
        </w:rPr>
      </w:pPr>
      <w:r>
        <w:rPr>
          <w:rFonts w:hint="eastAsia" w:ascii="宋体" w:hAnsi="宋体"/>
          <w:color w:val="auto"/>
          <w:sz w:val="21"/>
          <w:szCs w:val="21"/>
          <w:highlight w:val="none"/>
        </w:rPr>
        <w:t>3、采购项目标的、数量及预算：</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18"/>
        <w:gridCol w:w="16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0"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标段编号</w:t>
            </w:r>
          </w:p>
        </w:tc>
        <w:tc>
          <w:tcPr>
            <w:tcW w:w="3118"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标段名</w:t>
            </w:r>
          </w:p>
        </w:tc>
        <w:tc>
          <w:tcPr>
            <w:tcW w:w="1605"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数量（项）</w:t>
            </w:r>
          </w:p>
        </w:tc>
        <w:tc>
          <w:tcPr>
            <w:tcW w:w="2131"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60"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3118"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eastAsia="zh-CN"/>
              </w:rPr>
              <w:t>湖南省检验检测特色产业园2023-2024年度保安服务采购项目</w:t>
            </w:r>
            <w:r>
              <w:rPr>
                <w:rFonts w:hint="eastAsia" w:ascii="宋体" w:hAnsi="宋体" w:eastAsia="宋体" w:cs="Times New Roman"/>
                <w:color w:val="auto"/>
                <w:sz w:val="21"/>
                <w:szCs w:val="21"/>
                <w:highlight w:val="none"/>
              </w:rPr>
              <w:t xml:space="preserve"> </w:t>
            </w:r>
          </w:p>
        </w:tc>
        <w:tc>
          <w:tcPr>
            <w:tcW w:w="1605"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2131"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cs="Times New Roman"/>
                <w:b/>
                <w:bCs/>
                <w:color w:val="auto"/>
                <w:sz w:val="21"/>
                <w:szCs w:val="21"/>
                <w:highlight w:val="none"/>
                <w:lang w:eastAsia="zh-CN"/>
              </w:rPr>
              <w:t>1872000</w:t>
            </w:r>
            <w:r>
              <w:rPr>
                <w:rFonts w:hint="eastAsia" w:ascii="宋体" w:hAnsi="宋体" w:eastAsia="宋体" w:cs="Times New Roman"/>
                <w:b/>
                <w:bCs/>
                <w:color w:val="auto"/>
                <w:sz w:val="21"/>
                <w:szCs w:val="21"/>
                <w:highlight w:val="none"/>
              </w:rPr>
              <w:t>.00</w:t>
            </w:r>
          </w:p>
        </w:tc>
      </w:tr>
    </w:tbl>
    <w:p>
      <w:pPr>
        <w:spacing w:line="360" w:lineRule="auto"/>
        <w:rPr>
          <w:rFonts w:ascii="宋体" w:hAnsi="宋体"/>
          <w:b/>
          <w:bCs/>
          <w:color w:val="auto"/>
          <w:sz w:val="21"/>
          <w:szCs w:val="21"/>
          <w:highlight w:val="none"/>
        </w:rPr>
      </w:pPr>
      <w:r>
        <w:rPr>
          <w:rFonts w:hint="eastAsia" w:ascii="宋体" w:hAnsi="宋体"/>
          <w:b/>
          <w:bCs/>
          <w:color w:val="auto"/>
          <w:sz w:val="21"/>
          <w:szCs w:val="21"/>
          <w:highlight w:val="none"/>
        </w:rPr>
        <w:t>4、项目其他说明：无。</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二、供应商资格条件：</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olor w:val="auto"/>
          <w:sz w:val="21"/>
          <w:szCs w:val="21"/>
          <w:highlight w:val="none"/>
        </w:rPr>
      </w:pPr>
      <w:r>
        <w:rPr>
          <w:rFonts w:hint="eastAsia" w:ascii="宋体" w:hAnsi="宋体"/>
          <w:color w:val="auto"/>
          <w:sz w:val="21"/>
          <w:szCs w:val="21"/>
          <w:highlight w:val="none"/>
        </w:rPr>
        <w:t>1、供应商基本资格条件：符合《中华人民共和国政府采购法》第二十二条规定的供应商条件；</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（1）法人提交企业法人营业执照副本(或者法人登记证书)以及组织机构代码证副本复印件；</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）法人提交法定代表人身份证明原件或者法定代表人授权委托书原件并附法定代表人身份证明原件；自然人提交身份证明复印件</w:t>
      </w:r>
      <w:r>
        <w:rPr>
          <w:rFonts w:hint="eastAsia" w:ascii="宋体" w:hAnsi="宋体" w:eastAsia="宋体" w:cs="宋体"/>
          <w:color w:val="auto"/>
          <w:sz w:val="21"/>
          <w:szCs w:val="21"/>
          <w:lang w:eastAsia="zh-CN"/>
        </w:rPr>
        <w:t>；</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lang w:eastAsia="zh-CN"/>
        </w:rPr>
        <w:t>湖南省政府采购供应商资格承诺函》；</w:t>
      </w:r>
    </w:p>
    <w:p>
      <w:pPr>
        <w:adjustRightInd w:val="0"/>
        <w:snapToGrid w:val="0"/>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本项目专门面向中小微企业采购，所属行业为“物业管理”，投标人须提供《中小企业声明函》，否则视为无效响应。</w:t>
      </w:r>
    </w:p>
    <w:p>
      <w:pPr>
        <w:adjustRightInd w:val="0"/>
        <w:snapToGrid w:val="0"/>
        <w:spacing w:line="360" w:lineRule="auto"/>
        <w:ind w:firstLine="422" w:firstLineChars="200"/>
        <w:outlineLvl w:val="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其他说明：①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实行了“三证合一”或者“五证合一”的，请自行说明。②根据长沙市财政局《关于政府采购促进中小企业发展若干措施的通知》（长财采购</w:t>
      </w:r>
      <w:r>
        <w:rPr>
          <w:rFonts w:hint="default" w:ascii="宋体" w:hAnsi="宋体" w:eastAsia="宋体" w:cs="宋体"/>
          <w:b/>
          <w:bCs/>
          <w:color w:val="auto"/>
          <w:sz w:val="21"/>
          <w:szCs w:val="21"/>
          <w:lang w:val="en-US" w:eastAsia="zh-CN"/>
        </w:rPr>
        <w:t>[2022]10</w:t>
      </w:r>
      <w:r>
        <w:rPr>
          <w:rFonts w:hint="eastAsia" w:ascii="宋体" w:hAnsi="宋体" w:eastAsia="宋体" w:cs="宋体"/>
          <w:b/>
          <w:bCs/>
          <w:color w:val="auto"/>
          <w:sz w:val="21"/>
          <w:szCs w:val="21"/>
          <w:lang w:val="en-US" w:eastAsia="zh-CN"/>
        </w:rPr>
        <w:t>号）文件精神，供应商凭《湖南省政府采购供应商资格承诺函》（格式详见响应文件组成）参与政府采购活动，无需提供财务状况报告、依法缴纳税收和社会保障资金的相关文件材料、参加政府采购活动前</w:t>
      </w:r>
      <w:r>
        <w:rPr>
          <w:rFonts w:hint="default" w:ascii="宋体" w:hAnsi="宋体" w:eastAsia="宋体" w:cs="宋体"/>
          <w:b/>
          <w:bCs/>
          <w:color w:val="auto"/>
          <w:sz w:val="21"/>
          <w:szCs w:val="21"/>
          <w:lang w:val="en-US" w:eastAsia="zh-CN"/>
        </w:rPr>
        <w:t>3</w:t>
      </w:r>
      <w:r>
        <w:rPr>
          <w:rFonts w:hint="eastAsia" w:ascii="宋体" w:hAnsi="宋体" w:eastAsia="宋体" w:cs="宋体"/>
          <w:b/>
          <w:bCs/>
          <w:color w:val="auto"/>
          <w:sz w:val="21"/>
          <w:szCs w:val="21"/>
          <w:lang w:val="en-US" w:eastAsia="zh-CN"/>
        </w:rPr>
        <w:t>年在经营活动中没有重大违法记录的书面声明。③投标人须如实填写《中小企业声明函》（格式详见响应文件组成），若提供的《中小企业声明函》内容不实，属于提供虚假材料谋取成交，依照《中华人民共和国政府采购法》等国家有关规定追究相应责任。④被“信用中国”网站列入失信被执行人和重大税收违法案件当事人名单的、被“中国政府采购网”网站列入政府采购严重违法失信行为记录名单（处罚期限尚未届满的），不得参与本项目的政府采购活动。</w:t>
      </w:r>
    </w:p>
    <w:p>
      <w:pPr>
        <w:keepNext w:val="0"/>
        <w:keepLines w:val="0"/>
        <w:pageBreakBefore w:val="0"/>
        <w:widowControl w:val="0"/>
        <w:tabs>
          <w:tab w:val="left" w:pos="1392"/>
        </w:tabs>
        <w:kinsoku/>
        <w:wordWrap/>
        <w:overflowPunct/>
        <w:topLinePunct w:val="0"/>
        <w:autoSpaceDE/>
        <w:autoSpaceDN/>
        <w:bidi w:val="0"/>
        <w:adjustRightInd w:val="0"/>
        <w:snapToGrid w:val="0"/>
        <w:spacing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、特定资格条件：无。</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、提供的资格证明文件复印件需加盖供应商单位公章。</w:t>
      </w:r>
    </w:p>
    <w:p>
      <w:pPr>
        <w:pStyle w:val="56"/>
        <w:ind w:left="0" w:leftChars="0" w:firstLine="0" w:firstLineChars="0"/>
        <w:rPr>
          <w:rFonts w:hint="eastAsia"/>
          <w:color w:val="auto"/>
        </w:rPr>
      </w:pPr>
      <w:r>
        <w:rPr>
          <w:rFonts w:hint="eastAsia" w:ascii="宋体" w:hAnsi="宋体" w:eastAsia="宋体" w:cs="Times New Roman"/>
          <w:color w:val="auto"/>
          <w:kern w:val="2"/>
          <w:sz w:val="21"/>
          <w:szCs w:val="21"/>
          <w:highlight w:val="none"/>
          <w:lang w:val="en-US" w:eastAsia="zh-CN" w:bidi="ar-SA"/>
        </w:rPr>
        <w:t>4、本项目不接受联合体投标</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 xml:space="preserve">三、获取磋商文件的时间、地点、方式及磋商文件售价 </w:t>
      </w:r>
    </w:p>
    <w:p>
      <w:pPr>
        <w:adjustRightIn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1、凡有意参加磋商采购活动的，请于</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15</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日起至 </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22</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日(节假日除外)，每日上午</w:t>
      </w:r>
      <w:r>
        <w:rPr>
          <w:rFonts w:hint="eastAsia" w:ascii="宋体" w:hAnsi="宋体" w:cs="宋体"/>
          <w:color w:val="auto"/>
          <w:sz w:val="21"/>
          <w:szCs w:val="21"/>
          <w:highlight w:val="none"/>
          <w:u w:val="single"/>
        </w:rPr>
        <w:t xml:space="preserve">9:00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12：00 </w:t>
      </w:r>
      <w:r>
        <w:rPr>
          <w:rFonts w:hint="eastAsia" w:ascii="宋体" w:hAnsi="宋体" w:cs="宋体"/>
          <w:color w:val="auto"/>
          <w:sz w:val="21"/>
          <w:szCs w:val="21"/>
          <w:highlight w:val="none"/>
        </w:rPr>
        <w:t>，下午</w:t>
      </w:r>
      <w:r>
        <w:rPr>
          <w:rFonts w:hint="eastAsia" w:ascii="宋体" w:hAnsi="宋体" w:cs="宋体"/>
          <w:color w:val="auto"/>
          <w:sz w:val="21"/>
          <w:szCs w:val="21"/>
          <w:highlight w:val="none"/>
          <w:u w:val="single"/>
        </w:rPr>
        <w:t xml:space="preserve"> 14:30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17:00 </w:t>
      </w:r>
      <w:r>
        <w:rPr>
          <w:rFonts w:hint="eastAsia" w:ascii="宋体" w:hAnsi="宋体" w:cs="宋体"/>
          <w:color w:val="auto"/>
          <w:sz w:val="21"/>
          <w:szCs w:val="21"/>
          <w:highlight w:val="none"/>
        </w:rPr>
        <w:t>(北京时间)，持法定代表人身份证明原件或授权委托书原件(附法定代表人身份证明原件)、个人身份证原件、营业执照复印件到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lang w:eastAsia="zh-CN"/>
        </w:rPr>
        <w:t>长沙市开福区芙蓉中路一段88号天健壹平方英里H栋24楼</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购买磋商文件。 </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cs="宋体"/>
          <w:b/>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、本磋商文件公告期为</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15</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日起至 </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四、响应文件提交的截止时间、开启时间及地点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1、提交首次响应文件的截止时间为</w:t>
      </w:r>
      <w:r>
        <w:rPr>
          <w:rFonts w:hint="eastAsia" w:ascii="宋体" w:hAnsi="宋体" w:cs="宋体"/>
          <w:color w:val="auto"/>
          <w:sz w:val="21"/>
          <w:szCs w:val="21"/>
          <w:highlight w:val="none"/>
          <w:u w:val="single"/>
        </w:rPr>
        <w:t xml:space="preserve"> 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26</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1</w:t>
      </w:r>
      <w:r>
        <w:rPr>
          <w:rFonts w:hint="eastAsia" w:ascii="宋体" w:hAnsi="宋体" w:cs="宋体"/>
          <w:color w:val="auto"/>
          <w:sz w:val="21"/>
          <w:szCs w:val="21"/>
          <w:highlight w:val="none"/>
          <w:u w:val="single"/>
          <w:lang w:val="en-US" w:eastAsia="zh-CN"/>
        </w:rPr>
        <w:t>4</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00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分（北京时间），地点为</w:t>
      </w: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lang w:eastAsia="zh-CN"/>
        </w:rPr>
        <w:t>长沙市开福区芙蓉中路一段88号天健壹平方英里H栋24楼</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(指定地点)。在截止时间后送达的响应文件为无效文件，采购人、采购代理机构或者磋商小组应当拒收。</w:t>
      </w:r>
    </w:p>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2、首次响应文件的开启时间及地点与提交首次响应文件的截止时间及地点为同一时间及地点。</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b/>
          <w:bCs/>
          <w:color w:val="auto"/>
          <w:sz w:val="21"/>
          <w:szCs w:val="21"/>
          <w:highlight w:val="none"/>
        </w:rPr>
      </w:pPr>
      <w:r>
        <w:rPr>
          <w:rFonts w:hint="eastAsia" w:ascii="宋体" w:hAnsi="宋体" w:cs="宋体"/>
          <w:b/>
          <w:color w:val="auto"/>
          <w:kern w:val="0"/>
          <w:sz w:val="21"/>
          <w:szCs w:val="21"/>
          <w:highlight w:val="none"/>
        </w:rPr>
        <w:t>五、</w:t>
      </w:r>
      <w:r>
        <w:rPr>
          <w:rFonts w:hint="eastAsia" w:ascii="宋体" w:hAnsi="宋体"/>
          <w:b/>
          <w:bCs/>
          <w:color w:val="auto"/>
          <w:sz w:val="21"/>
          <w:szCs w:val="21"/>
          <w:highlight w:val="none"/>
        </w:rPr>
        <w:t xml:space="preserve">联系方式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采</w:t>
      </w:r>
      <w:r>
        <w:rPr>
          <w:rFonts w:ascii="宋体" w:hAnsi="宋体"/>
          <w:color w:val="auto"/>
          <w:sz w:val="21"/>
          <w:szCs w:val="21"/>
          <w:highlight w:val="none"/>
        </w:rPr>
        <w:t xml:space="preserve"> </w:t>
      </w:r>
      <w:r>
        <w:rPr>
          <w:rFonts w:hint="eastAsia" w:ascii="宋体" w:hAnsi="宋体"/>
          <w:color w:val="auto"/>
          <w:sz w:val="21"/>
          <w:szCs w:val="21"/>
          <w:highlight w:val="none"/>
        </w:rPr>
        <w:t>购</w:t>
      </w:r>
      <w:r>
        <w:rPr>
          <w:rFonts w:ascii="宋体" w:hAnsi="宋体"/>
          <w:color w:val="auto"/>
          <w:sz w:val="21"/>
          <w:szCs w:val="21"/>
          <w:highlight w:val="none"/>
        </w:rPr>
        <w:t xml:space="preserve"> </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湖南智谷投资发展集团有限公司</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联</w:t>
      </w:r>
      <w:r>
        <w:rPr>
          <w:rFonts w:ascii="宋体" w:hAnsi="宋体"/>
          <w:color w:val="auto"/>
          <w:sz w:val="21"/>
          <w:szCs w:val="21"/>
          <w:highlight w:val="none"/>
        </w:rPr>
        <w:t xml:space="preserve"> </w:t>
      </w:r>
      <w:r>
        <w:rPr>
          <w:rFonts w:hint="eastAsia" w:ascii="宋体" w:hAnsi="宋体"/>
          <w:color w:val="auto"/>
          <w:sz w:val="21"/>
          <w:szCs w:val="21"/>
          <w:highlight w:val="none"/>
        </w:rPr>
        <w:t>系</w:t>
      </w:r>
      <w:r>
        <w:rPr>
          <w:rFonts w:ascii="宋体" w:hAnsi="宋体"/>
          <w:color w:val="auto"/>
          <w:sz w:val="21"/>
          <w:szCs w:val="21"/>
          <w:highlight w:val="none"/>
        </w:rPr>
        <w:t xml:space="preserve"> </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秦先生</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w:t>
      </w:r>
      <w:r>
        <w:rPr>
          <w:rFonts w:ascii="宋体" w:hAnsi="宋体"/>
          <w:color w:val="auto"/>
          <w:sz w:val="21"/>
          <w:szCs w:val="21"/>
          <w:highlight w:val="none"/>
        </w:rPr>
        <w:t xml:space="preserve">    </w:t>
      </w:r>
      <w:r>
        <w:rPr>
          <w:rFonts w:hint="eastAsia" w:ascii="宋体" w:hAnsi="宋体"/>
          <w:color w:val="auto"/>
          <w:sz w:val="21"/>
          <w:szCs w:val="21"/>
          <w:highlight w:val="none"/>
        </w:rPr>
        <w:t>话：</w:t>
      </w:r>
      <w:r>
        <w:rPr>
          <w:rFonts w:hint="eastAsia" w:ascii="宋体" w:hAnsi="宋体"/>
          <w:color w:val="auto"/>
          <w:sz w:val="21"/>
          <w:szCs w:val="21"/>
          <w:highlight w:val="none"/>
          <w:lang w:eastAsia="zh-CN"/>
        </w:rPr>
        <w:t>0731-85532267</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w:t>
      </w:r>
      <w:r>
        <w:rPr>
          <w:rFonts w:ascii="宋体" w:hAnsi="宋体"/>
          <w:color w:val="auto"/>
          <w:sz w:val="21"/>
          <w:szCs w:val="21"/>
          <w:highlight w:val="none"/>
        </w:rPr>
        <w:t xml:space="preserve">    </w:t>
      </w:r>
      <w:r>
        <w:rPr>
          <w:rFonts w:hint="eastAsia" w:ascii="宋体" w:hAnsi="宋体"/>
          <w:color w:val="auto"/>
          <w:sz w:val="21"/>
          <w:szCs w:val="21"/>
          <w:highlight w:val="none"/>
        </w:rPr>
        <w:t>址：</w:t>
      </w:r>
      <w:r>
        <w:rPr>
          <w:rFonts w:hint="eastAsia" w:ascii="宋体" w:hAnsi="宋体" w:cs="宋体"/>
          <w:color w:val="auto"/>
          <w:sz w:val="21"/>
          <w:szCs w:val="21"/>
          <w:highlight w:val="none"/>
          <w:lang w:eastAsia="zh-CN"/>
        </w:rPr>
        <w:t>湖南长沙市岳麓区学士路336号湖南省检验检测特色产业园A1栋23楼</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采购代理机构：</w:t>
      </w:r>
      <w:r>
        <w:rPr>
          <w:rFonts w:hint="eastAsia" w:ascii="宋体" w:hAnsi="宋体"/>
          <w:color w:val="auto"/>
          <w:sz w:val="21"/>
          <w:szCs w:val="21"/>
          <w:highlight w:val="none"/>
          <w:lang w:eastAsia="zh-CN"/>
        </w:rPr>
        <w:t>中采联合招标有限公司</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联 系 人：</w:t>
      </w:r>
      <w:r>
        <w:rPr>
          <w:rFonts w:hint="eastAsia" w:ascii="宋体" w:hAnsi="宋体"/>
          <w:color w:val="auto"/>
          <w:sz w:val="21"/>
          <w:szCs w:val="21"/>
          <w:highlight w:val="none"/>
          <w:lang w:eastAsia="zh-CN"/>
        </w:rPr>
        <w:t>鲁帆、肖艳、陈素</w:t>
      </w:r>
      <w:r>
        <w:rPr>
          <w:rFonts w:hint="eastAsia" w:ascii="宋体" w:hAnsi="宋体"/>
          <w:color w:val="auto"/>
          <w:sz w:val="21"/>
          <w:szCs w:val="21"/>
          <w:highlight w:val="none"/>
        </w:rPr>
        <w:t xml:space="preserve">                     </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    话：</w:t>
      </w:r>
      <w:r>
        <w:rPr>
          <w:rFonts w:hint="eastAsia" w:ascii="宋体" w:hAnsi="宋体"/>
          <w:color w:val="auto"/>
          <w:sz w:val="21"/>
          <w:szCs w:val="21"/>
          <w:highlight w:val="none"/>
          <w:lang w:eastAsia="zh-CN"/>
        </w:rPr>
        <w:t>0731-85162085</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    址：</w:t>
      </w:r>
      <w:r>
        <w:rPr>
          <w:rFonts w:hint="eastAsia" w:ascii="宋体" w:hAnsi="宋体"/>
          <w:color w:val="auto"/>
          <w:sz w:val="21"/>
          <w:szCs w:val="21"/>
          <w:highlight w:val="none"/>
          <w:lang w:eastAsia="zh-CN"/>
        </w:rPr>
        <w:t>长沙市开福区芙蓉中路一段88号天健壹平方英里H栋24楼</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监管部门：审计监察部</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联系人：</w:t>
      </w:r>
      <w:r>
        <w:rPr>
          <w:rFonts w:hint="eastAsia" w:ascii="宋体" w:hAnsi="宋体"/>
          <w:color w:val="auto"/>
          <w:sz w:val="21"/>
          <w:szCs w:val="21"/>
          <w:highlight w:val="none"/>
          <w:lang w:val="en-US" w:eastAsia="zh-CN"/>
        </w:rPr>
        <w:t>杨先生</w:t>
      </w:r>
    </w:p>
    <w:p>
      <w:pPr>
        <w:pStyle w:val="2"/>
        <w:keepNext w:val="0"/>
        <w:keepLines w:val="0"/>
        <w:pageBreakBefore w:val="0"/>
        <w:widowControl w:val="0"/>
        <w:kinsoku/>
        <w:wordWrap/>
        <w:overflowPunct/>
        <w:topLinePunct w:val="0"/>
        <w:autoSpaceDE/>
        <w:autoSpaceDN/>
        <w:bidi w:val="0"/>
        <w:spacing w:after="0" w:line="360" w:lineRule="exact"/>
        <w:textAlignment w:val="auto"/>
        <w:rPr>
          <w:rFonts w:ascii="宋体" w:hAnsi="宋体"/>
          <w:color w:val="auto"/>
          <w:sz w:val="21"/>
          <w:szCs w:val="21"/>
          <w:highlight w:val="none"/>
        </w:rPr>
      </w:pPr>
      <w:r>
        <w:rPr>
          <w:rFonts w:hint="eastAsia" w:ascii="宋体" w:hAnsi="宋体"/>
          <w:color w:val="auto"/>
          <w:sz w:val="21"/>
          <w:szCs w:val="21"/>
          <w:highlight w:val="none"/>
        </w:rPr>
        <w:t>电话：0731-85581812</w:t>
      </w:r>
    </w:p>
    <w:p>
      <w:pPr>
        <w:adjustRightInd w:val="0"/>
        <w:snapToGrid w:val="0"/>
        <w:spacing w:line="360" w:lineRule="auto"/>
        <w:jc w:val="center"/>
        <w:rPr>
          <w:rFonts w:hint="eastAsia" w:ascii="Times New Roman" w:hAnsi="Times New Roman"/>
          <w:b/>
          <w:bCs/>
          <w:color w:val="auto"/>
          <w:szCs w:val="28"/>
          <w:highlight w:val="none"/>
        </w:rPr>
      </w:pPr>
    </w:p>
    <w:p>
      <w:pPr>
        <w:pStyle w:val="56"/>
        <w:rPr>
          <w:rFonts w:hint="eastAsia"/>
          <w:color w:val="auto"/>
        </w:rPr>
      </w:pPr>
    </w:p>
    <w:p>
      <w:pPr>
        <w:adjustRightInd w:val="0"/>
        <w:snapToGrid w:val="0"/>
        <w:spacing w:line="360" w:lineRule="auto"/>
        <w:jc w:val="center"/>
        <w:rPr>
          <w:rFonts w:hint="eastAsia" w:ascii="Times New Roman" w:hAnsi="Times New Roman"/>
          <w:b/>
          <w:bCs/>
          <w:color w:val="auto"/>
          <w:szCs w:val="28"/>
          <w:highlight w:val="none"/>
        </w:rPr>
      </w:pPr>
    </w:p>
    <w:p>
      <w:pPr>
        <w:adjustRightInd w:val="0"/>
        <w:snapToGrid w:val="0"/>
        <w:spacing w:line="360" w:lineRule="auto"/>
        <w:jc w:val="center"/>
        <w:rPr>
          <w:rFonts w:hint="eastAsia" w:ascii="Times New Roman" w:hAnsi="Times New Roman"/>
          <w:b/>
          <w:bCs/>
          <w:color w:val="auto"/>
          <w:szCs w:val="28"/>
          <w:highlight w:val="none"/>
        </w:rPr>
      </w:pPr>
    </w:p>
    <w:p>
      <w:pPr>
        <w:adjustRightInd w:val="0"/>
        <w:snapToGrid w:val="0"/>
        <w:spacing w:line="360" w:lineRule="auto"/>
        <w:jc w:val="center"/>
        <w:rPr>
          <w:rFonts w:hint="eastAsia" w:ascii="Times New Roman" w:hAnsi="Times New Roman"/>
          <w:b/>
          <w:bCs/>
          <w:color w:val="auto"/>
          <w:szCs w:val="28"/>
          <w:highlight w:val="none"/>
        </w:rPr>
      </w:pPr>
      <w:r>
        <w:rPr>
          <w:rFonts w:hint="eastAsia" w:ascii="Times New Roman" w:hAnsi="Times New Roman"/>
          <w:b/>
          <w:bCs/>
          <w:color w:val="auto"/>
          <w:szCs w:val="28"/>
          <w:highlight w:val="none"/>
        </w:rPr>
        <w:t>第二章  磋商须知</w:t>
      </w:r>
    </w:p>
    <w:p>
      <w:pPr>
        <w:pStyle w:val="4"/>
        <w:rPr>
          <w:rFonts w:hint="eastAsia"/>
          <w:color w:val="auto"/>
          <w:sz w:val="21"/>
          <w:szCs w:val="21"/>
          <w:highlight w:val="none"/>
        </w:rPr>
      </w:pPr>
      <w:r>
        <w:rPr>
          <w:rFonts w:hint="eastAsia"/>
          <w:color w:val="auto"/>
          <w:sz w:val="21"/>
          <w:szCs w:val="21"/>
          <w:highlight w:val="none"/>
        </w:rPr>
        <w:t>磋商须知前附表</w:t>
      </w:r>
    </w:p>
    <w:p>
      <w:pPr>
        <w:pStyle w:val="22"/>
        <w:rPr>
          <w:rFonts w:hint="eastAsia" w:ascii="黑体" w:eastAsia="黑体"/>
          <w:b/>
          <w:color w:val="auto"/>
          <w:highlight w:val="none"/>
        </w:rPr>
      </w:pPr>
      <w:r>
        <w:rPr>
          <w:rFonts w:hint="eastAsia" w:hAnsi="宋体" w:cs="宋体"/>
          <w:color w:val="auto"/>
          <w:highlight w:val="none"/>
        </w:rPr>
        <w:t>注： 请在方框□内划√选择，在“条款号”内限选一项。（本项目采用的条款用“■”标示）</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788"/>
        <w:gridCol w:w="12"/>
        <w:gridCol w:w="566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tblHeader/>
          <w:jc w:val="center"/>
        </w:trPr>
        <w:tc>
          <w:tcPr>
            <w:tcW w:w="1658" w:type="dxa"/>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条款号</w:t>
            </w:r>
          </w:p>
        </w:tc>
        <w:tc>
          <w:tcPr>
            <w:tcW w:w="1788" w:type="dxa"/>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条款名称</w:t>
            </w:r>
          </w:p>
        </w:tc>
        <w:tc>
          <w:tcPr>
            <w:tcW w:w="5677" w:type="dxa"/>
            <w:gridSpan w:val="2"/>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123" w:type="dxa"/>
            <w:gridSpan w:val="4"/>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采购项目</w:t>
            </w:r>
          </w:p>
        </w:tc>
        <w:tc>
          <w:tcPr>
            <w:tcW w:w="5677" w:type="dxa"/>
            <w:gridSpan w:val="2"/>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eastAsia="zh-CN"/>
              </w:rPr>
              <w:t>湖南省检验检测特色产业园2023-2024年度保安服务采购项目</w:t>
            </w:r>
            <w:r>
              <w:rPr>
                <w:rFonts w:hint="eastAsia" w:ascii="宋体" w:hAnsi="宋体" w:eastAsia="宋体" w:cs="Times New Roman"/>
                <w:color w:val="auto"/>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8"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第二章第2.1款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采购人</w:t>
            </w:r>
          </w:p>
        </w:tc>
        <w:tc>
          <w:tcPr>
            <w:tcW w:w="5677" w:type="dxa"/>
            <w:gridSpan w:val="2"/>
            <w:noWrap w:val="0"/>
            <w:vAlign w:val="center"/>
          </w:tcPr>
          <w:p>
            <w:pPr>
              <w:adjustRightInd w:val="0"/>
              <w:snapToGrid w:val="0"/>
              <w:spacing w:line="360" w:lineRule="auto"/>
              <w:rPr>
                <w:rFonts w:hint="eastAsia" w:ascii="宋体" w:hAnsi="宋体" w:eastAsia="宋体" w:cs="Times New Roman"/>
                <w:color w:val="auto"/>
                <w:sz w:val="21"/>
                <w:szCs w:val="21"/>
                <w:highlight w:val="none"/>
                <w:u w:val="single"/>
                <w:lang w:eastAsia="zh-CN"/>
              </w:rPr>
            </w:pPr>
            <w:r>
              <w:rPr>
                <w:rFonts w:hint="eastAsia" w:ascii="宋体" w:hAnsi="宋体" w:eastAsia="宋体" w:cs="Times New Roman"/>
                <w:color w:val="auto"/>
                <w:sz w:val="21"/>
                <w:szCs w:val="21"/>
                <w:highlight w:val="none"/>
              </w:rPr>
              <w:t>采</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购</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人：</w:t>
            </w:r>
            <w:r>
              <w:rPr>
                <w:rFonts w:hint="eastAsia" w:ascii="宋体" w:hAnsi="宋体" w:cs="Times New Roman"/>
                <w:color w:val="auto"/>
                <w:sz w:val="21"/>
                <w:szCs w:val="21"/>
                <w:highlight w:val="none"/>
                <w:lang w:eastAsia="zh-CN"/>
              </w:rPr>
              <w:t>湖南智谷投资发展集团有限公司</w:t>
            </w:r>
          </w:p>
          <w:p>
            <w:pPr>
              <w:adjustRightInd w:val="0"/>
              <w:snapToGrid w:val="0"/>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联</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系</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人：</w:t>
            </w:r>
            <w:r>
              <w:rPr>
                <w:rFonts w:hint="eastAsia" w:ascii="宋体" w:hAnsi="宋体" w:cs="Times New Roman"/>
                <w:color w:val="auto"/>
                <w:sz w:val="21"/>
                <w:szCs w:val="21"/>
                <w:highlight w:val="none"/>
                <w:lang w:eastAsia="zh-CN"/>
              </w:rPr>
              <w:t>秦先生</w:t>
            </w:r>
          </w:p>
          <w:p>
            <w:pPr>
              <w:adjustRightInd w:val="0"/>
              <w:snapToGrid w:val="0"/>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电</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话：</w:t>
            </w:r>
            <w:r>
              <w:rPr>
                <w:rFonts w:hint="eastAsia" w:ascii="宋体" w:hAnsi="宋体" w:cs="Times New Roman"/>
                <w:color w:val="auto"/>
                <w:sz w:val="21"/>
                <w:szCs w:val="21"/>
                <w:highlight w:val="none"/>
                <w:lang w:eastAsia="zh-CN"/>
              </w:rPr>
              <w:t>0731-85532267</w:t>
            </w:r>
          </w:p>
          <w:p>
            <w:pPr>
              <w:adjustRightInd w:val="0"/>
              <w:snapToGrid w:val="0"/>
              <w:spacing w:line="360" w:lineRule="auto"/>
              <w:rPr>
                <w:rFonts w:hint="eastAsia" w:ascii="宋体" w:hAnsi="宋体" w:eastAsia="宋体" w:cs="Times New Roman"/>
                <w:color w:val="auto"/>
                <w:sz w:val="21"/>
                <w:szCs w:val="21"/>
                <w:highlight w:val="none"/>
                <w:u w:val="single"/>
                <w:lang w:eastAsia="zh-CN"/>
              </w:rPr>
            </w:pPr>
            <w:r>
              <w:rPr>
                <w:rFonts w:hint="eastAsia" w:ascii="宋体" w:hAnsi="宋体" w:eastAsia="宋体" w:cs="Times New Roman"/>
                <w:color w:val="auto"/>
                <w:sz w:val="21"/>
                <w:szCs w:val="21"/>
                <w:highlight w:val="none"/>
              </w:rPr>
              <w:t>地</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址：</w:t>
            </w:r>
            <w:r>
              <w:rPr>
                <w:rFonts w:hint="eastAsia" w:ascii="宋体" w:hAnsi="宋体" w:cs="宋体"/>
                <w:color w:val="auto"/>
                <w:sz w:val="21"/>
                <w:szCs w:val="21"/>
                <w:highlight w:val="none"/>
                <w:lang w:eastAsia="zh-CN"/>
              </w:rPr>
              <w:t>湖南长沙市岳麓区学士路336号湖南省检验检测特色产业园A1栋23楼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第二章第2.2款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w:t>
            </w:r>
          </w:p>
        </w:tc>
        <w:tc>
          <w:tcPr>
            <w:tcW w:w="5677" w:type="dxa"/>
            <w:gridSpan w:val="2"/>
            <w:noWrap w:val="0"/>
            <w:vAlign w:val="center"/>
          </w:tcPr>
          <w:p>
            <w:pPr>
              <w:pStyle w:val="22"/>
              <w:spacing w:line="288" w:lineRule="auto"/>
              <w:jc w:val="left"/>
              <w:rPr>
                <w:rFonts w:hint="eastAsia" w:hAnsi="宋体" w:eastAsia="宋体"/>
                <w:color w:val="auto"/>
                <w:highlight w:val="none"/>
                <w:lang w:eastAsia="zh-CN"/>
              </w:rPr>
            </w:pPr>
            <w:r>
              <w:rPr>
                <w:rFonts w:hint="eastAsia" w:hAnsi="宋体" w:eastAsia="宋体"/>
                <w:color w:val="auto"/>
                <w:highlight w:val="none"/>
              </w:rPr>
              <w:t>采购代理机构：</w:t>
            </w:r>
            <w:r>
              <w:rPr>
                <w:rFonts w:hint="eastAsia" w:hAnsi="宋体"/>
                <w:color w:val="auto"/>
                <w:highlight w:val="none"/>
                <w:lang w:eastAsia="zh-CN"/>
              </w:rPr>
              <w:t>中采联合招标有限公司</w:t>
            </w:r>
          </w:p>
          <w:p>
            <w:pPr>
              <w:pStyle w:val="22"/>
              <w:spacing w:line="288" w:lineRule="auto"/>
              <w:jc w:val="left"/>
              <w:rPr>
                <w:rFonts w:hint="eastAsia" w:hAnsi="宋体" w:eastAsia="宋体"/>
                <w:color w:val="auto"/>
                <w:highlight w:val="none"/>
              </w:rPr>
            </w:pPr>
            <w:r>
              <w:rPr>
                <w:rFonts w:hint="eastAsia" w:hAnsi="宋体" w:eastAsia="宋体"/>
                <w:color w:val="auto"/>
                <w:highlight w:val="none"/>
              </w:rPr>
              <w:t>联 系 人：</w:t>
            </w:r>
            <w:r>
              <w:rPr>
                <w:rFonts w:hint="eastAsia" w:hAnsi="宋体"/>
                <w:color w:val="auto"/>
                <w:highlight w:val="none"/>
                <w:lang w:eastAsia="zh-CN"/>
              </w:rPr>
              <w:t>鲁帆、肖艳、陈素</w:t>
            </w:r>
            <w:r>
              <w:rPr>
                <w:rFonts w:hint="eastAsia" w:hAnsi="宋体" w:eastAsia="宋体"/>
                <w:color w:val="auto"/>
                <w:highlight w:val="none"/>
              </w:rPr>
              <w:t xml:space="preserve">                     </w:t>
            </w:r>
          </w:p>
          <w:p>
            <w:pPr>
              <w:pStyle w:val="22"/>
              <w:spacing w:line="288" w:lineRule="auto"/>
              <w:jc w:val="left"/>
              <w:rPr>
                <w:rFonts w:hint="eastAsia" w:hAnsi="宋体" w:eastAsia="宋体"/>
                <w:color w:val="auto"/>
                <w:highlight w:val="none"/>
                <w:lang w:eastAsia="zh-CN"/>
              </w:rPr>
            </w:pPr>
            <w:r>
              <w:rPr>
                <w:rFonts w:hint="eastAsia" w:hAnsi="宋体" w:eastAsia="宋体"/>
                <w:color w:val="auto"/>
                <w:highlight w:val="none"/>
              </w:rPr>
              <w:t>电    话：</w:t>
            </w:r>
            <w:r>
              <w:rPr>
                <w:rFonts w:hint="eastAsia" w:hAnsi="宋体"/>
                <w:color w:val="auto"/>
                <w:highlight w:val="none"/>
                <w:lang w:eastAsia="zh-CN"/>
              </w:rPr>
              <w:t>0731-85162085</w:t>
            </w:r>
          </w:p>
          <w:p>
            <w:pPr>
              <w:pStyle w:val="22"/>
              <w:spacing w:line="288" w:lineRule="auto"/>
              <w:jc w:val="left"/>
              <w:rPr>
                <w:rFonts w:hint="eastAsia" w:hAnsi="宋体" w:eastAsia="宋体"/>
                <w:color w:val="auto"/>
                <w:highlight w:val="none"/>
                <w:lang w:eastAsia="zh-CN"/>
              </w:rPr>
            </w:pPr>
            <w:r>
              <w:rPr>
                <w:rFonts w:hint="eastAsia" w:hAnsi="宋体" w:eastAsia="宋体"/>
                <w:color w:val="auto"/>
                <w:highlight w:val="none"/>
              </w:rPr>
              <w:t>地    址：</w:t>
            </w:r>
            <w:r>
              <w:rPr>
                <w:rFonts w:hint="eastAsia" w:hAnsi="宋体"/>
                <w:color w:val="auto"/>
                <w:highlight w:val="none"/>
                <w:lang w:eastAsia="zh-CN"/>
              </w:rPr>
              <w:t>长沙市开福区芙蓉中路一段88号天健壹平方英里H栋24楼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第二章第2.3款</w:t>
            </w:r>
          </w:p>
        </w:tc>
        <w:tc>
          <w:tcPr>
            <w:tcW w:w="1788" w:type="dxa"/>
            <w:noWrap w:val="0"/>
            <w:vAlign w:val="center"/>
          </w:tcPr>
          <w:p>
            <w:pPr>
              <w:adjustRightInd w:val="0"/>
              <w:snapToGrid w:val="0"/>
              <w:spacing w:line="288" w:lineRule="auto"/>
              <w:rPr>
                <w:rFonts w:hint="eastAsia" w:ascii="宋体" w:hAnsi="宋体" w:eastAsia="宋体" w:cs="Times New Roman"/>
                <w:bCs/>
                <w:color w:val="auto"/>
                <w:sz w:val="21"/>
                <w:szCs w:val="21"/>
                <w:highlight w:val="none"/>
              </w:rPr>
            </w:pPr>
            <w:r>
              <w:rPr>
                <w:rFonts w:hint="eastAsia" w:ascii="宋体" w:hAnsi="宋体" w:eastAsia="宋体" w:cs="宋体"/>
                <w:color w:val="auto"/>
                <w:kern w:val="0"/>
                <w:sz w:val="21"/>
                <w:szCs w:val="21"/>
                <w:highlight w:val="none"/>
              </w:rPr>
              <w:t>供应商的</w:t>
            </w:r>
            <w:r>
              <w:rPr>
                <w:rFonts w:hint="eastAsia" w:ascii="宋体" w:hAnsi="宋体" w:eastAsia="宋体" w:cs="Times New Roman"/>
                <w:color w:val="auto"/>
                <w:sz w:val="21"/>
                <w:szCs w:val="21"/>
                <w:highlight w:val="none"/>
              </w:rPr>
              <w:t>邀请方式</w:t>
            </w:r>
          </w:p>
        </w:tc>
        <w:tc>
          <w:tcPr>
            <w:tcW w:w="5677" w:type="dxa"/>
            <w:gridSpan w:val="2"/>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■（1）发布公告</w:t>
            </w:r>
          </w:p>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□（2）采购人和评审专家分别书面推荐的方式邀请不少于3家符合相应资格条件的供应商</w:t>
            </w:r>
          </w:p>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□（3）随机从省级财政部门建立的供应商库中抽取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Cs/>
                <w:color w:val="auto"/>
                <w:sz w:val="21"/>
                <w:szCs w:val="21"/>
                <w:highlight w:val="none"/>
              </w:rPr>
              <w:t>供应商</w:t>
            </w:r>
            <w:r>
              <w:rPr>
                <w:rFonts w:hint="eastAsia" w:ascii="宋体" w:hAnsi="宋体" w:eastAsia="宋体" w:cs="Times New Roman"/>
                <w:color w:val="auto"/>
                <w:sz w:val="21"/>
                <w:szCs w:val="21"/>
                <w:highlight w:val="none"/>
              </w:rPr>
              <w:t>资格条件</w:t>
            </w:r>
          </w:p>
        </w:tc>
        <w:tc>
          <w:tcPr>
            <w:tcW w:w="5677" w:type="dxa"/>
            <w:gridSpan w:val="2"/>
            <w:noWrap w:val="0"/>
            <w:vAlign w:val="center"/>
          </w:tcPr>
          <w:p>
            <w:pPr>
              <w:adjustRightInd w:val="0"/>
              <w:snapToGrid w:val="0"/>
              <w:spacing w:line="360" w:lineRule="auto"/>
              <w:jc w:val="left"/>
              <w:rPr>
                <w:rFonts w:hint="eastAsia" w:ascii="宋体" w:hAnsi="宋体" w:eastAsia="宋体" w:cs="宋体"/>
                <w:color w:val="auto"/>
                <w:sz w:val="21"/>
                <w:szCs w:val="21"/>
              </w:rPr>
            </w:pPr>
            <w:r>
              <w:rPr>
                <w:rFonts w:hint="eastAsia" w:ascii="宋体" w:hAnsi="宋体" w:eastAsia="宋体" w:cs="Times New Roman"/>
                <w:color w:val="auto"/>
                <w:sz w:val="21"/>
                <w:szCs w:val="21"/>
                <w:highlight w:val="none"/>
              </w:rPr>
              <w:t>1、供应商基本资格条件：符合《中华人民共和国政府采购法》第二十二条规定的供应商条件</w:t>
            </w:r>
            <w:r>
              <w:rPr>
                <w:rFonts w:hint="eastAsia" w:ascii="宋体" w:hAnsi="宋体" w:cs="Times New Roman"/>
                <w:color w:val="auto"/>
                <w:sz w:val="21"/>
                <w:szCs w:val="21"/>
                <w:highlight w:val="none"/>
                <w:lang w:eastAsia="zh-CN"/>
              </w:rPr>
              <w:t>，</w:t>
            </w:r>
            <w:r>
              <w:rPr>
                <w:rFonts w:hint="eastAsia" w:ascii="宋体" w:hAnsi="宋体" w:eastAsia="宋体" w:cs="宋体"/>
                <w:color w:val="auto"/>
                <w:sz w:val="21"/>
                <w:szCs w:val="21"/>
              </w:rPr>
              <w:t>并提供以下资格证明文件：</w:t>
            </w:r>
          </w:p>
          <w:p>
            <w:pPr>
              <w:adjustRightInd w:val="0"/>
              <w:snapToGrid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（1）法人提交企业法人营业执照副本(或者法人登记证书)以及组织机构代码证副本复印件；</w:t>
            </w:r>
          </w:p>
          <w:p>
            <w:pPr>
              <w:adjustRightInd w:val="0"/>
              <w:snapToGrid w:val="0"/>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）法人提交法定代表人身份证明原件或者法定代表人授权委托书原件并附法定代表人身份证明原件；自然人提交身份证明复印件</w:t>
            </w:r>
            <w:r>
              <w:rPr>
                <w:rFonts w:hint="eastAsia" w:ascii="宋体" w:hAnsi="宋体" w:eastAsia="宋体" w:cs="宋体"/>
                <w:color w:val="auto"/>
                <w:sz w:val="21"/>
                <w:szCs w:val="21"/>
                <w:lang w:eastAsia="zh-CN"/>
              </w:rPr>
              <w:t>；</w:t>
            </w:r>
          </w:p>
          <w:p>
            <w:pPr>
              <w:adjustRightInd w:val="0"/>
              <w:snapToGrid w:val="0"/>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lang w:eastAsia="zh-CN"/>
              </w:rPr>
              <w:t>湖南省政府采购供应商资格承诺函</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w:t>
            </w:r>
          </w:p>
          <w:p>
            <w:pPr>
              <w:adjustRightInd w:val="0"/>
              <w:snapToGrid w:val="0"/>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本项目专门面向中小微企业采购，所属行业为“物业管理”，投标人须提供《中小企业声明函》，否则视为无效响应。</w:t>
            </w:r>
          </w:p>
          <w:p>
            <w:pPr>
              <w:keepNext w:val="0"/>
              <w:keepLines w:val="0"/>
              <w:widowControl/>
              <w:suppressLineNumbers w:val="0"/>
              <w:jc w:val="left"/>
              <w:rPr>
                <w:rFonts w:hint="eastAsia" w:ascii="宋体" w:hAnsi="宋体" w:eastAsia="宋体" w:cs="Times New Roman"/>
                <w:color w:val="auto"/>
                <w:sz w:val="21"/>
                <w:szCs w:val="21"/>
                <w:highlight w:val="none"/>
              </w:rPr>
            </w:pPr>
            <w:r>
              <w:rPr>
                <w:rFonts w:hint="eastAsia" w:ascii="宋体" w:hAnsi="宋体" w:eastAsia="宋体" w:cs="宋体"/>
                <w:b/>
                <w:bCs/>
                <w:i w:val="0"/>
                <w:iCs w:val="0"/>
                <w:caps w:val="0"/>
                <w:color w:val="auto"/>
                <w:spacing w:val="0"/>
                <w:sz w:val="21"/>
                <w:szCs w:val="21"/>
                <w:shd w:val="clear" w:color="auto" w:fill="FEFFFF"/>
                <w:lang w:val="en-US" w:eastAsia="zh-CN"/>
              </w:rPr>
              <w:t>其他说明：①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实行了“三证合一”或者“五证合一”的，请自行说明。②根据长沙市财政局《关于政府采购促进中小企业发展若干措施的通知》（长财采购</w:t>
            </w:r>
            <w:r>
              <w:rPr>
                <w:rFonts w:hint="default" w:ascii="宋体" w:hAnsi="宋体" w:eastAsia="宋体" w:cs="宋体"/>
                <w:b/>
                <w:bCs/>
                <w:i w:val="0"/>
                <w:iCs w:val="0"/>
                <w:caps w:val="0"/>
                <w:color w:val="auto"/>
                <w:spacing w:val="0"/>
                <w:sz w:val="21"/>
                <w:szCs w:val="21"/>
                <w:shd w:val="clear" w:color="auto" w:fill="FEFFFF"/>
                <w:lang w:val="en-US" w:eastAsia="zh-CN"/>
              </w:rPr>
              <w:t>[2022]10</w:t>
            </w:r>
            <w:r>
              <w:rPr>
                <w:rFonts w:hint="eastAsia" w:ascii="宋体" w:hAnsi="宋体" w:eastAsia="宋体" w:cs="宋体"/>
                <w:b/>
                <w:bCs/>
                <w:i w:val="0"/>
                <w:iCs w:val="0"/>
                <w:caps w:val="0"/>
                <w:color w:val="auto"/>
                <w:spacing w:val="0"/>
                <w:sz w:val="21"/>
                <w:szCs w:val="21"/>
                <w:shd w:val="clear" w:color="auto" w:fill="FEFFFF"/>
                <w:lang w:val="en-US" w:eastAsia="zh-CN"/>
              </w:rPr>
              <w:t>号）文件精神，供应商凭《湖南省政府采购供应商资格承诺函》（格式详见响应文件组成）参与政府采购活动，无需提供财务状况报告、依法缴纳税收和社会保障资金的相关文件材料、参加政府采购活动前</w:t>
            </w:r>
            <w:r>
              <w:rPr>
                <w:rFonts w:hint="default" w:ascii="宋体" w:hAnsi="宋体" w:eastAsia="宋体" w:cs="宋体"/>
                <w:b/>
                <w:bCs/>
                <w:i w:val="0"/>
                <w:iCs w:val="0"/>
                <w:caps w:val="0"/>
                <w:color w:val="auto"/>
                <w:spacing w:val="0"/>
                <w:sz w:val="21"/>
                <w:szCs w:val="21"/>
                <w:shd w:val="clear" w:color="auto" w:fill="FEFFFF"/>
                <w:lang w:val="en-US" w:eastAsia="zh-CN"/>
              </w:rPr>
              <w:t>3</w:t>
            </w:r>
            <w:r>
              <w:rPr>
                <w:rFonts w:hint="eastAsia" w:ascii="宋体" w:hAnsi="宋体" w:eastAsia="宋体" w:cs="宋体"/>
                <w:b/>
                <w:bCs/>
                <w:i w:val="0"/>
                <w:iCs w:val="0"/>
                <w:caps w:val="0"/>
                <w:color w:val="auto"/>
                <w:spacing w:val="0"/>
                <w:sz w:val="21"/>
                <w:szCs w:val="21"/>
                <w:shd w:val="clear" w:color="auto" w:fill="FEFFFF"/>
                <w:lang w:val="en-US" w:eastAsia="zh-CN"/>
              </w:rPr>
              <w:t>年在经营活动中没有重大违法记录的书面声明。③投标人须如实填写《中小企业声明函》（格式详见响应文件组成），若</w:t>
            </w:r>
            <w:r>
              <w:rPr>
                <w:rFonts w:hint="eastAsia" w:ascii="宋体" w:hAnsi="宋体" w:eastAsia="宋体" w:cs="宋体"/>
                <w:b/>
                <w:bCs/>
                <w:i w:val="0"/>
                <w:iCs w:val="0"/>
                <w:caps w:val="0"/>
                <w:color w:val="auto"/>
                <w:spacing w:val="0"/>
                <w:sz w:val="21"/>
                <w:szCs w:val="21"/>
                <w:shd w:val="clear" w:color="auto" w:fill="FEFFFF"/>
              </w:rPr>
              <w:t>提供的《中小企业声明函》内容不实，属于提供虚假材料谋取成交，依照《中华人民共和国政府采购法》等国家有关规定追究相应责</w:t>
            </w:r>
            <w:r>
              <w:rPr>
                <w:rFonts w:hint="eastAsia" w:ascii="宋体" w:hAnsi="宋体" w:eastAsia="宋体" w:cs="宋体"/>
                <w:b/>
                <w:bCs/>
                <w:i w:val="0"/>
                <w:iCs w:val="0"/>
                <w:caps w:val="0"/>
                <w:color w:val="auto"/>
                <w:spacing w:val="0"/>
                <w:sz w:val="21"/>
                <w:szCs w:val="21"/>
                <w:shd w:val="clear" w:color="auto" w:fill="FEFFFF"/>
                <w:lang w:val="en-US" w:eastAsia="zh-CN"/>
              </w:rPr>
              <w:t>任。④</w:t>
            </w:r>
            <w:r>
              <w:rPr>
                <w:rFonts w:hint="eastAsia" w:ascii="宋体" w:hAnsi="宋体" w:eastAsia="宋体" w:cs="宋体"/>
                <w:b/>
                <w:bCs/>
                <w:i w:val="0"/>
                <w:iCs w:val="0"/>
                <w:caps w:val="0"/>
                <w:color w:val="auto"/>
                <w:spacing w:val="0"/>
                <w:sz w:val="21"/>
                <w:szCs w:val="21"/>
                <w:shd w:val="clear" w:color="auto" w:fill="FEFFFF"/>
              </w:rPr>
              <w:t>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宋体" w:hAnsi="宋体" w:eastAsia="宋体" w:cs="宋体"/>
                <w:b/>
                <w:bCs/>
                <w:i w:val="0"/>
                <w:iCs w:val="0"/>
                <w:caps w:val="0"/>
                <w:color w:val="auto"/>
                <w:spacing w:val="0"/>
                <w:sz w:val="21"/>
                <w:szCs w:val="21"/>
                <w:shd w:val="clear" w:color="auto" w:fill="FEFFFF"/>
                <w:lang w:eastAsia="zh-CN"/>
              </w:rPr>
              <w:t>。</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、特定资格条件：无。</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、提供的资格证明文件复印件需加盖供应商单位公章。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第二章第6.1款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联合体形式</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不接受</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第二章第6.2（3）款</w:t>
            </w: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对联合体各方的要求</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第二章第7.1款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现场勘察</w:t>
            </w:r>
          </w:p>
        </w:tc>
        <w:tc>
          <w:tcPr>
            <w:tcW w:w="5677" w:type="dxa"/>
            <w:gridSpan w:val="2"/>
            <w:noWrap w:val="0"/>
            <w:vAlign w:val="center"/>
          </w:tcPr>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采购人不组织</w:t>
            </w:r>
          </w:p>
          <w:p>
            <w:pPr>
              <w:widowControl/>
              <w:adjustRightInd w:val="0"/>
              <w:snapToGrid w:val="0"/>
              <w:spacing w:line="360" w:lineRule="auto"/>
              <w:rPr>
                <w:rFonts w:hint="eastAsia" w:ascii="宋体" w:hAnsi="宋体" w:eastAsia="宋体" w:cs="Times New Roman"/>
                <w:color w:val="auto"/>
                <w:sz w:val="21"/>
                <w:szCs w:val="21"/>
                <w:highlight w:val="none"/>
              </w:rPr>
            </w:pPr>
            <w:r>
              <w:rPr>
                <w:rFonts w:hint="eastAsia" w:ascii="Times New Roman" w:hAnsi="Times New Roman" w:eastAsia="宋体"/>
                <w:color w:val="auto"/>
                <w:sz w:val="21"/>
                <w:highlight w:val="none"/>
              </w:rPr>
              <w:t xml:space="preserve">□ 采购人组织，时间： / 地点： / 联系人： /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1658" w:type="dxa"/>
            <w:tcBorders>
              <w:bottom w:val="single" w:color="auto" w:sz="4" w:space="0"/>
            </w:tcBorders>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第二章第8.1款</w:t>
            </w: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采购进口产品</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tcBorders>
              <w:top w:val="single" w:color="auto" w:sz="4" w:space="0"/>
              <w:bottom w:val="single" w:color="auto" w:sz="4" w:space="0"/>
            </w:tcBorders>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政府采购强制采购：</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(1)标记★符号的节能产品；</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(2)其他。</w:t>
            </w:r>
          </w:p>
        </w:tc>
        <w:tc>
          <w:tcPr>
            <w:tcW w:w="5677" w:type="dxa"/>
            <w:gridSpan w:val="2"/>
            <w:noWrap w:val="0"/>
            <w:vAlign w:val="center"/>
          </w:tcPr>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否</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是，采购《节能产品政府采购品目清单》内标记★符号的节能产品，提供有效期之内的节能产品认证证书，并加盖投标人单位章。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8" w:hRule="atLeast"/>
          <w:jc w:val="center"/>
        </w:trPr>
        <w:tc>
          <w:tcPr>
            <w:tcW w:w="1658" w:type="dxa"/>
            <w:tcBorders>
              <w:top w:val="single" w:color="auto" w:sz="4" w:space="0"/>
            </w:tcBorders>
            <w:noWrap w:val="0"/>
            <w:vAlign w:val="center"/>
          </w:tcPr>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第二章第9.2款</w:t>
            </w: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政府采购优先采购：</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(1)非标记★符号的节能产品；</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(2)环境标志产品；</w:t>
            </w:r>
          </w:p>
          <w:p>
            <w:pPr>
              <w:adjustRightInd w:val="0"/>
              <w:snapToGrid w:val="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(3)两型产</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品；</w:t>
            </w: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(4)</w:t>
            </w:r>
            <w:r>
              <w:rPr>
                <w:rFonts w:hint="eastAsia" w:ascii="宋体" w:hAnsi="宋体" w:eastAsia="宋体" w:cs="宋体"/>
                <w:bCs/>
                <w:color w:val="auto"/>
                <w:kern w:val="0"/>
                <w:sz w:val="21"/>
                <w:szCs w:val="21"/>
                <w:highlight w:val="none"/>
              </w:rPr>
              <w:t>支持</w:t>
            </w:r>
            <w:r>
              <w:rPr>
                <w:rFonts w:hint="eastAsia" w:ascii="宋体" w:hAnsi="宋体" w:eastAsia="宋体" w:cs="Times New Roman"/>
                <w:color w:val="auto"/>
                <w:sz w:val="21"/>
                <w:szCs w:val="21"/>
                <w:highlight w:val="none"/>
              </w:rPr>
              <w:t>中小企业发展；</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(5)其他。</w:t>
            </w:r>
          </w:p>
          <w:p>
            <w:pPr>
              <w:rPr>
                <w:rFonts w:hint="eastAsia" w:ascii="宋体" w:hAnsi="宋体" w:eastAsia="宋体" w:cs="Times New Roman"/>
                <w:color w:val="auto"/>
                <w:sz w:val="21"/>
                <w:szCs w:val="21"/>
                <w:highlight w:val="none"/>
              </w:rPr>
            </w:pPr>
          </w:p>
        </w:tc>
        <w:tc>
          <w:tcPr>
            <w:tcW w:w="5677" w:type="dxa"/>
            <w:gridSpan w:val="2"/>
            <w:noWrap w:val="0"/>
            <w:vAlign w:val="center"/>
          </w:tcPr>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1、采购产品为《节能产品政府采购品目清单》内非标记★符号的，分别给予技术和价格项标准总分值4%-8%的加分。本项目具体加分比例分别为 ：技术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2、采购产品为《环境标志产品政府采购品目清单》内的，分别给予技术和价格项标准总分值4%-8%的加分。本项目具体加分比例分别为 ：技术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3、采购产品为《湖南省政府采购两型产品目录》或《长沙市两型产品目录》内的：</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（1）分别给予技术和价格项标准总分值4%-8%的加</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分，本项目具体加分比例分别为 ：技术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对在本地设有生产基地和备品备件库、有售后服务机构和网点的两型产品，给予商务评标总分值4%-8%的加分，本项目具体加分比例为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上述三类产品中取其中一类。节能产品、环境标书产品提供有效期之内的节能产品、环境标志产品认证证书；《湖南省两型产品政府采购目录》、《长沙市两型产品政府采购目录》提供目录所在页或证书复印件（该页包含制造商或企业名称或申请单位名称、规格型号、有效截止日期等内容），并加盖投标人单位章。</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w:t>
            </w:r>
            <w:r>
              <w:rPr>
                <w:rFonts w:hint="eastAsia" w:ascii="宋体" w:hAnsi="宋体" w:eastAsia="宋体"/>
                <w:color w:val="auto"/>
                <w:sz w:val="21"/>
                <w:szCs w:val="21"/>
                <w:highlight w:val="none"/>
                <w:lang w:val="en-US" w:eastAsia="zh-CN"/>
              </w:rPr>
              <w:t>本项目为</w:t>
            </w:r>
            <w:r>
              <w:rPr>
                <w:rFonts w:hint="eastAsia" w:ascii="宋体" w:hAnsi="宋体" w:eastAsia="宋体"/>
                <w:color w:val="auto"/>
                <w:sz w:val="21"/>
                <w:szCs w:val="21"/>
                <w:highlight w:val="none"/>
              </w:rPr>
              <w:t>专门面向中小</w:t>
            </w:r>
            <w:r>
              <w:rPr>
                <w:rFonts w:hint="eastAsia" w:ascii="宋体" w:hAnsi="宋体" w:eastAsia="宋体"/>
                <w:color w:val="auto"/>
                <w:sz w:val="21"/>
                <w:szCs w:val="21"/>
                <w:highlight w:val="none"/>
                <w:lang w:val="en-US" w:eastAsia="zh-CN"/>
              </w:rPr>
              <w:t>微</w:t>
            </w:r>
            <w:r>
              <w:rPr>
                <w:rFonts w:hint="eastAsia" w:ascii="宋体" w:hAnsi="宋体" w:eastAsia="宋体"/>
                <w:color w:val="auto"/>
                <w:sz w:val="21"/>
                <w:szCs w:val="21"/>
                <w:highlight w:val="none"/>
              </w:rPr>
              <w:t>企业采购，</w:t>
            </w:r>
            <w:r>
              <w:rPr>
                <w:rFonts w:hint="eastAsia" w:ascii="宋体" w:hAnsi="宋体" w:eastAsia="宋体"/>
                <w:color w:val="auto"/>
                <w:sz w:val="21"/>
                <w:szCs w:val="21"/>
                <w:highlight w:val="none"/>
                <w:lang w:val="en-US" w:eastAsia="zh-CN"/>
              </w:rPr>
              <w:t>所属行业为“物业管理”，</w:t>
            </w:r>
            <w:r>
              <w:rPr>
                <w:rFonts w:hint="eastAsia" w:ascii="宋体" w:hAnsi="宋体" w:eastAsia="宋体"/>
                <w:color w:val="auto"/>
                <w:sz w:val="21"/>
                <w:szCs w:val="21"/>
                <w:highlight w:val="none"/>
              </w:rPr>
              <w:t>符合政府采购促进中小企业发展相关规定的：</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（1）给予小型和微型企业、福利和监狱企业产品的价格给予</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20</w:t>
            </w:r>
            <w:r>
              <w:rPr>
                <w:rFonts w:hint="eastAsia" w:ascii="宋体" w:hAnsi="宋体" w:eastAsia="宋体"/>
                <w:color w:val="auto"/>
                <w:sz w:val="21"/>
                <w:szCs w:val="21"/>
                <w:highlight w:val="none"/>
              </w:rPr>
              <w:t xml:space="preserve">%的扣除，用扣除后的价格参与评审，本项目具体扣除比例为 </w:t>
            </w:r>
            <w:r>
              <w:rPr>
                <w:rFonts w:hint="eastAsia" w:ascii="宋体" w:hAnsi="宋体" w:eastAsia="宋体"/>
                <w:color w:val="auto"/>
                <w:sz w:val="21"/>
                <w:szCs w:val="21"/>
                <w:highlight w:val="none"/>
                <w:lang w:val="en-US" w:eastAsia="zh-CN"/>
              </w:rPr>
              <w:t>/</w:t>
            </w:r>
            <w:r>
              <w:rPr>
                <w:rFonts w:hint="eastAsia" w:ascii="宋体" w:hAnsi="宋体" w:eastAsia="宋体"/>
                <w:color w:val="auto"/>
                <w:sz w:val="21"/>
                <w:szCs w:val="21"/>
                <w:highlight w:val="none"/>
              </w:rPr>
              <w:t xml:space="preserve"> ％，不重复享受政策。</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olor w:val="auto"/>
                <w:sz w:val="21"/>
                <w:szCs w:val="21"/>
                <w:highlight w:val="none"/>
              </w:rPr>
              <w:t>（2）给予联合体2%-3%的价格扣除，用扣除后的价格参与评审，本项目具体扣除比例为   /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vMerge w:val="restart"/>
            <w:tcBorders>
              <w:top w:val="single" w:color="auto" w:sz="4" w:space="0"/>
            </w:tcBorders>
            <w:noWrap w:val="0"/>
            <w:vAlign w:val="center"/>
          </w:tcPr>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第二章第9.6款</w:t>
            </w:r>
          </w:p>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bCs/>
                <w:color w:val="auto"/>
                <w:kern w:val="0"/>
                <w:sz w:val="21"/>
                <w:szCs w:val="21"/>
                <w:highlight w:val="none"/>
              </w:rPr>
              <w:t>政府采购支持中小企业融资</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8" w:hRule="atLeast"/>
          <w:jc w:val="center"/>
        </w:trPr>
        <w:tc>
          <w:tcPr>
            <w:tcW w:w="1658" w:type="dxa"/>
            <w:vMerge w:val="continue"/>
            <w:noWrap w:val="0"/>
            <w:vAlign w:val="center"/>
          </w:tcPr>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bCs/>
                <w:color w:val="auto"/>
                <w:kern w:val="0"/>
                <w:sz w:val="21"/>
                <w:szCs w:val="21"/>
                <w:highlight w:val="none"/>
              </w:rPr>
              <w:t>政府采购信用担保</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70" w:hRule="atLeast"/>
          <w:jc w:val="center"/>
        </w:trPr>
        <w:tc>
          <w:tcPr>
            <w:tcW w:w="1658" w:type="dxa"/>
            <w:vMerge w:val="continue"/>
            <w:noWrap w:val="0"/>
            <w:vAlign w:val="center"/>
          </w:tcPr>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法律、法规、规章和省级以上财政部门规定的其他内容</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123" w:type="dxa"/>
            <w:gridSpan w:val="4"/>
            <w:noWrap w:val="0"/>
            <w:vAlign w:val="center"/>
          </w:tcPr>
          <w:p>
            <w:pPr>
              <w:adjustRightInd w:val="0"/>
              <w:snapToGrid w:val="0"/>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第二章第10.3款</w:t>
            </w:r>
          </w:p>
        </w:tc>
        <w:tc>
          <w:tcPr>
            <w:tcW w:w="178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磋商文件的可能实质性变动内容</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u w:val="single"/>
              </w:rPr>
            </w:pP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文件的实质性变动内容为</w:t>
            </w: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文件的组成部分，实质性变动内容</w:t>
            </w:r>
            <w:r>
              <w:rPr>
                <w:rFonts w:ascii="Calibri" w:hAnsi="Calibri" w:eastAsia="宋体" w:cs="Times New Roman"/>
                <w:color w:val="auto"/>
                <w:sz w:val="21"/>
                <w:szCs w:val="21"/>
                <w:highlight w:val="none"/>
                <w:lang w:val="zh-CN"/>
              </w:rPr>
              <w:t>与</w:t>
            </w: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w:t>
            </w:r>
            <w:r>
              <w:rPr>
                <w:rFonts w:ascii="Calibri" w:hAnsi="Calibri" w:eastAsia="宋体" w:cs="Times New Roman"/>
                <w:color w:val="auto"/>
                <w:sz w:val="21"/>
                <w:szCs w:val="21"/>
                <w:highlight w:val="none"/>
                <w:lang w:val="zh-CN"/>
              </w:rPr>
              <w:t>不一致时，以</w:t>
            </w:r>
            <w:r>
              <w:rPr>
                <w:rFonts w:ascii="Calibri" w:hAnsi="Calibri" w:eastAsia="宋体" w:cs="Times New Roman"/>
                <w:color w:val="auto"/>
                <w:sz w:val="21"/>
                <w:szCs w:val="21"/>
                <w:highlight w:val="none"/>
              </w:rPr>
              <w:t>实质性变动内容</w:t>
            </w:r>
            <w:r>
              <w:rPr>
                <w:rFonts w:ascii="Calibri" w:hAnsi="Calibri" w:eastAsia="宋体" w:cs="Times New Roman"/>
                <w:color w:val="auto"/>
                <w:sz w:val="21"/>
                <w:szCs w:val="21"/>
                <w:highlight w:val="none"/>
                <w:lang w:val="zh-CN"/>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磋商文件的提供期限</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u w:val="single"/>
              </w:rPr>
            </w:pPr>
            <w:r>
              <w:rPr>
                <w:rFonts w:hint="eastAsia" w:ascii="宋体" w:hAnsi="宋体" w:eastAsia="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15</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日起至 </w:t>
            </w:r>
            <w:r>
              <w:rPr>
                <w:rFonts w:hint="eastAsia" w:ascii="宋体" w:hAnsi="宋体" w:eastAsia="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9</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第二章第11.2款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领取或购买磋商文件时应提供的资料</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xml:space="preserve">个人身份证、法定代表人身份证明（附法人营业执照）或者授权委托书(并附法定代表人身份证明、法人营业执照)。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第二章第12.1款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提交首次响应文件的截止时间</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u w:val="single"/>
              </w:rPr>
              <w:t xml:space="preserve"> 202</w:t>
            </w:r>
            <w:r>
              <w:rPr>
                <w:rFonts w:hint="eastAsia" w:ascii="宋体" w:hAnsi="宋体" w:cs="Times New Roman"/>
                <w:color w:val="auto"/>
                <w:sz w:val="21"/>
                <w:szCs w:val="21"/>
                <w:highlight w:val="none"/>
                <w:u w:val="single"/>
                <w:lang w:val="en-US" w:eastAsia="zh-CN"/>
              </w:rPr>
              <w:t>3</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9</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26</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u w:val="single"/>
              </w:rPr>
              <w:t>1</w:t>
            </w:r>
            <w:r>
              <w:rPr>
                <w:rFonts w:hint="eastAsia" w:ascii="宋体" w:hAnsi="宋体" w:cs="Times New Roman"/>
                <w:color w:val="auto"/>
                <w:sz w:val="21"/>
                <w:szCs w:val="21"/>
                <w:highlight w:val="none"/>
                <w:u w:val="single"/>
                <w:lang w:val="en-US" w:eastAsia="zh-CN"/>
              </w:rPr>
              <w:t>4</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00</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第二章第16.5款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采购项目预算</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cs="Times New Roman"/>
                <w:b/>
                <w:bCs/>
                <w:color w:val="auto"/>
                <w:sz w:val="21"/>
                <w:szCs w:val="21"/>
                <w:highlight w:val="none"/>
                <w:lang w:eastAsia="zh-CN"/>
              </w:rPr>
              <w:t>1872000</w:t>
            </w:r>
            <w:r>
              <w:rPr>
                <w:rFonts w:hint="eastAsia" w:ascii="宋体" w:hAnsi="宋体" w:eastAsia="宋体" w:cs="Times New Roman"/>
                <w:b/>
                <w:bCs/>
                <w:color w:val="auto"/>
                <w:sz w:val="21"/>
                <w:szCs w:val="21"/>
                <w:highlight w:val="none"/>
              </w:rPr>
              <w:t>.00元。本项目最高限价</w:t>
            </w:r>
            <w:r>
              <w:rPr>
                <w:rFonts w:hint="eastAsia" w:ascii="宋体" w:hAnsi="宋体" w:cs="Times New Roman"/>
                <w:b/>
                <w:bCs/>
                <w:color w:val="auto"/>
                <w:sz w:val="21"/>
                <w:szCs w:val="21"/>
                <w:highlight w:val="none"/>
                <w:lang w:eastAsia="zh-CN"/>
              </w:rPr>
              <w:t>1872000</w:t>
            </w:r>
            <w:r>
              <w:rPr>
                <w:rFonts w:hint="eastAsia" w:ascii="宋体" w:hAnsi="宋体" w:eastAsia="宋体" w:cs="Times New Roman"/>
                <w:b/>
                <w:bCs/>
                <w:color w:val="auto"/>
                <w:sz w:val="21"/>
                <w:szCs w:val="21"/>
                <w:highlight w:val="none"/>
              </w:rPr>
              <w:t>.00元</w:t>
            </w:r>
            <w:r>
              <w:rPr>
                <w:rFonts w:hint="eastAsia" w:ascii="宋体" w:hAnsi="宋体" w:cs="Times New Roman"/>
                <w:b/>
                <w:bCs/>
                <w:color w:val="auto"/>
                <w:sz w:val="21"/>
                <w:szCs w:val="21"/>
                <w:highlight w:val="none"/>
                <w:lang w:eastAsia="zh-CN"/>
              </w:rPr>
              <w:t>、单项最高限价</w:t>
            </w:r>
            <w:r>
              <w:rPr>
                <w:rFonts w:hint="eastAsia" w:ascii="宋体" w:hAnsi="宋体" w:cs="Times New Roman"/>
                <w:b/>
                <w:bCs/>
                <w:color w:val="auto"/>
                <w:sz w:val="21"/>
                <w:szCs w:val="21"/>
                <w:highlight w:val="none"/>
                <w:lang w:val="en-US" w:eastAsia="zh-CN"/>
              </w:rPr>
              <w:t>5200元/月/人。</w:t>
            </w:r>
            <w:r>
              <w:rPr>
                <w:rFonts w:hint="eastAsia" w:ascii="宋体" w:hAnsi="宋体" w:eastAsia="宋体" w:cs="Times New Roman"/>
                <w:b w:val="0"/>
                <w:bCs w:val="0"/>
                <w:color w:val="auto"/>
                <w:sz w:val="21"/>
                <w:szCs w:val="21"/>
                <w:highlight w:val="none"/>
                <w:lang w:eastAsia="zh-CN"/>
              </w:rPr>
              <w:t>（</w:t>
            </w:r>
            <w:r>
              <w:rPr>
                <w:rFonts w:hint="eastAsia" w:ascii="宋体" w:hAnsi="宋体" w:eastAsia="宋体" w:cs="Times New Roman"/>
                <w:color w:val="auto"/>
                <w:sz w:val="21"/>
                <w:szCs w:val="21"/>
                <w:highlight w:val="none"/>
              </w:rPr>
              <w:t>投标人投标</w:t>
            </w:r>
            <w:r>
              <w:rPr>
                <w:rFonts w:hint="eastAsia" w:ascii="Calibri" w:hAnsi="Calibri" w:eastAsia="宋体" w:cs="Times New Roman"/>
                <w:color w:val="auto"/>
                <w:sz w:val="21"/>
                <w:szCs w:val="21"/>
                <w:highlight w:val="none"/>
              </w:rPr>
              <w:t>报价不得超过最高限价，也不得超过</w:t>
            </w:r>
            <w:r>
              <w:rPr>
                <w:rFonts w:hint="eastAsia" w:cs="Times New Roman"/>
                <w:color w:val="auto"/>
                <w:sz w:val="21"/>
                <w:szCs w:val="21"/>
                <w:highlight w:val="none"/>
                <w:lang w:eastAsia="zh-CN"/>
              </w:rPr>
              <w:t>单项最高</w:t>
            </w:r>
            <w:r>
              <w:rPr>
                <w:rFonts w:hint="eastAsia" w:ascii="Calibri" w:hAnsi="Calibri" w:eastAsia="宋体" w:cs="Times New Roman"/>
                <w:color w:val="auto"/>
                <w:sz w:val="21"/>
                <w:szCs w:val="21"/>
                <w:highlight w:val="none"/>
              </w:rPr>
              <w:t>限价，否则视为无效响应</w:t>
            </w:r>
            <w:r>
              <w:rPr>
                <w:rFonts w:hint="eastAsia" w:ascii="宋体" w:hAnsi="宋体" w:eastAsia="宋体" w:cs="Times New Roman"/>
                <w:b w:val="0"/>
                <w:bCs w:val="0"/>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8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第二章第17.4款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非制造商的证明文件</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■不要求提供</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sym w:font="Wingdings 2" w:char="00A3"/>
            </w:r>
            <w:r>
              <w:rPr>
                <w:rFonts w:hint="eastAsia" w:ascii="宋体" w:hAnsi="宋体" w:eastAsia="宋体" w:cs="Times New Roman"/>
                <w:color w:val="auto"/>
                <w:sz w:val="21"/>
                <w:szCs w:val="21"/>
                <w:highlight w:val="none"/>
              </w:rPr>
              <w:t>要求提供：（证明文件复印件须加盖供应商单位公章，否则视为无效响应。）</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第二章第17.5款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样品提供及样品提交的时间、地点</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■不要求提供</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宋体"/>
                <w:color w:val="auto"/>
                <w:sz w:val="18"/>
                <w:szCs w:val="18"/>
                <w:highlight w:val="none"/>
              </w:rPr>
              <w:t xml:space="preserve">□ </w:t>
            </w:r>
            <w:r>
              <w:rPr>
                <w:rFonts w:hint="eastAsia" w:ascii="宋体" w:hAnsi="宋体" w:eastAsia="宋体" w:cs="Times New Roman"/>
                <w:color w:val="auto"/>
                <w:sz w:val="21"/>
                <w:szCs w:val="21"/>
                <w:highlight w:val="none"/>
              </w:rPr>
              <w:t>要求提供，提交的样品：</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、提交的时间：</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、地点：</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01"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第二章第18.1款</w:t>
            </w:r>
          </w:p>
        </w:tc>
        <w:tc>
          <w:tcPr>
            <w:tcW w:w="178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磋商</w:t>
            </w:r>
            <w:r>
              <w:rPr>
                <w:rFonts w:hint="eastAsia" w:ascii="宋体" w:hAnsi="宋体" w:eastAsia="宋体" w:cs="Times New Roman"/>
                <w:color w:val="auto"/>
                <w:sz w:val="21"/>
                <w:szCs w:val="21"/>
                <w:highlight w:val="none"/>
              </w:rPr>
              <w:t>保证金</w:t>
            </w:r>
          </w:p>
        </w:tc>
        <w:tc>
          <w:tcPr>
            <w:tcW w:w="5677" w:type="dxa"/>
            <w:gridSpan w:val="2"/>
            <w:noWrap w:val="0"/>
            <w:vAlign w:val="center"/>
          </w:tcPr>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不要求提供</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要求提供</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1、保证金数额：/ 元(人民币)</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2、缴纳方式：磋商保证金形式：以支票、汇票、本票等形式缴入如下账户，投标截止时间前查询已经到账，视为已缴纳。</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xml:space="preserve">账户名：中采联合招标有限公司政府采购保证金专户 </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开户行： 长沙银行浏阳河支行</w:t>
            </w:r>
          </w:p>
          <w:p>
            <w:pPr>
              <w:widowControl/>
              <w:adjustRightInd w:val="0"/>
              <w:snapToGrid w:val="0"/>
              <w:spacing w:line="360" w:lineRule="auto"/>
              <w:rPr>
                <w:rFonts w:hint="eastAsia" w:ascii="宋体" w:hAnsi="宋体" w:eastAsia="宋体" w:cs="Times New Roman"/>
                <w:color w:val="auto"/>
                <w:sz w:val="21"/>
                <w:szCs w:val="21"/>
                <w:highlight w:val="none"/>
              </w:rPr>
            </w:pPr>
            <w:r>
              <w:rPr>
                <w:rFonts w:hint="eastAsia" w:ascii="Times New Roman" w:hAnsi="Times New Roman" w:eastAsia="宋体"/>
                <w:color w:val="auto"/>
                <w:sz w:val="21"/>
                <w:highlight w:val="none"/>
              </w:rPr>
              <w:t>账  号： 800193532908010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第二章第19.1款</w:t>
            </w:r>
          </w:p>
        </w:tc>
        <w:tc>
          <w:tcPr>
            <w:tcW w:w="1788" w:type="dxa"/>
            <w:noWrap w:val="0"/>
            <w:vAlign w:val="center"/>
          </w:tcPr>
          <w:p>
            <w:pPr>
              <w:adjustRightInd w:val="0"/>
              <w:snapToGrid w:val="0"/>
              <w:rPr>
                <w:rFonts w:hint="eastAsia" w:ascii="宋体" w:hAnsi="宋体" w:eastAsia="宋体" w:cs="Times New Roman"/>
                <w:bCs/>
                <w:color w:val="auto"/>
                <w:sz w:val="21"/>
                <w:szCs w:val="21"/>
                <w:highlight w:val="none"/>
              </w:rPr>
            </w:pPr>
            <w:r>
              <w:rPr>
                <w:rFonts w:hint="eastAsia" w:ascii="宋体" w:hAnsi="宋体" w:eastAsia="宋体" w:cs="Times New Roman"/>
                <w:bCs/>
                <w:color w:val="auto"/>
                <w:sz w:val="21"/>
                <w:szCs w:val="21"/>
                <w:highlight w:val="none"/>
              </w:rPr>
              <w:t>响应文件有效期</w:t>
            </w:r>
          </w:p>
        </w:tc>
        <w:tc>
          <w:tcPr>
            <w:tcW w:w="5677" w:type="dxa"/>
            <w:gridSpan w:val="2"/>
            <w:noWrap w:val="0"/>
            <w:vAlign w:val="center"/>
          </w:tcPr>
          <w:p>
            <w:pPr>
              <w:adjustRightInd w:val="0"/>
              <w:snapToGrid w:val="0"/>
              <w:rPr>
                <w:rFonts w:hint="eastAsia" w:ascii="宋体" w:hAnsi="宋体" w:eastAsia="宋体" w:cs="Times New Roman"/>
                <w:bCs/>
                <w:color w:val="auto"/>
                <w:sz w:val="21"/>
                <w:szCs w:val="21"/>
                <w:highlight w:val="none"/>
              </w:rPr>
            </w:pPr>
            <w:r>
              <w:rPr>
                <w:rFonts w:hint="eastAsia" w:ascii="宋体" w:hAnsi="宋体" w:eastAsia="宋体" w:cs="Times New Roman"/>
                <w:color w:val="auto"/>
                <w:sz w:val="21"/>
                <w:szCs w:val="21"/>
                <w:highlight w:val="none"/>
                <w:u w:val="single"/>
              </w:rPr>
              <w:t xml:space="preserve">  90  </w:t>
            </w:r>
            <w:r>
              <w:rPr>
                <w:rFonts w:hint="eastAsia" w:ascii="宋体" w:hAnsi="宋体" w:eastAsia="宋体" w:cs="Times New Roman"/>
                <w:color w:val="auto"/>
                <w:sz w:val="21"/>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第二章第20.1款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Cs/>
                <w:color w:val="auto"/>
                <w:sz w:val="21"/>
                <w:szCs w:val="21"/>
                <w:highlight w:val="none"/>
              </w:rPr>
              <w:t>响应</w:t>
            </w:r>
            <w:r>
              <w:rPr>
                <w:rFonts w:hint="eastAsia" w:ascii="宋体" w:hAnsi="宋体" w:eastAsia="宋体" w:cs="Times New Roman"/>
                <w:color w:val="auto"/>
                <w:sz w:val="21"/>
                <w:szCs w:val="21"/>
                <w:highlight w:val="none"/>
              </w:rPr>
              <w:t>文件份数</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正本一份，副本两份，电子文件（U盘）一份</w:t>
            </w:r>
            <w:r>
              <w:rPr>
                <w:rFonts w:hint="eastAsia" w:ascii="Calibri" w:hAnsi="宋体"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9123" w:type="dxa"/>
            <w:gridSpan w:val="4"/>
            <w:noWrap w:val="0"/>
            <w:vAlign w:val="center"/>
          </w:tcPr>
          <w:p>
            <w:pPr>
              <w:adjustRightInd w:val="0"/>
              <w:snapToGrid w:val="0"/>
              <w:rPr>
                <w:rFonts w:hint="eastAsia" w:ascii="宋体" w:hAnsi="宋体" w:eastAsia="宋体" w:cs="Times New Roman"/>
                <w:b/>
                <w:bCs/>
                <w:color w:val="auto"/>
                <w:sz w:val="21"/>
                <w:szCs w:val="21"/>
                <w:highlight w:val="none"/>
              </w:rPr>
            </w:pPr>
            <w:r>
              <w:rPr>
                <w:rFonts w:hint="eastAsia" w:ascii="宋体" w:hAnsi="宋体" w:eastAsia="宋体" w:cs="Times New Roman"/>
                <w:b/>
                <w:color w:val="auto"/>
                <w:sz w:val="21"/>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第二章第21.2款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封套上应载明的信息</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项目名称) 响应文件  </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采购代理机构编号：</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供应商名称：</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在</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第二章第23.1款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响应文件的递交地点</w:t>
            </w:r>
          </w:p>
        </w:tc>
        <w:tc>
          <w:tcPr>
            <w:tcW w:w="5677" w:type="dxa"/>
            <w:gridSpan w:val="2"/>
            <w:noWrap w:val="0"/>
            <w:vAlign w:val="center"/>
          </w:tcPr>
          <w:p>
            <w:pPr>
              <w:adjustRightInd w:val="0"/>
              <w:snapToGrid w:val="0"/>
              <w:rPr>
                <w:rFonts w:hint="eastAsia" w:ascii="宋体" w:hAnsi="宋体" w:eastAsia="宋体" w:cs="Times New Roman"/>
                <w:b/>
                <w:bCs/>
                <w:color w:val="auto"/>
                <w:sz w:val="21"/>
                <w:szCs w:val="21"/>
                <w:highlight w:val="none"/>
              </w:rPr>
            </w:pPr>
            <w:r>
              <w:rPr>
                <w:rFonts w:hint="eastAsia" w:ascii="宋体" w:hAnsi="宋体" w:eastAsia="宋体" w:cs="Times New Roman"/>
                <w:color w:val="auto"/>
                <w:sz w:val="21"/>
                <w:szCs w:val="21"/>
                <w:highlight w:val="none"/>
              </w:rPr>
              <w:t>中采联合招标有限公司开标室（详细地址：长沙市开福区芙蓉中路一段88号天健金壹平英里H栋24楼）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宋体"/>
                <w:b/>
                <w:bCs/>
                <w:color w:val="auto"/>
                <w:sz w:val="21"/>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第二章第31.2款</w:t>
            </w:r>
          </w:p>
        </w:tc>
        <w:tc>
          <w:tcPr>
            <w:tcW w:w="178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评审因素和标准</w:t>
            </w:r>
          </w:p>
        </w:tc>
        <w:tc>
          <w:tcPr>
            <w:tcW w:w="5677" w:type="dxa"/>
            <w:gridSpan w:val="2"/>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见附页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第二章第31.3款</w:t>
            </w:r>
          </w:p>
        </w:tc>
        <w:tc>
          <w:tcPr>
            <w:tcW w:w="1788"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技术、商务、价格</w:t>
            </w:r>
            <w:r>
              <w:rPr>
                <w:rFonts w:hint="eastAsia" w:ascii="宋体" w:hAnsi="宋体" w:eastAsia="宋体" w:cs="宋体"/>
                <w:color w:val="auto"/>
                <w:kern w:val="0"/>
                <w:sz w:val="21"/>
                <w:szCs w:val="21"/>
                <w:highlight w:val="none"/>
              </w:rPr>
              <w:t>得分或总得分</w:t>
            </w:r>
            <w:r>
              <w:rPr>
                <w:rFonts w:hint="eastAsia" w:ascii="宋体" w:hAnsi="宋体" w:eastAsia="宋体" w:cs="宋体"/>
                <w:color w:val="auto"/>
                <w:sz w:val="21"/>
                <w:szCs w:val="21"/>
                <w:highlight w:val="none"/>
              </w:rPr>
              <w:t>调整</w:t>
            </w:r>
          </w:p>
        </w:tc>
        <w:tc>
          <w:tcPr>
            <w:tcW w:w="5677" w:type="dxa"/>
            <w:gridSpan w:val="2"/>
            <w:noWrap w:val="0"/>
            <w:vAlign w:val="center"/>
          </w:tcPr>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符合第二章第9.1款规定，按第二章第31.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款规定及本款分值调整：</w:t>
            </w:r>
          </w:p>
          <w:p>
            <w:pPr>
              <w:numPr>
                <w:ilvl w:val="0"/>
                <w:numId w:val="1"/>
              </w:num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 加分比例（比例见前附表第38.1项,下同）×（节能产品最后报价÷最后总报价）；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价格加分＝价格分值×加分比例×（节能产品最后</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报价÷最后总报价）。</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2、环境标志产品：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 加分比例×（环境标志产品最后报价÷最后总报价）；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价格加分＝价格分值×加分比例×（环境标志产品</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最后报价÷最后总报价）。</w:t>
            </w:r>
          </w:p>
          <w:p>
            <w:pPr>
              <w:adjustRightInd w:val="0"/>
              <w:snapToGrid w:val="0"/>
              <w:spacing w:line="240" w:lineRule="atLeast"/>
              <w:ind w:left="21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3、两型产品：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商务加分＝商务分值×加分比例×（两型产品最后报价÷最后总报价）；</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技术加分＝技术分值×加分比例×（两型产品最后报价÷最后总报价）；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价格加分＝价格分值×加分比例×（两型产品最后</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款</w:t>
            </w:r>
          </w:p>
        </w:tc>
        <w:tc>
          <w:tcPr>
            <w:tcW w:w="1788" w:type="dxa"/>
            <w:noWrap w:val="0"/>
            <w:vAlign w:val="center"/>
          </w:tcPr>
          <w:p>
            <w:pPr>
              <w:adjustRightInd w:val="0"/>
              <w:snapToGrid w:val="0"/>
              <w:spacing w:before="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多处或部分获得政府采购政策优惠的计算方法</w:t>
            </w:r>
          </w:p>
        </w:tc>
        <w:tc>
          <w:tcPr>
            <w:tcW w:w="5677" w:type="dxa"/>
            <w:gridSpan w:val="2"/>
            <w:noWrap w:val="0"/>
            <w:vAlign w:val="center"/>
          </w:tcPr>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1、符合政府采购优先采购政策的，产品只能享受节能产品、环境标志产品、两型产品等产品优惠中的一项(由供应商在响应文件中选择并填报政策功能编码，评审时进行加分) 。</w:t>
            </w:r>
          </w:p>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2、供应商享受支持中小企业发展政策优惠的，可以与同时享受节能产品、环境标志产品、两型产品等产品优惠中的一项累加。</w:t>
            </w:r>
          </w:p>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第二章第37.1款、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财政部门指定的媒体</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长沙政府采购网</w:t>
            </w:r>
            <w:r>
              <w:rPr>
                <w:rFonts w:ascii="宋体" w:hAnsi="宋体" w:eastAsia="宋体" w:cs="宋体"/>
                <w:color w:val="auto"/>
                <w:sz w:val="21"/>
                <w:szCs w:val="21"/>
                <w:highlight w:val="none"/>
              </w:rPr>
              <w:fldChar w:fldCharType="begin"/>
            </w:r>
            <w:r>
              <w:rPr>
                <w:rFonts w:ascii="宋体" w:hAnsi="宋体" w:eastAsia="宋体" w:cs="宋体"/>
                <w:color w:val="auto"/>
                <w:sz w:val="21"/>
                <w:szCs w:val="21"/>
                <w:highlight w:val="none"/>
              </w:rPr>
              <w:instrText xml:space="preserve"> HYPERLINK "http://changs.ccgp-hunan.gov.cn" </w:instrText>
            </w:r>
            <w:r>
              <w:rPr>
                <w:rFonts w:ascii="宋体" w:hAnsi="宋体" w:eastAsia="宋体" w:cs="宋体"/>
                <w:color w:val="auto"/>
                <w:sz w:val="21"/>
                <w:szCs w:val="21"/>
                <w:highlight w:val="none"/>
              </w:rPr>
              <w:fldChar w:fldCharType="separate"/>
            </w:r>
            <w:r>
              <w:rPr>
                <w:rStyle w:val="50"/>
                <w:rFonts w:ascii="宋体" w:hAnsi="宋体" w:cs="宋体"/>
                <w:color w:val="auto"/>
                <w:sz w:val="21"/>
                <w:szCs w:val="21"/>
                <w:highlight w:val="none"/>
              </w:rPr>
              <w:t>http://changs.ccgp-hunan.gov.cn</w:t>
            </w:r>
            <w:r>
              <w:rPr>
                <w:rFonts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、湖南智谷投资发展集团有限公司官方网站www.hnzhigu.cn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第二章第39.3款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履约担保</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不要求提供</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要求提供，履约担保的金额为：</w:t>
            </w:r>
            <w:r>
              <w:rPr>
                <w:rFonts w:hint="eastAsia" w:ascii="宋体" w:hAnsi="宋体" w:eastAsia="宋体" w:cs="Times New Roman"/>
                <w:color w:val="auto"/>
                <w:sz w:val="21"/>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123" w:type="dxa"/>
            <w:gridSpan w:val="4"/>
            <w:noWrap w:val="0"/>
            <w:vAlign w:val="center"/>
          </w:tcPr>
          <w:p>
            <w:pPr>
              <w:adjustRightInd w:val="0"/>
              <w:snapToGrid w:val="0"/>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第二章第41.1款</w:t>
            </w:r>
          </w:p>
        </w:tc>
        <w:tc>
          <w:tcPr>
            <w:tcW w:w="1800"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采购代理服务费</w:t>
            </w:r>
          </w:p>
        </w:tc>
        <w:tc>
          <w:tcPr>
            <w:tcW w:w="5665" w:type="dxa"/>
            <w:noWrap w:val="0"/>
            <w:vAlign w:val="center"/>
          </w:tcPr>
          <w:p>
            <w:pPr>
              <w:adjustRightInd w:val="0"/>
              <w:snapToGrid w:val="0"/>
              <w:rPr>
                <w:rFonts w:hint="eastAsia" w:ascii="宋体" w:hAnsi="宋体" w:cs="Times New Roman"/>
                <w:color w:val="auto"/>
                <w:sz w:val="21"/>
                <w:szCs w:val="21"/>
                <w:highlight w:val="none"/>
                <w:lang w:eastAsia="zh-CN"/>
              </w:rPr>
            </w:pPr>
            <w:r>
              <w:rPr>
                <w:rFonts w:hint="eastAsia" w:ascii="宋体" w:hAnsi="宋体" w:cs="Times New Roman"/>
                <w:color w:val="auto"/>
                <w:sz w:val="21"/>
                <w:szCs w:val="21"/>
                <w:highlight w:val="none"/>
                <w:lang w:val="en-US" w:eastAsia="zh-CN"/>
              </w:rPr>
              <w:t>代理机构</w:t>
            </w:r>
            <w:r>
              <w:rPr>
                <w:rFonts w:hint="eastAsia" w:ascii="宋体" w:hAnsi="宋体" w:cs="Times New Roman"/>
                <w:color w:val="auto"/>
                <w:sz w:val="21"/>
                <w:szCs w:val="21"/>
                <w:highlight w:val="none"/>
                <w:lang w:eastAsia="zh-CN"/>
              </w:rPr>
              <w:t>参照《国家计委关于印发【招标代理服务收费管理暂行办法】的通知》（计价格【</w:t>
            </w:r>
            <w:r>
              <w:rPr>
                <w:rFonts w:hint="eastAsia" w:ascii="宋体" w:hAnsi="宋体" w:cs="Times New Roman"/>
                <w:color w:val="auto"/>
                <w:sz w:val="21"/>
                <w:szCs w:val="21"/>
                <w:highlight w:val="none"/>
                <w:lang w:val="en-US" w:eastAsia="zh-CN"/>
              </w:rPr>
              <w:t>2002</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1980号</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eastAsia="zh-CN"/>
              </w:rPr>
              <w:t>的规定</w:t>
            </w:r>
            <w:r>
              <w:rPr>
                <w:rFonts w:hint="eastAsia" w:ascii="宋体" w:hAnsi="宋体" w:cs="Times New Roman"/>
                <w:color w:val="auto"/>
                <w:sz w:val="21"/>
                <w:szCs w:val="21"/>
                <w:highlight w:val="none"/>
                <w:lang w:val="en-US" w:eastAsia="zh-CN"/>
              </w:rPr>
              <w:t>向中标（成交）人</w:t>
            </w:r>
            <w:r>
              <w:rPr>
                <w:rFonts w:hint="eastAsia" w:ascii="宋体" w:hAnsi="宋体" w:cs="Times New Roman"/>
                <w:color w:val="auto"/>
                <w:sz w:val="21"/>
                <w:szCs w:val="21"/>
                <w:highlight w:val="none"/>
                <w:lang w:eastAsia="zh-CN"/>
              </w:rPr>
              <w:t>收取代理服务费。</w:t>
            </w:r>
          </w:p>
          <w:p>
            <w:pPr>
              <w:adjustRightInd w:val="0"/>
              <w:snapToGrid w:val="0"/>
              <w:spacing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采购代理服务费汇至: 中采联合招标有限公司</w:t>
            </w:r>
          </w:p>
          <w:p>
            <w:pPr>
              <w:adjustRightInd w:val="0"/>
              <w:snapToGrid w:val="0"/>
              <w:spacing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开 户 行：长沙银行浏阳河支行 </w:t>
            </w:r>
          </w:p>
          <w:p>
            <w:pPr>
              <w:adjustRightInd w:val="0"/>
              <w:snapToGrid w:val="0"/>
              <w:spacing w:line="360" w:lineRule="auto"/>
              <w:rPr>
                <w:rFonts w:hint="eastAsia"/>
                <w:color w:val="auto"/>
                <w:lang w:val="en-US" w:eastAsia="zh-CN"/>
              </w:rPr>
            </w:pPr>
            <w:r>
              <w:rPr>
                <w:rFonts w:hint="eastAsia" w:ascii="宋体" w:hAnsi="宋体" w:eastAsia="宋体"/>
                <w:color w:val="auto"/>
                <w:sz w:val="21"/>
                <w:szCs w:val="21"/>
                <w:highlight w:val="none"/>
              </w:rPr>
              <w:t>银行账号：800193308308012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第二章第42.1款</w:t>
            </w:r>
          </w:p>
        </w:tc>
        <w:tc>
          <w:tcPr>
            <w:tcW w:w="1800" w:type="dxa"/>
            <w:gridSpan w:val="2"/>
            <w:noWrap w:val="0"/>
            <w:vAlign w:val="center"/>
          </w:tcPr>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其它规定</w:t>
            </w:r>
          </w:p>
        </w:tc>
        <w:tc>
          <w:tcPr>
            <w:tcW w:w="5665" w:type="dxa"/>
            <w:noWrap w:val="0"/>
            <w:vAlign w:val="center"/>
          </w:tcPr>
          <w:p>
            <w:pPr>
              <w:adjustRightInd w:val="0"/>
              <w:snapToGrid w:val="0"/>
              <w:spacing w:before="156" w:beforeLines="5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根据《关于修改招标采购文件范本及明确事项的通知（三）》长采管[2016]12号要求，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before="156" w:beforeLines="5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1、信用信息查询的查询渠道：“信用中国”网站（www.creditchina.gov.cn）、中国政府采购网（www.ccgp.gov.cn）。</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2、信用信息查询的截止时点：至本项目投标截止时间止。</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3、信用信息查询记录的具体方式：由采购人或采购代理机构在规定的查询渠道进行查询。</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4、信用信息查询记录证据留存的具体方式：查询记录的网上打印件。</w:t>
            </w:r>
          </w:p>
          <w:p>
            <w:pPr>
              <w:adjustRightInd w:val="0"/>
              <w:snapToGrid w:val="0"/>
              <w:spacing w:before="156" w:beforeLines="50" w:line="340" w:lineRule="exact"/>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5、信用信息的使用规则：信用信息查询后交由评标委员会评定。留存备查。</w:t>
            </w:r>
          </w:p>
        </w:tc>
      </w:tr>
    </w:tbl>
    <w:p>
      <w:pPr>
        <w:adjustRightInd w:val="0"/>
        <w:snapToGrid w:val="0"/>
        <w:spacing w:line="360" w:lineRule="auto"/>
        <w:rPr>
          <w:rFonts w:hint="eastAsia" w:ascii="宋体" w:hAnsi="宋体"/>
          <w:b/>
          <w:bCs/>
          <w:color w:val="auto"/>
          <w:sz w:val="21"/>
          <w:szCs w:val="21"/>
          <w:highlight w:val="none"/>
        </w:rPr>
      </w:pPr>
    </w:p>
    <w:p>
      <w:pPr>
        <w:rPr>
          <w:rFonts w:hint="eastAsia" w:ascii="宋体" w:hAnsi="宋体"/>
          <w:b/>
          <w:bCs/>
          <w:color w:val="auto"/>
          <w:sz w:val="21"/>
          <w:szCs w:val="21"/>
          <w:highlight w:val="none"/>
        </w:rPr>
      </w:pPr>
      <w:r>
        <w:rPr>
          <w:rFonts w:hint="eastAsia" w:ascii="宋体" w:hAnsi="宋体"/>
          <w:b/>
          <w:bCs/>
          <w:color w:val="auto"/>
          <w:sz w:val="21"/>
          <w:szCs w:val="21"/>
          <w:highlight w:val="none"/>
        </w:rPr>
        <w:br w:type="page"/>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附页1</w:t>
      </w:r>
    </w:p>
    <w:p>
      <w:pPr>
        <w:adjustRightInd w:val="0"/>
        <w:snapToGrid w:val="0"/>
        <w:spacing w:line="360" w:lineRule="auto"/>
        <w:jc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rPr>
        <w:t>湖南省政府采购支持中小企业融资合作银行及联系人名单</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53"/>
        <w:gridCol w:w="1141"/>
        <w:gridCol w:w="3233"/>
        <w:gridCol w:w="24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285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银行名称</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联系人</w:t>
            </w:r>
          </w:p>
        </w:tc>
        <w:tc>
          <w:tcPr>
            <w:tcW w:w="323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职 务</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刘  波</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名城支行客户经理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肖勇光</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分行高级经理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黄飞燕</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营业部总经理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蒋寒奇</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营业部中小企业客户经理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刘栅延</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支行行长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蒋修远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中国光大银行长沙分行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邓永胜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岳麓支行副行长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蔡学军</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公司银行部负责人</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宋学农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银行部综合管理部副总经理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0731-845822141</w:t>
            </w:r>
          </w:p>
        </w:tc>
      </w:tr>
    </w:tbl>
    <w:p>
      <w:pPr>
        <w:adjustRightInd w:val="0"/>
        <w:snapToGrid w:val="0"/>
        <w:spacing w:line="360" w:lineRule="auto"/>
        <w:rPr>
          <w:rFonts w:hint="eastAsia" w:ascii="宋体" w:hAnsi="宋体"/>
          <w:b/>
          <w:bCs/>
          <w:color w:val="auto"/>
          <w:sz w:val="21"/>
          <w:szCs w:val="21"/>
          <w:highlight w:val="none"/>
        </w:rPr>
      </w:pP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附页2</w:t>
      </w:r>
    </w:p>
    <w:p>
      <w:pPr>
        <w:adjustRightInd w:val="0"/>
        <w:snapToGrid w:val="0"/>
        <w:spacing w:line="360" w:lineRule="auto"/>
        <w:jc w:val="center"/>
        <w:rPr>
          <w:rFonts w:hint="eastAsia" w:ascii="宋体" w:hAnsi="宋体"/>
          <w:b/>
          <w:bCs/>
          <w:color w:val="auto"/>
          <w:sz w:val="21"/>
          <w:szCs w:val="21"/>
          <w:highlight w:val="none"/>
        </w:rPr>
      </w:pPr>
      <w:r>
        <w:rPr>
          <w:rFonts w:hint="eastAsia" w:ascii="宋体" w:hAnsi="宋体" w:cs="宋体"/>
          <w:b/>
          <w:bCs/>
          <w:color w:val="auto"/>
          <w:kern w:val="0"/>
          <w:sz w:val="21"/>
          <w:szCs w:val="21"/>
          <w:highlight w:val="none"/>
        </w:rPr>
        <w:t>湖南省政府采购信用担保试点工作的</w:t>
      </w:r>
      <w:r>
        <w:rPr>
          <w:rFonts w:hint="eastAsia" w:ascii="宋体" w:hAnsi="宋体"/>
          <w:b/>
          <w:color w:val="auto"/>
          <w:sz w:val="21"/>
          <w:szCs w:val="21"/>
          <w:highlight w:val="none"/>
        </w:rPr>
        <w:t>信用担保机构名单</w:t>
      </w: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432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信用担保机构</w:t>
            </w:r>
          </w:p>
        </w:tc>
        <w:tc>
          <w:tcPr>
            <w:tcW w:w="108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联系人</w:t>
            </w:r>
          </w:p>
        </w:tc>
        <w:tc>
          <w:tcPr>
            <w:tcW w:w="378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432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中国投资担保公司</w:t>
            </w:r>
          </w:p>
        </w:tc>
        <w:tc>
          <w:tcPr>
            <w:tcW w:w="1080" w:type="dxa"/>
            <w:noWrap w:val="0"/>
            <w:vAlign w:val="center"/>
          </w:tcPr>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何  嘉</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32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湖南省中小企业信用担保有限责任公司</w:t>
            </w:r>
          </w:p>
        </w:tc>
        <w:tc>
          <w:tcPr>
            <w:tcW w:w="1080" w:type="dxa"/>
            <w:noWrap w:val="0"/>
            <w:vAlign w:val="center"/>
          </w:tcPr>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蔡建雄</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8" w:hRule="atLeast"/>
        </w:trPr>
        <w:tc>
          <w:tcPr>
            <w:tcW w:w="4320" w:type="dxa"/>
            <w:noWrap w:val="0"/>
            <w:vAlign w:val="center"/>
          </w:tcPr>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Times New Roman"/>
                <w:color w:val="auto"/>
                <w:sz w:val="21"/>
                <w:szCs w:val="21"/>
                <w:highlight w:val="none"/>
              </w:rPr>
              <w:t>湖南农业信用担保有限公司</w:t>
            </w:r>
          </w:p>
        </w:tc>
        <w:tc>
          <w:tcPr>
            <w:tcW w:w="1080" w:type="dxa"/>
            <w:noWrap w:val="0"/>
            <w:vAlign w:val="center"/>
          </w:tcPr>
          <w:p>
            <w:pPr>
              <w:adjustRightInd w:val="0"/>
              <w:snapToGrid w:val="0"/>
              <w:spacing w:line="360"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彭  球</w:t>
            </w:r>
          </w:p>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邓霞英</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0731-89761702/13875980906 0731-89761706/13574125851</w:t>
            </w:r>
          </w:p>
        </w:tc>
      </w:tr>
    </w:tbl>
    <w:p>
      <w:pPr>
        <w:adjustRightInd w:val="0"/>
        <w:snapToGrid w:val="0"/>
        <w:spacing w:line="360" w:lineRule="auto"/>
        <w:rPr>
          <w:rFonts w:ascii="宋体" w:hAnsi="宋体"/>
          <w:b/>
          <w:color w:val="auto"/>
          <w:sz w:val="21"/>
          <w:szCs w:val="21"/>
          <w:highlight w:val="none"/>
        </w:rPr>
        <w:sectPr>
          <w:footerReference r:id="rId11" w:type="default"/>
          <w:pgSz w:w="11906" w:h="16838"/>
          <w:pgMar w:top="1474" w:right="1418" w:bottom="1418" w:left="1474" w:header="992" w:footer="992" w:gutter="0"/>
          <w:pgNumType w:fmt="decimal"/>
          <w:cols w:space="720" w:num="1"/>
          <w:docGrid w:type="lines" w:linePitch="312" w:charSpace="0"/>
        </w:sectPr>
      </w:pP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附页3</w:t>
      </w:r>
    </w:p>
    <w:p>
      <w:pPr>
        <w:adjustRightInd w:val="0"/>
        <w:snapToGrid w:val="0"/>
        <w:spacing w:line="360" w:lineRule="auto"/>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履约担保函</w:t>
      </w:r>
    </w:p>
    <w:p>
      <w:pPr>
        <w:adjustRightInd w:val="0"/>
        <w:snapToGrid w:val="0"/>
        <w:spacing w:line="360" w:lineRule="auto"/>
        <w:rPr>
          <w:rFonts w:hint="eastAsia" w:ascii="宋体" w:hAnsi="宋体" w:cs="宋体"/>
          <w:color w:val="auto"/>
          <w:kern w:val="0"/>
          <w:sz w:val="21"/>
          <w:szCs w:val="21"/>
          <w:highlight w:val="none"/>
        </w:rPr>
      </w:pPr>
    </w:p>
    <w:p>
      <w:pPr>
        <w:adjustRightInd w:val="0"/>
        <w:snapToGrid w:val="0"/>
        <w:spacing w:line="360" w:lineRule="auto"/>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编号：</w:t>
      </w:r>
      <w:r>
        <w:rPr>
          <w:rFonts w:hint="eastAsia" w:ascii="宋体" w:hAnsi="宋体" w:cs="宋体"/>
          <w:color w:val="auto"/>
          <w:kern w:val="0"/>
          <w:sz w:val="21"/>
          <w:szCs w:val="21"/>
          <w:highlight w:val="none"/>
          <w:u w:val="single"/>
        </w:rPr>
        <w:t xml:space="preserve">              </w:t>
      </w:r>
    </w:p>
    <w:p>
      <w:pPr>
        <w:adjustRightInd w:val="0"/>
        <w:snapToGrid w:val="0"/>
        <w:spacing w:line="360" w:lineRule="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（采购人）：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鉴于你方与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（以下简称供应商）于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日签定编号为</w:t>
      </w:r>
      <w:r>
        <w:rPr>
          <w:rFonts w:hint="eastAsia" w:ascii="宋体" w:hAnsi="宋体" w:cs="宋体"/>
          <w:color w:val="auto"/>
          <w:kern w:val="0"/>
          <w:sz w:val="21"/>
          <w:szCs w:val="21"/>
          <w:highlight w:val="none"/>
          <w:u w:val="single"/>
        </w:rPr>
        <w:t xml:space="preserve">           2</w:t>
      </w:r>
      <w:r>
        <w:rPr>
          <w:rFonts w:hint="eastAsia" w:ascii="宋体" w:hAnsi="宋体" w:cs="宋体"/>
          <w:color w:val="auto"/>
          <w:kern w:val="0"/>
          <w:sz w:val="21"/>
          <w:szCs w:val="21"/>
          <w:highlight w:val="none"/>
        </w:rPr>
        <w:t>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采购合同》（以下简称主合同），且依据该合同的约定，供应商应在</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一、保证责任的情形及保证金额</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（一）在供应商出现下列情形之一时，我方承担保证责任：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1．将中标项目转让给他人，或者在投标文件中未说明，且未经采购人同意，将中标项目分包给他人的；</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2．主合同约定的应当缴纳履约保证金的情形: </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 xml:space="preserve">（1）未按主合同约定的质量、数量和期限供应货物/提供服务/完成工程的； </w:t>
      </w:r>
    </w:p>
    <w:p>
      <w:pPr>
        <w:adjustRightInd w:val="0"/>
        <w:snapToGrid w:val="0"/>
        <w:spacing w:line="360" w:lineRule="auto"/>
        <w:ind w:firstLine="420" w:firstLineChars="200"/>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（二）我方的保证范围是主合同约定的合同价款总额的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%数额为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元（大写</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），币种为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。（即主合同履约保证金金额）</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 xml:space="preserve">二、保证的方式及保证期间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我方保证的方式为：连带责任保证。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我方保证的期间为：自本合同生效之日起至供应商按照主合同约定的供货/完工期限届满后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日内。</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三、承担保证责任的程序</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如果你方与供应商因货物质量问题产生争议，你方还需同时提供</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2．我方收到你方的书面索赔通知及相应证明材料，在</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工作日内进行核定后按照本保函的承诺承担保证责任。</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四、保证责任的终止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3．按照法律法规的规定或出现应终止我方保证责任的其它情形的，我方在本保函项下的保证责任亦终止。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五、免责条款</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1．因你方违反主合同约定致使供应商不能履行义务的，我方不承担保证责任。</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3．因不可抗力造成供应商不能履行供货义务的，我方不承担保证责任。</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六、争议的解决</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因本保函发生的纠纷，由你我双方协商解决，协商不成的，通过诉讼程序解决，诉讼管辖地法院为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法院。</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 xml:space="preserve">七、保函的生效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本保函自我方加盖公章之日起生效。 </w:t>
      </w:r>
    </w:p>
    <w:p>
      <w:pPr>
        <w:tabs>
          <w:tab w:val="left" w:pos="2850"/>
        </w:tabs>
        <w:adjustRightInd w:val="0"/>
        <w:snapToGrid w:val="0"/>
        <w:spacing w:line="360" w:lineRule="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ascii="宋体" w:hAnsi="宋体" w:cs="宋体"/>
          <w:color w:val="auto"/>
          <w:kern w:val="0"/>
          <w:sz w:val="21"/>
          <w:szCs w:val="21"/>
          <w:highlight w:val="none"/>
        </w:rPr>
        <w:tab/>
      </w:r>
      <w:r>
        <w:rPr>
          <w:rFonts w:hint="eastAsia" w:ascii="宋体" w:hAnsi="宋体" w:cs="宋体"/>
          <w:color w:val="auto"/>
          <w:kern w:val="0"/>
          <w:sz w:val="21"/>
          <w:szCs w:val="21"/>
          <w:highlight w:val="none"/>
        </w:rPr>
        <w:t xml:space="preserve">          保证人：（公章） </w:t>
      </w:r>
    </w:p>
    <w:p>
      <w:pPr>
        <w:adjustRightInd w:val="0"/>
        <w:snapToGrid w:val="0"/>
        <w:spacing w:line="360" w:lineRule="auto"/>
        <w:rPr>
          <w:rFonts w:ascii="宋体" w:hAnsi="宋体" w:cs="宋体"/>
          <w:color w:val="auto"/>
          <w:kern w:val="0"/>
          <w:sz w:val="21"/>
          <w:szCs w:val="21"/>
          <w:highlight w:val="none"/>
        </w:rPr>
        <w:sectPr>
          <w:pgSz w:w="11906" w:h="16838"/>
          <w:pgMar w:top="1440" w:right="1531" w:bottom="1440" w:left="1531" w:header="992" w:footer="992" w:gutter="0"/>
          <w:pgNumType w:fmt="decimal"/>
          <w:cols w:space="720" w:num="1"/>
          <w:docGrid w:type="lines" w:linePitch="312" w:charSpace="0"/>
        </w:sectPr>
      </w:pP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日</w:t>
      </w:r>
    </w:p>
    <w:p>
      <w:pPr>
        <w:pStyle w:val="4"/>
        <w:jc w:val="both"/>
        <w:rPr>
          <w:rFonts w:hint="eastAsia" w:ascii="宋体" w:hAnsi="宋体" w:cs="宋体"/>
          <w:b w:val="0"/>
          <w:bCs w:val="0"/>
          <w:color w:val="auto"/>
          <w:sz w:val="21"/>
          <w:szCs w:val="21"/>
          <w:highlight w:val="none"/>
        </w:rPr>
      </w:pPr>
      <w:r>
        <w:rPr>
          <w:rFonts w:hint="eastAsia" w:ascii="宋体" w:hAnsi="宋体" w:cs="宋体"/>
          <w:color w:val="auto"/>
          <w:sz w:val="21"/>
          <w:szCs w:val="21"/>
          <w:highlight w:val="none"/>
        </w:rPr>
        <w:t>附页4</w:t>
      </w:r>
      <w:r>
        <w:rPr>
          <w:rFonts w:hint="eastAsia" w:ascii="宋体" w:hAnsi="宋体" w:cs="宋体"/>
          <w:b w:val="0"/>
          <w:bCs w:val="0"/>
          <w:color w:val="auto"/>
          <w:sz w:val="21"/>
          <w:szCs w:val="21"/>
          <w:highlight w:val="none"/>
        </w:rPr>
        <w:t>：</w:t>
      </w:r>
      <w:r>
        <w:rPr>
          <w:rFonts w:hint="eastAsia" w:ascii="宋体" w:hAnsi="宋体" w:cs="宋体"/>
          <w:color w:val="auto"/>
          <w:kern w:val="0"/>
          <w:sz w:val="21"/>
          <w:szCs w:val="21"/>
          <w:highlight w:val="none"/>
        </w:rPr>
        <w:t>评审因素和标准</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本采购项目采用综合评分法，满分100分。</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一、评审计分权值：</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707"/>
        <w:gridCol w:w="54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3707" w:type="dxa"/>
            <w:tcBorders>
              <w:top w:val="double" w:color="auto" w:sz="4"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具体项目</w:t>
            </w:r>
          </w:p>
        </w:tc>
        <w:tc>
          <w:tcPr>
            <w:tcW w:w="5428" w:type="dxa"/>
            <w:tcBorders>
              <w:top w:val="double" w:color="auto" w:sz="4"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权值范围(评标因素权重)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报价部分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F1=0.</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F2=0.30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3707" w:type="dxa"/>
            <w:tcBorders>
              <w:top w:val="single" w:color="auto" w:sz="6" w:space="0"/>
              <w:left w:val="double" w:color="auto" w:sz="4" w:space="0"/>
              <w:bottom w:val="double" w:color="auto" w:sz="4"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商务部分</w:t>
            </w:r>
          </w:p>
        </w:tc>
        <w:tc>
          <w:tcPr>
            <w:tcW w:w="5428" w:type="dxa"/>
            <w:tcBorders>
              <w:top w:val="single" w:color="auto" w:sz="6" w:space="0"/>
              <w:left w:val="single" w:color="auto" w:sz="6" w:space="0"/>
              <w:bottom w:val="double" w:color="auto" w:sz="4" w:space="0"/>
              <w:right w:val="double" w:color="auto" w:sz="4" w:space="0"/>
            </w:tcBorders>
            <w:noWrap w:val="0"/>
            <w:vAlign w:val="center"/>
          </w:tcPr>
          <w:p>
            <w:pPr>
              <w:adjustRightInd w:val="0"/>
              <w:snapToGrid w:val="0"/>
              <w:spacing w:line="360" w:lineRule="auto"/>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F3=0.</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0</w:t>
            </w:r>
          </w:p>
        </w:tc>
      </w:tr>
    </w:tbl>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二、评分细则：</w:t>
      </w:r>
    </w:p>
    <w:tbl>
      <w:tblPr>
        <w:tblStyle w:val="41"/>
        <w:tblW w:w="562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90"/>
        <w:gridCol w:w="1231"/>
        <w:gridCol w:w="1429"/>
        <w:gridCol w:w="6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41"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序号</w:t>
            </w:r>
          </w:p>
        </w:tc>
        <w:tc>
          <w:tcPr>
            <w:tcW w:w="608"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评审</w:t>
            </w:r>
          </w:p>
          <w:p>
            <w:pPr>
              <w:widowControl/>
              <w:spacing w:line="360" w:lineRule="exact"/>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因素</w:t>
            </w:r>
          </w:p>
        </w:tc>
        <w:tc>
          <w:tcPr>
            <w:tcW w:w="4049" w:type="pct"/>
            <w:gridSpan w:val="2"/>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jc w:val="center"/>
        </w:trPr>
        <w:tc>
          <w:tcPr>
            <w:tcW w:w="341"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608"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0分</w:t>
            </w:r>
            <w:r>
              <w:rPr>
                <w:rFonts w:hint="eastAsia" w:ascii="宋体" w:hAnsi="宋体" w:eastAsia="宋体" w:cs="宋体"/>
                <w:color w:val="auto"/>
                <w:sz w:val="21"/>
                <w:szCs w:val="21"/>
                <w:highlight w:val="none"/>
              </w:rPr>
              <w:t>）</w:t>
            </w:r>
          </w:p>
        </w:tc>
        <w:tc>
          <w:tcPr>
            <w:tcW w:w="4049" w:type="pct"/>
            <w:gridSpan w:val="2"/>
            <w:noWrap w:val="0"/>
            <w:tcMar>
              <w:top w:w="15" w:type="dxa"/>
              <w:left w:w="15" w:type="dxa"/>
              <w:right w:w="15" w:type="dxa"/>
            </w:tcMar>
            <w:vAlign w:val="center"/>
          </w:tcPr>
          <w:p>
            <w:pPr>
              <w:widowControl/>
              <w:spacing w:line="360" w:lineRule="exact"/>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1、满足磋商文件要求且最后报价最低的供应商的价格为磋商基准价，其价格分为满分</w:t>
            </w:r>
            <w:r>
              <w:rPr>
                <w:rStyle w:val="109"/>
                <w:rFonts w:hint="eastAsia" w:ascii="宋体" w:hAnsi="宋体" w:cs="宋体"/>
                <w:color w:val="auto"/>
                <w:sz w:val="21"/>
                <w:szCs w:val="21"/>
                <w:highlight w:val="none"/>
                <w:lang w:val="en-US" w:eastAsia="zh-CN" w:bidi="ar"/>
              </w:rPr>
              <w:t>3</w:t>
            </w:r>
            <w:r>
              <w:rPr>
                <w:rStyle w:val="109"/>
                <w:rFonts w:hint="default" w:ascii="宋体" w:hAnsi="宋体" w:eastAsia="宋体" w:cs="宋体"/>
                <w:color w:val="auto"/>
                <w:sz w:val="21"/>
                <w:szCs w:val="21"/>
                <w:highlight w:val="none"/>
                <w:lang w:bidi="ar"/>
              </w:rPr>
              <w:t>0</w:t>
            </w:r>
            <w:r>
              <w:rPr>
                <w:rStyle w:val="109"/>
                <w:rFonts w:hint="default" w:ascii="宋体" w:hAnsi="宋体" w:eastAsia="宋体" w:cs="宋体"/>
                <w:color w:val="auto"/>
                <w:sz w:val="21"/>
                <w:szCs w:val="21"/>
                <w:highlight w:val="none"/>
                <w:lang w:bidi="ar"/>
              </w:rPr>
              <w:t>分</w:t>
            </w:r>
            <w:r>
              <w:rPr>
                <w:rStyle w:val="140"/>
                <w:rFonts w:hint="default" w:ascii="宋体" w:hAnsi="宋体" w:eastAsia="宋体" w:cs="宋体"/>
                <w:color w:val="auto"/>
                <w:sz w:val="21"/>
                <w:szCs w:val="21"/>
                <w:highlight w:val="none"/>
                <w:lang w:bidi="ar"/>
              </w:rPr>
              <w:t>。其他供应商的价格分统一按照下列公式计算：</w:t>
            </w:r>
          </w:p>
          <w:p>
            <w:pPr>
              <w:widowControl/>
              <w:spacing w:line="360" w:lineRule="exact"/>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磋商报价得分=</w:t>
            </w:r>
            <w:r>
              <w:rPr>
                <w:rStyle w:val="140"/>
                <w:rFonts w:hint="default" w:ascii="宋体" w:hAnsi="宋体" w:eastAsia="宋体" w:cs="宋体"/>
                <w:color w:val="auto"/>
                <w:sz w:val="21"/>
                <w:szCs w:val="21"/>
                <w:highlight w:val="none"/>
                <w:lang w:bidi="ar"/>
              </w:rPr>
              <w:t>（磋商基准价</w:t>
            </w:r>
            <w:r>
              <w:rPr>
                <w:rFonts w:hint="eastAsia" w:ascii="宋体" w:hAnsi="宋体" w:cs="宋体"/>
                <w:color w:val="auto"/>
                <w:kern w:val="0"/>
                <w:sz w:val="21"/>
                <w:szCs w:val="21"/>
                <w:highlight w:val="none"/>
                <w:lang w:bidi="ar"/>
              </w:rPr>
              <w:t>/</w:t>
            </w:r>
            <w:r>
              <w:rPr>
                <w:rStyle w:val="140"/>
                <w:rFonts w:hint="default" w:ascii="宋体" w:hAnsi="宋体" w:eastAsia="宋体" w:cs="宋体"/>
                <w:color w:val="auto"/>
                <w:sz w:val="21"/>
                <w:szCs w:val="21"/>
                <w:highlight w:val="none"/>
                <w:lang w:bidi="ar"/>
              </w:rPr>
              <w:t>最后磋商报价）×价格权值×</w:t>
            </w:r>
            <w:r>
              <w:rPr>
                <w:rFonts w:hint="eastAsia" w:ascii="宋体" w:hAnsi="宋体" w:cs="宋体"/>
                <w:color w:val="auto"/>
                <w:kern w:val="0"/>
                <w:sz w:val="21"/>
                <w:szCs w:val="21"/>
                <w:highlight w:val="none"/>
                <w:lang w:bidi="ar"/>
              </w:rPr>
              <w:t>100</w:t>
            </w:r>
          </w:p>
          <w:p>
            <w:pPr>
              <w:widowControl/>
              <w:spacing w:line="360" w:lineRule="exact"/>
              <w:jc w:val="left"/>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bidi="ar"/>
              </w:rPr>
              <w:t>2、</w:t>
            </w:r>
            <w:r>
              <w:rPr>
                <w:rStyle w:val="140"/>
                <w:rFonts w:hint="default" w:ascii="宋体" w:hAnsi="宋体" w:eastAsia="宋体" w:cs="宋体"/>
                <w:color w:val="auto"/>
                <w:sz w:val="21"/>
                <w:szCs w:val="21"/>
                <w:highlight w:val="none"/>
                <w:lang w:bidi="ar"/>
              </w:rPr>
              <w:t>价格评审过程中，不得去掉最后报价中的最高报价和最低报价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608"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技术部分</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（30分）</w:t>
            </w:r>
          </w:p>
        </w:tc>
        <w:tc>
          <w:tcPr>
            <w:tcW w:w="706" w:type="pct"/>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保安</w:t>
            </w:r>
            <w:r>
              <w:rPr>
                <w:rFonts w:hint="eastAsia" w:ascii="宋体" w:hAnsi="宋体" w:eastAsia="宋体" w:cs="宋体"/>
                <w:color w:val="auto"/>
                <w:sz w:val="21"/>
                <w:szCs w:val="21"/>
                <w:highlight w:val="none"/>
              </w:rPr>
              <w:t>服务方案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8分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default"/>
                <w:color w:val="auto"/>
                <w:highlight w:val="none"/>
                <w:lang w:val="en-US" w:eastAsia="zh-CN"/>
              </w:rPr>
            </w:pPr>
            <w:r>
              <w:rPr>
                <w:rFonts w:ascii="宋体" w:hAnsi="宋体" w:cs="宋体"/>
                <w:color w:val="auto"/>
                <w:sz w:val="21"/>
                <w:highlight w:val="none"/>
              </w:rPr>
              <w:t>根据本项目的实际情况合理安排保安服务方案，列明</w:t>
            </w:r>
            <w:r>
              <w:rPr>
                <w:rFonts w:hint="eastAsia" w:ascii="宋体" w:hAnsi="宋体" w:cs="宋体"/>
                <w:color w:val="auto"/>
                <w:sz w:val="21"/>
                <w:highlight w:val="none"/>
              </w:rPr>
              <w:t>各服务区域</w:t>
            </w:r>
            <w:r>
              <w:rPr>
                <w:rFonts w:ascii="宋体" w:hAnsi="宋体" w:cs="宋体"/>
                <w:color w:val="auto"/>
                <w:sz w:val="21"/>
                <w:highlight w:val="none"/>
              </w:rPr>
              <w:t>保安人员数量，服务方案、人员安排计划及质量满足</w:t>
            </w:r>
            <w:r>
              <w:rPr>
                <w:rFonts w:hint="eastAsia" w:ascii="宋体" w:hAnsi="宋体" w:cs="宋体"/>
                <w:color w:val="auto"/>
                <w:sz w:val="21"/>
                <w:highlight w:val="none"/>
              </w:rPr>
              <w:t>磋商</w:t>
            </w:r>
            <w:r>
              <w:rPr>
                <w:rFonts w:ascii="宋体" w:hAnsi="宋体" w:cs="宋体"/>
                <w:color w:val="auto"/>
                <w:sz w:val="21"/>
                <w:highlight w:val="none"/>
              </w:rPr>
              <w:t>文件的要求，针对不同岗位制定有详细的标准，服务质量目标明确，服务质量承诺书内容详尽、职责明确；配备保安人员数量合理，服务方案满足本项目需求，人员安排计划及质量合理的计</w:t>
            </w:r>
            <w:r>
              <w:rPr>
                <w:rFonts w:hint="eastAsia" w:ascii="宋体" w:hAnsi="宋体" w:cs="宋体"/>
                <w:color w:val="auto"/>
                <w:sz w:val="21"/>
                <w:highlight w:val="none"/>
              </w:rPr>
              <w:t>8</w:t>
            </w:r>
            <w:r>
              <w:rPr>
                <w:rFonts w:ascii="宋体" w:hAnsi="宋体" w:cs="宋体"/>
                <w:color w:val="auto"/>
                <w:sz w:val="21"/>
                <w:highlight w:val="none"/>
              </w:rPr>
              <w:t>分；配备保安人员较合理，服务方案基本满足本项目需求，人员安排计划及质量较合理的计</w:t>
            </w:r>
            <w:r>
              <w:rPr>
                <w:rFonts w:hint="eastAsia" w:ascii="宋体" w:hAnsi="宋体" w:cs="宋体"/>
                <w:color w:val="auto"/>
                <w:sz w:val="21"/>
                <w:highlight w:val="none"/>
              </w:rPr>
              <w:t>5</w:t>
            </w:r>
            <w:r>
              <w:rPr>
                <w:rFonts w:ascii="宋体" w:hAnsi="宋体" w:cs="宋体"/>
                <w:color w:val="auto"/>
                <w:sz w:val="21"/>
                <w:highlight w:val="none"/>
              </w:rPr>
              <w:t>分；配备保安人员数量</w:t>
            </w:r>
            <w:r>
              <w:rPr>
                <w:rFonts w:hint="eastAsia" w:ascii="宋体" w:hAnsi="宋体" w:cs="宋体"/>
                <w:color w:val="auto"/>
                <w:sz w:val="21"/>
                <w:highlight w:val="none"/>
                <w:lang w:val="en-US" w:eastAsia="zh-CN"/>
              </w:rPr>
              <w:t>不够合理</w:t>
            </w:r>
            <w:r>
              <w:rPr>
                <w:rFonts w:ascii="宋体" w:hAnsi="宋体" w:cs="宋体"/>
                <w:color w:val="auto"/>
                <w:sz w:val="21"/>
                <w:highlight w:val="none"/>
              </w:rPr>
              <w:t>，服务方案不太满足本项目需求，人员安排计划及质量基本合理的计</w:t>
            </w:r>
            <w:r>
              <w:rPr>
                <w:rFonts w:hint="eastAsia" w:ascii="宋体" w:hAnsi="宋体" w:cs="宋体"/>
                <w:color w:val="auto"/>
                <w:sz w:val="21"/>
                <w:highlight w:val="none"/>
              </w:rPr>
              <w:t>2</w:t>
            </w:r>
            <w:r>
              <w:rPr>
                <w:rFonts w:ascii="宋体" w:hAnsi="宋体" w:cs="宋体"/>
                <w:color w:val="auto"/>
                <w:sz w:val="21"/>
                <w:highlight w:val="none"/>
              </w:rPr>
              <w:t>分；配备人员不合理或未提供的不计分。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color w:val="auto"/>
                <w:highlight w:val="none"/>
              </w:rPr>
            </w:pPr>
          </w:p>
        </w:tc>
        <w:tc>
          <w:tcPr>
            <w:tcW w:w="608" w:type="pct"/>
            <w:vMerge w:val="continue"/>
            <w:noWrap w:val="0"/>
            <w:tcMar>
              <w:top w:w="15" w:type="dxa"/>
              <w:left w:w="15" w:type="dxa"/>
              <w:right w:w="15" w:type="dxa"/>
            </w:tcMar>
            <w:vAlign w:val="center"/>
          </w:tcPr>
          <w:p>
            <w:pPr>
              <w:spacing w:line="360" w:lineRule="exact"/>
              <w:jc w:val="center"/>
              <w:rPr>
                <w:color w:val="auto"/>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人员招聘和稳定方案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综合比较投标人实际情况制定人员招聘及人员稳定方案；方案详细合理、符合本项目需求的计6分；方案较详细合理，基本符合本项目需求的计4分；方案较详细，</w:t>
            </w:r>
            <w:r>
              <w:rPr>
                <w:rFonts w:hint="eastAsia" w:ascii="宋体" w:hAnsi="宋体" w:cs="宋体"/>
                <w:color w:val="auto"/>
                <w:sz w:val="21"/>
                <w:szCs w:val="21"/>
                <w:highlight w:val="none"/>
                <w:lang w:val="en-US" w:eastAsia="zh-CN"/>
              </w:rPr>
              <w:t>基本</w:t>
            </w:r>
            <w:r>
              <w:rPr>
                <w:rFonts w:hint="eastAsia" w:ascii="宋体" w:hAnsi="宋体" w:eastAsia="宋体" w:cs="宋体"/>
                <w:color w:val="auto"/>
                <w:sz w:val="21"/>
                <w:szCs w:val="21"/>
                <w:highlight w:val="none"/>
              </w:rPr>
              <w:t>符合本项目需求的计2分；方案特别不详细或未提供的不计分。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608"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人员培训方案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投标人应充分考虑采购人的实际情况详细制定人员培训方案以及在岗培训方案，方案详细、科学、合理的计6分；较详细、合理的计4分；基本合理的计2分；差或未提供不计分。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608"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装备配置方案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ascii="宋体" w:hAnsi="宋体" w:cs="宋体"/>
                <w:color w:val="auto"/>
                <w:sz w:val="21"/>
                <w:highlight w:val="none"/>
              </w:rPr>
              <w:t>综合比较投标人装备配置方案方案；方案详细合理、符合本项目需求的计</w:t>
            </w:r>
            <w:r>
              <w:rPr>
                <w:rFonts w:hint="eastAsia" w:ascii="宋体" w:hAnsi="宋体" w:cs="宋体"/>
                <w:color w:val="auto"/>
                <w:sz w:val="21"/>
                <w:highlight w:val="none"/>
              </w:rPr>
              <w:t>6</w:t>
            </w:r>
            <w:r>
              <w:rPr>
                <w:rFonts w:ascii="宋体" w:hAnsi="宋体" w:cs="宋体"/>
                <w:color w:val="auto"/>
                <w:sz w:val="21"/>
                <w:highlight w:val="none"/>
              </w:rPr>
              <w:t>分；方案较详细合理，基本符合本项目需求的计</w:t>
            </w:r>
            <w:r>
              <w:rPr>
                <w:rFonts w:hint="eastAsia" w:ascii="宋体" w:hAnsi="宋体" w:cs="宋体"/>
                <w:color w:val="auto"/>
                <w:sz w:val="21"/>
                <w:highlight w:val="none"/>
              </w:rPr>
              <w:t>4</w:t>
            </w:r>
            <w:r>
              <w:rPr>
                <w:rFonts w:ascii="宋体" w:hAnsi="宋体" w:cs="宋体"/>
                <w:color w:val="auto"/>
                <w:sz w:val="21"/>
                <w:highlight w:val="none"/>
              </w:rPr>
              <w:t>分；方案较详细，</w:t>
            </w:r>
            <w:r>
              <w:rPr>
                <w:rFonts w:hint="eastAsia" w:ascii="宋体" w:hAnsi="宋体" w:cs="宋体"/>
                <w:color w:val="auto"/>
                <w:sz w:val="21"/>
                <w:highlight w:val="none"/>
                <w:lang w:val="en-US" w:eastAsia="zh-CN"/>
              </w:rPr>
              <w:t>基本</w:t>
            </w:r>
            <w:r>
              <w:rPr>
                <w:rFonts w:ascii="宋体" w:hAnsi="宋体" w:cs="宋体"/>
                <w:color w:val="auto"/>
                <w:sz w:val="21"/>
                <w:highlight w:val="none"/>
              </w:rPr>
              <w:t>符合本项目需求的计</w:t>
            </w:r>
            <w:r>
              <w:rPr>
                <w:rFonts w:hint="eastAsia" w:ascii="宋体" w:hAnsi="宋体" w:cs="宋体"/>
                <w:color w:val="auto"/>
                <w:sz w:val="21"/>
                <w:highlight w:val="none"/>
              </w:rPr>
              <w:t>2</w:t>
            </w:r>
            <w:r>
              <w:rPr>
                <w:rFonts w:ascii="宋体" w:hAnsi="宋体" w:cs="宋体"/>
                <w:color w:val="auto"/>
                <w:sz w:val="21"/>
                <w:highlight w:val="none"/>
              </w:rPr>
              <w:t>分；方案特别不详细或未提供的不计分。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608"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应急预案和消防管理维护处置方案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ascii="宋体" w:hAnsi="宋体" w:cs="宋体"/>
                <w:color w:val="auto"/>
                <w:sz w:val="21"/>
                <w:highlight w:val="none"/>
              </w:rPr>
              <w:t>投标人应充分考虑采购人的实际情况制定应急预案及演练方案和消防管理维护处置方案，方案详细、科学、合理的计</w:t>
            </w:r>
            <w:r>
              <w:rPr>
                <w:rFonts w:hint="eastAsia" w:ascii="宋体" w:hAnsi="宋体" w:cs="宋体"/>
                <w:color w:val="auto"/>
                <w:sz w:val="21"/>
                <w:highlight w:val="none"/>
              </w:rPr>
              <w:t>4</w:t>
            </w:r>
            <w:r>
              <w:rPr>
                <w:rFonts w:ascii="宋体" w:hAnsi="宋体" w:cs="宋体"/>
                <w:color w:val="auto"/>
                <w:sz w:val="21"/>
                <w:highlight w:val="none"/>
              </w:rPr>
              <w:t>分；较详细、合理的计</w:t>
            </w:r>
            <w:r>
              <w:rPr>
                <w:rFonts w:hint="eastAsia" w:ascii="宋体" w:hAnsi="宋体" w:cs="宋体"/>
                <w:color w:val="auto"/>
                <w:sz w:val="21"/>
                <w:highlight w:val="none"/>
              </w:rPr>
              <w:t>2</w:t>
            </w:r>
            <w:r>
              <w:rPr>
                <w:rFonts w:ascii="宋体" w:hAnsi="宋体" w:cs="宋体"/>
                <w:color w:val="auto"/>
                <w:sz w:val="21"/>
                <w:highlight w:val="none"/>
              </w:rPr>
              <w:t>分；基本合理的计</w:t>
            </w:r>
            <w:r>
              <w:rPr>
                <w:rFonts w:hint="eastAsia" w:ascii="宋体" w:hAnsi="宋体" w:cs="宋体"/>
                <w:color w:val="auto"/>
                <w:sz w:val="21"/>
                <w:highlight w:val="none"/>
              </w:rPr>
              <w:t>1</w:t>
            </w:r>
            <w:r>
              <w:rPr>
                <w:rFonts w:ascii="宋体" w:hAnsi="宋体" w:cs="宋体"/>
                <w:color w:val="auto"/>
                <w:sz w:val="21"/>
                <w:highlight w:val="none"/>
              </w:rPr>
              <w:t>分；差或未提供不计分。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jc w:val="center"/>
        </w:trPr>
        <w:tc>
          <w:tcPr>
            <w:tcW w:w="341"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608"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商务部分</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40</w:t>
            </w:r>
            <w:r>
              <w:rPr>
                <w:rFonts w:hint="eastAsia" w:ascii="宋体" w:hAnsi="宋体" w:eastAsia="宋体" w:cs="宋体"/>
                <w:color w:val="auto"/>
                <w:kern w:val="0"/>
                <w:sz w:val="21"/>
                <w:szCs w:val="21"/>
                <w:highlight w:val="none"/>
                <w:lang w:bidi="ar"/>
              </w:rPr>
              <w:t>分）</w:t>
            </w:r>
          </w:p>
        </w:tc>
        <w:tc>
          <w:tcPr>
            <w:tcW w:w="706"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经营业绩</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bidi="ar"/>
              </w:rPr>
              <w:t>分）</w:t>
            </w:r>
          </w:p>
        </w:tc>
        <w:tc>
          <w:tcPr>
            <w:tcW w:w="3343" w:type="pct"/>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投标人具有201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年1月1日以来（以合同签订时间为准）</w:t>
            </w:r>
            <w:r>
              <w:rPr>
                <w:rFonts w:hint="eastAsia" w:ascii="宋体" w:hAnsi="宋体" w:cs="宋体"/>
                <w:color w:val="auto"/>
                <w:sz w:val="21"/>
                <w:szCs w:val="21"/>
                <w:highlight w:val="none"/>
                <w:lang w:val="en-US" w:eastAsia="zh-CN"/>
              </w:rPr>
              <w:t>保安服务</w:t>
            </w:r>
            <w:r>
              <w:rPr>
                <w:rFonts w:hint="eastAsia" w:ascii="宋体" w:hAnsi="宋体" w:eastAsia="宋体" w:cs="宋体"/>
                <w:color w:val="auto"/>
                <w:sz w:val="21"/>
                <w:szCs w:val="21"/>
                <w:highlight w:val="none"/>
              </w:rPr>
              <w:t>项目业绩的，每提供1个计</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分，计满</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分为止。</w:t>
            </w:r>
          </w:p>
          <w:p>
            <w:pPr>
              <w:pStyle w:val="40"/>
              <w:ind w:left="0" w:leftChars="0" w:firstLine="0" w:firstLineChars="0"/>
              <w:rPr>
                <w:rFonts w:hint="eastAsia"/>
                <w:color w:val="auto"/>
                <w:highlight w:val="none"/>
              </w:rPr>
            </w:pPr>
            <w:r>
              <w:rPr>
                <w:rFonts w:hint="eastAsia" w:ascii="宋体" w:hAnsi="宋体" w:cs="宋体"/>
                <w:color w:val="auto"/>
                <w:szCs w:val="21"/>
                <w:highlight w:val="none"/>
              </w:rPr>
              <w:t>注：提供类似项目合同或中标通知书复印件并加盖投标人公章，否则不计分。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jc w:val="center"/>
        </w:trPr>
        <w:tc>
          <w:tcPr>
            <w:tcW w:w="341"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608"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1429"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综合实力</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16</w:t>
            </w:r>
            <w:r>
              <w:rPr>
                <w:rFonts w:hint="eastAsia" w:ascii="宋体" w:hAnsi="宋体" w:eastAsia="宋体" w:cs="宋体"/>
                <w:color w:val="auto"/>
                <w:kern w:val="0"/>
                <w:sz w:val="21"/>
                <w:szCs w:val="21"/>
                <w:highlight w:val="none"/>
                <w:lang w:bidi="ar"/>
              </w:rPr>
              <w:t>分）</w:t>
            </w:r>
          </w:p>
        </w:tc>
        <w:tc>
          <w:tcPr>
            <w:tcW w:w="6769" w:type="dxa"/>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1、投标人具有质量管理体系认证证书、环境管理体系认证证书、职业健康安全体系认证证书、企业诚信管理体系认证证书、售后服务管理体系认证证书、</w:t>
            </w:r>
            <w:r>
              <w:rPr>
                <w:rFonts w:hint="eastAsia" w:ascii="宋体" w:hAnsi="宋体" w:cs="宋体"/>
                <w:color w:val="auto"/>
                <w:sz w:val="21"/>
                <w:szCs w:val="21"/>
                <w:highlight w:val="none"/>
                <w:lang w:val="en-US" w:eastAsia="zh-CN"/>
              </w:rPr>
              <w:t>培训</w:t>
            </w:r>
            <w:r>
              <w:rPr>
                <w:rFonts w:hint="eastAsia" w:ascii="宋体" w:hAnsi="宋体" w:eastAsia="宋体" w:cs="宋体"/>
                <w:color w:val="auto"/>
                <w:sz w:val="21"/>
                <w:szCs w:val="21"/>
                <w:highlight w:val="none"/>
              </w:rPr>
              <w:t>管理体系认证证书</w:t>
            </w:r>
            <w:r>
              <w:rPr>
                <w:rFonts w:hint="eastAsia" w:ascii="宋体" w:hAnsi="宋体" w:eastAsia="宋体" w:cs="宋体"/>
                <w:color w:val="auto"/>
                <w:sz w:val="21"/>
                <w:szCs w:val="21"/>
                <w:highlight w:val="none"/>
              </w:rPr>
              <w:t>、企业社会责任管理体系认证证书且在有效期</w:t>
            </w:r>
            <w:r>
              <w:rPr>
                <w:rFonts w:hint="eastAsia" w:ascii="宋体" w:hAnsi="宋体" w:eastAsia="宋体" w:cs="宋体"/>
                <w:color w:val="auto"/>
                <w:sz w:val="21"/>
                <w:szCs w:val="21"/>
                <w:highlight w:val="none"/>
              </w:rPr>
              <w:t>内并通过年审的，每提供1个计1分，本项计满7分为止。</w:t>
            </w:r>
          </w:p>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2、投标人具有企业信用等级AAA</w:t>
            </w:r>
            <w:r>
              <w:rPr>
                <w:rFonts w:hint="eastAsia" w:ascii="宋体" w:hAnsi="宋体" w:cs="宋体"/>
                <w:color w:val="auto"/>
                <w:sz w:val="21"/>
                <w:szCs w:val="21"/>
                <w:highlight w:val="none"/>
                <w:lang w:val="en-US" w:eastAsia="zh-CN"/>
              </w:rPr>
              <w:t>证书</w:t>
            </w:r>
            <w:r>
              <w:rPr>
                <w:rFonts w:hint="eastAsia" w:ascii="宋体" w:hAnsi="宋体" w:eastAsia="宋体" w:cs="宋体"/>
                <w:color w:val="auto"/>
                <w:sz w:val="21"/>
                <w:szCs w:val="21"/>
                <w:highlight w:val="none"/>
              </w:rPr>
              <w:t>的计</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分，AA</w:t>
            </w:r>
            <w:r>
              <w:rPr>
                <w:rFonts w:hint="eastAsia" w:ascii="宋体" w:hAnsi="宋体" w:cs="宋体"/>
                <w:color w:val="auto"/>
                <w:sz w:val="21"/>
                <w:szCs w:val="21"/>
                <w:highlight w:val="none"/>
                <w:lang w:val="en-US" w:eastAsia="zh-CN"/>
              </w:rPr>
              <w:t>证书</w:t>
            </w:r>
            <w:r>
              <w:rPr>
                <w:rFonts w:hint="eastAsia" w:ascii="宋体" w:hAnsi="宋体" w:eastAsia="宋体" w:cs="宋体"/>
                <w:color w:val="auto"/>
                <w:sz w:val="21"/>
                <w:szCs w:val="21"/>
                <w:highlight w:val="none"/>
              </w:rPr>
              <w:t>的计1分，其余不计分。</w:t>
            </w:r>
          </w:p>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3、投标人自2019年1月1日以来获得市级（含）及以上公安行政主管部门颁发的荣誉</w:t>
            </w:r>
            <w:r>
              <w:rPr>
                <w:rFonts w:hint="eastAsia" w:ascii="宋体" w:hAnsi="宋体" w:cs="宋体"/>
                <w:color w:val="auto"/>
                <w:sz w:val="21"/>
                <w:szCs w:val="21"/>
                <w:highlight w:val="none"/>
                <w:lang w:val="en-US" w:eastAsia="zh-CN"/>
              </w:rPr>
              <w:t>证书</w:t>
            </w:r>
            <w:r>
              <w:rPr>
                <w:rFonts w:hint="eastAsia" w:ascii="宋体" w:hAnsi="宋体" w:eastAsia="宋体" w:cs="宋体"/>
                <w:color w:val="auto"/>
                <w:sz w:val="21"/>
                <w:szCs w:val="21"/>
                <w:highlight w:val="none"/>
              </w:rPr>
              <w:t>的计</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分，本项累计计满</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分为止。</w:t>
            </w:r>
          </w:p>
          <w:p>
            <w:pPr>
              <w:spacing w:line="360" w:lineRule="exact"/>
              <w:jc w:val="lef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rPr>
              <w:t>具有省级</w:t>
            </w:r>
            <w:r>
              <w:rPr>
                <w:rFonts w:hint="eastAsia" w:ascii="宋体" w:hAnsi="宋体" w:cs="宋体"/>
                <w:color w:val="auto"/>
                <w:sz w:val="21"/>
                <w:szCs w:val="21"/>
                <w:highlight w:val="none"/>
                <w:lang w:val="en-US" w:eastAsia="zh-CN"/>
              </w:rPr>
              <w:t>或以上</w:t>
            </w:r>
            <w:r>
              <w:rPr>
                <w:rFonts w:hint="eastAsia" w:ascii="宋体" w:hAnsi="宋体" w:eastAsia="宋体" w:cs="宋体"/>
                <w:color w:val="auto"/>
                <w:sz w:val="21"/>
                <w:szCs w:val="21"/>
                <w:highlight w:val="none"/>
              </w:rPr>
              <w:t>消消防类荣誉或奖项</w:t>
            </w:r>
            <w:r>
              <w:rPr>
                <w:rFonts w:hint="eastAsia" w:ascii="宋体" w:hAnsi="宋体" w:cs="宋体"/>
                <w:color w:val="auto"/>
                <w:sz w:val="21"/>
                <w:szCs w:val="21"/>
                <w:highlight w:val="none"/>
                <w:lang w:val="en-US" w:eastAsia="zh-CN"/>
              </w:rPr>
              <w:t>的计</w:t>
            </w:r>
            <w:r>
              <w:rPr>
                <w:rFonts w:hint="eastAsia" w:ascii="宋体" w:hAnsi="宋体" w:eastAsia="宋体" w:cs="宋体"/>
                <w:color w:val="auto"/>
                <w:sz w:val="21"/>
                <w:szCs w:val="21"/>
                <w:highlight w:val="none"/>
              </w:rPr>
              <w:t>3分，具有市级消防类荣誉或奖项</w:t>
            </w:r>
            <w:r>
              <w:rPr>
                <w:rFonts w:hint="eastAsia" w:ascii="宋体" w:hAnsi="宋体" w:cs="宋体"/>
                <w:color w:val="auto"/>
                <w:sz w:val="21"/>
                <w:szCs w:val="21"/>
                <w:highlight w:val="none"/>
                <w:lang w:val="en-US" w:eastAsia="zh-CN"/>
              </w:rPr>
              <w:t>的计</w:t>
            </w:r>
            <w:r>
              <w:rPr>
                <w:rFonts w:hint="eastAsia" w:ascii="宋体" w:hAnsi="宋体" w:eastAsia="宋体" w:cs="宋体"/>
                <w:color w:val="auto"/>
                <w:sz w:val="21"/>
                <w:szCs w:val="21"/>
                <w:highlight w:val="none"/>
              </w:rPr>
              <w:t>1分，其余不计分。</w:t>
            </w:r>
          </w:p>
          <w:p>
            <w:pPr>
              <w:spacing w:line="360" w:lineRule="exact"/>
              <w:jc w:val="left"/>
              <w:rPr>
                <w:rFonts w:ascii="Calibri" w:hAnsi="Calibri" w:eastAsia="宋体" w:cs="Times New Roman"/>
                <w:color w:val="auto"/>
                <w:highlight w:val="none"/>
              </w:rPr>
            </w:pPr>
            <w:r>
              <w:rPr>
                <w:rFonts w:hint="eastAsia" w:ascii="宋体" w:hAnsi="宋体" w:eastAsia="宋体" w:cs="宋体"/>
                <w:b/>
                <w:bCs/>
                <w:color w:val="auto"/>
                <w:sz w:val="21"/>
                <w:szCs w:val="21"/>
                <w:highlight w:val="none"/>
              </w:rPr>
              <w:t>注：提供以上相应证书复印件并加盖投标人公章，否则不计分。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341"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608" w:type="pct"/>
            <w:vMerge w:val="continue"/>
            <w:noWrap/>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1429"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人员配备</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10</w:t>
            </w:r>
            <w:r>
              <w:rPr>
                <w:rFonts w:hint="eastAsia" w:ascii="宋体" w:hAnsi="宋体" w:eastAsia="宋体" w:cs="宋体"/>
                <w:color w:val="auto"/>
                <w:kern w:val="0"/>
                <w:sz w:val="21"/>
                <w:szCs w:val="21"/>
                <w:highlight w:val="none"/>
                <w:lang w:bidi="ar"/>
              </w:rPr>
              <w:t>分）</w:t>
            </w:r>
          </w:p>
        </w:tc>
        <w:tc>
          <w:tcPr>
            <w:tcW w:w="6769" w:type="dxa"/>
            <w:noWrap w:val="0"/>
            <w:tcMar>
              <w:top w:w="15" w:type="dxa"/>
              <w:left w:w="15" w:type="dxa"/>
              <w:right w:w="15" w:type="dxa"/>
            </w:tcMar>
            <w:vAlign w:val="center"/>
          </w:tcPr>
          <w:p>
            <w:pPr>
              <w:widowControl/>
              <w:numPr>
                <w:ilvl w:val="0"/>
                <w:numId w:val="2"/>
              </w:numPr>
              <w:spacing w:line="240" w:lineRule="auto"/>
              <w:jc w:val="left"/>
              <w:textAlignment w:val="center"/>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拟任</w:t>
            </w:r>
            <w:r>
              <w:rPr>
                <w:rFonts w:hint="eastAsia" w:ascii="宋体" w:hAnsi="宋体" w:eastAsia="宋体" w:cs="宋体"/>
                <w:color w:val="auto"/>
                <w:sz w:val="21"/>
                <w:szCs w:val="21"/>
                <w:highlight w:val="none"/>
              </w:rPr>
              <w:t>项目经理</w:t>
            </w:r>
            <w:r>
              <w:rPr>
                <w:rFonts w:hint="eastAsia" w:ascii="宋体" w:hAnsi="宋体" w:cs="宋体"/>
                <w:color w:val="auto"/>
                <w:sz w:val="21"/>
                <w:szCs w:val="21"/>
                <w:highlight w:val="none"/>
                <w:lang w:val="en-US" w:eastAsia="zh-CN"/>
              </w:rPr>
              <w:t>为全日制本科或以上学历的计1分；专科的计0.5分；其他不计分。</w:t>
            </w:r>
          </w:p>
          <w:p>
            <w:pPr>
              <w:widowControl/>
              <w:numPr>
                <w:ilvl w:val="0"/>
                <w:numId w:val="2"/>
              </w:numPr>
              <w:spacing w:line="240" w:lineRule="auto"/>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拟任</w:t>
            </w:r>
            <w:r>
              <w:rPr>
                <w:rFonts w:hint="eastAsia" w:ascii="宋体" w:hAnsi="宋体" w:eastAsia="宋体" w:cs="宋体"/>
                <w:color w:val="auto"/>
                <w:sz w:val="21"/>
                <w:szCs w:val="21"/>
                <w:highlight w:val="none"/>
              </w:rPr>
              <w:t>项目经理</w:t>
            </w: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rPr>
              <w:t>保安师二级证书</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保卫管理员二级证书</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或以上的计1分；三级的计0.5分；其他不计分。</w:t>
            </w:r>
          </w:p>
          <w:p>
            <w:pPr>
              <w:widowControl/>
              <w:numPr>
                <w:ilvl w:val="0"/>
                <w:numId w:val="2"/>
              </w:numPr>
              <w:spacing w:line="240" w:lineRule="auto"/>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拟任</w:t>
            </w:r>
            <w:r>
              <w:rPr>
                <w:rFonts w:hint="eastAsia" w:ascii="宋体" w:hAnsi="宋体" w:eastAsia="宋体" w:cs="宋体"/>
                <w:color w:val="auto"/>
                <w:sz w:val="21"/>
                <w:szCs w:val="21"/>
                <w:highlight w:val="none"/>
              </w:rPr>
              <w:t>项目经理</w:t>
            </w:r>
            <w:r>
              <w:rPr>
                <w:rFonts w:hint="eastAsia" w:ascii="宋体" w:hAnsi="宋体" w:eastAsia="宋体" w:cs="宋体"/>
                <w:color w:val="auto"/>
                <w:sz w:val="21"/>
                <w:szCs w:val="21"/>
                <w:highlight w:val="none"/>
                <w:lang w:val="en-US" w:eastAsia="zh-CN"/>
              </w:rPr>
              <w:t>具有</w:t>
            </w:r>
            <w:r>
              <w:rPr>
                <w:rFonts w:hint="eastAsia" w:ascii="宋体" w:hAnsi="宋体" w:cs="宋体"/>
                <w:color w:val="auto"/>
                <w:sz w:val="21"/>
                <w:szCs w:val="21"/>
                <w:highlight w:val="none"/>
                <w:lang w:val="en-US" w:eastAsia="zh-CN"/>
              </w:rPr>
              <w:t>注册消防工程师证书的</w:t>
            </w:r>
            <w:r>
              <w:rPr>
                <w:rFonts w:hint="eastAsia" w:ascii="宋体" w:hAnsi="宋体" w:eastAsia="宋体" w:cs="宋体"/>
                <w:color w:val="auto"/>
                <w:sz w:val="21"/>
                <w:szCs w:val="21"/>
                <w:highlight w:val="none"/>
              </w:rPr>
              <w:t>计</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widowControl/>
              <w:numPr>
                <w:ilvl w:val="0"/>
                <w:numId w:val="2"/>
              </w:numPr>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拟任</w:t>
            </w:r>
            <w:r>
              <w:rPr>
                <w:rFonts w:hint="eastAsia" w:ascii="宋体" w:hAnsi="宋体" w:eastAsia="宋体" w:cs="宋体"/>
                <w:color w:val="auto"/>
                <w:sz w:val="21"/>
                <w:szCs w:val="21"/>
                <w:highlight w:val="none"/>
                <w:lang w:val="en-US" w:eastAsia="zh-CN"/>
              </w:rPr>
              <w:t>保安队长</w:t>
            </w:r>
            <w:r>
              <w:rPr>
                <w:rFonts w:hint="eastAsia" w:ascii="宋体" w:hAnsi="宋体" w:eastAsia="宋体" w:cs="宋体"/>
                <w:color w:val="auto"/>
                <w:sz w:val="21"/>
                <w:szCs w:val="21"/>
                <w:highlight w:val="none"/>
              </w:rPr>
              <w:t>具</w:t>
            </w:r>
            <w:r>
              <w:rPr>
                <w:rFonts w:hint="eastAsia" w:ascii="宋体" w:hAnsi="宋体" w:eastAsia="宋体" w:cs="宋体"/>
                <w:color w:val="auto"/>
                <w:sz w:val="21"/>
                <w:szCs w:val="21"/>
                <w:highlight w:val="none"/>
                <w:lang w:val="en-US" w:eastAsia="zh-CN"/>
              </w:rPr>
              <w:t>有</w:t>
            </w:r>
            <w:r>
              <w:rPr>
                <w:rFonts w:hint="eastAsia" w:ascii="宋体" w:hAnsi="宋体" w:eastAsia="宋体" w:cs="宋体"/>
                <w:color w:val="auto"/>
                <w:sz w:val="21"/>
                <w:szCs w:val="21"/>
                <w:highlight w:val="none"/>
              </w:rPr>
              <w:t>保安师二级证书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保卫管理员二级证书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w:t>
            </w:r>
            <w:r>
              <w:rPr>
                <w:rFonts w:hint="eastAsia" w:ascii="宋体" w:hAnsi="宋体" w:eastAsia="宋体" w:cs="宋体"/>
                <w:color w:val="auto"/>
                <w:sz w:val="21"/>
                <w:szCs w:val="21"/>
                <w:highlight w:val="none"/>
                <w:lang w:val="en-US" w:eastAsia="zh-CN"/>
              </w:rPr>
              <w:t>以上</w:t>
            </w:r>
            <w:r>
              <w:rPr>
                <w:rFonts w:hint="eastAsia" w:ascii="宋体" w:hAnsi="宋体" w:eastAsia="宋体" w:cs="宋体"/>
                <w:color w:val="auto"/>
                <w:sz w:val="21"/>
                <w:szCs w:val="21"/>
                <w:highlight w:val="none"/>
              </w:rPr>
              <w:t>的计</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三级的计0.5分；其他不计分。</w:t>
            </w:r>
          </w:p>
          <w:p>
            <w:pPr>
              <w:widowControl/>
              <w:numPr>
                <w:ilvl w:val="0"/>
                <w:numId w:val="2"/>
              </w:numPr>
              <w:spacing w:line="240" w:lineRule="auto"/>
              <w:ind w:left="0" w:leftChars="0" w:firstLine="0" w:firstLineChars="0"/>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拟任</w:t>
            </w:r>
            <w:r>
              <w:rPr>
                <w:rFonts w:hint="eastAsia" w:ascii="宋体" w:hAnsi="宋体" w:eastAsia="宋体" w:cs="宋体"/>
                <w:color w:val="auto"/>
                <w:sz w:val="21"/>
                <w:szCs w:val="21"/>
                <w:highlight w:val="none"/>
                <w:lang w:val="en-US" w:eastAsia="zh-CN"/>
              </w:rPr>
              <w:t>保安队长具有</w:t>
            </w:r>
            <w:r>
              <w:rPr>
                <w:rFonts w:hint="eastAsia" w:ascii="宋体" w:hAnsi="宋体" w:cs="宋体"/>
                <w:color w:val="auto"/>
                <w:sz w:val="21"/>
                <w:szCs w:val="21"/>
                <w:highlight w:val="none"/>
                <w:lang w:val="en-US" w:eastAsia="zh-CN"/>
              </w:rPr>
              <w:t>一级企业人力资源管理师证书的</w:t>
            </w:r>
            <w:r>
              <w:rPr>
                <w:rFonts w:hint="eastAsia" w:ascii="宋体" w:hAnsi="宋体" w:eastAsia="宋体" w:cs="宋体"/>
                <w:color w:val="auto"/>
                <w:sz w:val="21"/>
                <w:szCs w:val="21"/>
                <w:highlight w:val="none"/>
              </w:rPr>
              <w:t>计</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二级的计1分</w:t>
            </w:r>
            <w:r>
              <w:rPr>
                <w:rFonts w:hint="eastAsia" w:ascii="宋体" w:hAnsi="宋体" w:cs="宋体"/>
                <w:color w:val="auto"/>
                <w:sz w:val="21"/>
                <w:szCs w:val="21"/>
                <w:highlight w:val="none"/>
                <w:lang w:val="en-US" w:eastAsia="zh-CN"/>
              </w:rPr>
              <w:t>；其他不计分。</w:t>
            </w:r>
          </w:p>
          <w:p>
            <w:pPr>
              <w:widowControl/>
              <w:spacing w:line="24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、投标人服务团队中获得过</w:t>
            </w:r>
            <w:r>
              <w:rPr>
                <w:rFonts w:hint="eastAsia" w:ascii="宋体" w:hAnsi="宋体" w:cs="宋体"/>
                <w:color w:val="auto"/>
                <w:sz w:val="21"/>
                <w:szCs w:val="21"/>
                <w:highlight w:val="none"/>
                <w:lang w:val="en-US" w:eastAsia="zh-CN"/>
              </w:rPr>
              <w:t>市</w:t>
            </w:r>
            <w:r>
              <w:rPr>
                <w:rFonts w:hint="eastAsia" w:ascii="宋体" w:hAnsi="宋体" w:eastAsia="宋体" w:cs="宋体"/>
                <w:color w:val="auto"/>
                <w:sz w:val="21"/>
                <w:szCs w:val="21"/>
                <w:highlight w:val="none"/>
              </w:rPr>
              <w:t>级（含）或以上</w:t>
            </w:r>
            <w:r>
              <w:rPr>
                <w:rFonts w:hint="eastAsia" w:ascii="宋体" w:hAnsi="宋体" w:eastAsia="宋体" w:cs="宋体"/>
                <w:color w:val="auto"/>
                <w:sz w:val="21"/>
                <w:szCs w:val="21"/>
                <w:highlight w:val="none"/>
                <w:lang w:val="en-US" w:eastAsia="zh-CN"/>
              </w:rPr>
              <w:t>优秀保安员</w:t>
            </w:r>
            <w:r>
              <w:rPr>
                <w:rFonts w:hint="eastAsia" w:ascii="宋体" w:hAnsi="宋体" w:eastAsia="宋体" w:cs="宋体"/>
                <w:color w:val="auto"/>
                <w:sz w:val="21"/>
                <w:szCs w:val="21"/>
                <w:highlight w:val="none"/>
              </w:rPr>
              <w:t>荣誉称号的每</w:t>
            </w:r>
            <w:r>
              <w:rPr>
                <w:rFonts w:hint="eastAsia" w:ascii="宋体" w:hAnsi="宋体" w:eastAsia="宋体" w:cs="宋体"/>
                <w:color w:val="auto"/>
                <w:sz w:val="21"/>
                <w:szCs w:val="21"/>
                <w:highlight w:val="none"/>
                <w:lang w:val="en-US" w:eastAsia="zh-CN"/>
              </w:rPr>
              <w:t>人证</w:t>
            </w:r>
            <w:r>
              <w:rPr>
                <w:rFonts w:hint="eastAsia" w:ascii="宋体" w:hAnsi="宋体" w:eastAsia="宋体" w:cs="宋体"/>
                <w:color w:val="auto"/>
                <w:sz w:val="21"/>
                <w:szCs w:val="21"/>
                <w:highlight w:val="none"/>
              </w:rPr>
              <w:t>计</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分，本项累计计满</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分为止。</w:t>
            </w:r>
          </w:p>
          <w:p>
            <w:pPr>
              <w:widowControl/>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w:t>
            </w:r>
            <w:r>
              <w:rPr>
                <w:rFonts w:hint="eastAsia" w:ascii="宋体" w:hAnsi="宋体" w:cs="宋体"/>
                <w:b/>
                <w:bCs/>
                <w:color w:val="auto"/>
                <w:sz w:val="21"/>
                <w:szCs w:val="21"/>
                <w:highlight w:val="none"/>
                <w:lang w:val="en-US" w:eastAsia="zh-CN"/>
              </w:rPr>
              <w:t>以上不重复计分，</w:t>
            </w:r>
            <w:r>
              <w:rPr>
                <w:rFonts w:hint="eastAsia" w:ascii="宋体" w:hAnsi="宋体" w:eastAsia="宋体" w:cs="宋体"/>
                <w:b/>
                <w:bCs/>
                <w:color w:val="auto"/>
                <w:sz w:val="21"/>
                <w:szCs w:val="21"/>
                <w:highlight w:val="none"/>
              </w:rPr>
              <w:t>提供以上人员所在投标单位近三个月（202</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年</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月至</w:t>
            </w: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rPr>
              <w:t>月</w:t>
            </w:r>
            <w:r>
              <w:rPr>
                <w:rFonts w:hint="eastAsia" w:ascii="宋体" w:hAnsi="宋体" w:cs="宋体"/>
                <w:b/>
                <w:bCs/>
                <w:color w:val="auto"/>
                <w:sz w:val="21"/>
                <w:szCs w:val="21"/>
                <w:highlight w:val="none"/>
                <w:lang w:val="en-US" w:eastAsia="zh-CN"/>
              </w:rPr>
              <w:t>任意连续三个月</w:t>
            </w:r>
            <w:r>
              <w:rPr>
                <w:rFonts w:hint="eastAsia" w:ascii="宋体" w:hAnsi="宋体" w:eastAsia="宋体" w:cs="宋体"/>
                <w:b/>
                <w:bCs/>
                <w:color w:val="auto"/>
                <w:sz w:val="21"/>
                <w:szCs w:val="21"/>
                <w:highlight w:val="none"/>
              </w:rPr>
              <w:t>）社保证明文件复印件及相关证书复印件并加盖投标人公章，否则不计分。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341"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608" w:type="pct"/>
            <w:vMerge w:val="continue"/>
            <w:noWrap/>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706"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服务承诺</w:t>
            </w:r>
          </w:p>
          <w:p>
            <w:pPr>
              <w:widowControl/>
              <w:spacing w:line="360" w:lineRule="exact"/>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tc>
        <w:tc>
          <w:tcPr>
            <w:tcW w:w="3343" w:type="pct"/>
            <w:noWrap w:val="0"/>
            <w:tcMar>
              <w:top w:w="15" w:type="dxa"/>
              <w:left w:w="15" w:type="dxa"/>
              <w:right w:w="15" w:type="dxa"/>
            </w:tcMar>
            <w:vAlign w:val="center"/>
          </w:tcPr>
          <w:p>
            <w:pPr>
              <w:widowControl/>
              <w:spacing w:line="360" w:lineRule="exact"/>
              <w:jc w:val="left"/>
              <w:textAlignment w:val="center"/>
              <w:rPr>
                <w:rFonts w:hint="default" w:ascii="宋体" w:hAnsi="宋体" w:eastAsia="宋体" w:cs="宋体"/>
                <w:b/>
                <w:bCs/>
                <w:color w:val="auto"/>
                <w:sz w:val="21"/>
                <w:szCs w:val="21"/>
                <w:highlight w:val="none"/>
                <w:lang w:val="en-US" w:eastAsia="zh-CN"/>
              </w:rPr>
            </w:pPr>
            <w:r>
              <w:rPr>
                <w:rFonts w:hint="eastAsia" w:ascii="宋体" w:hAnsi="宋体" w:cs="宋体"/>
                <w:color w:val="auto"/>
                <w:sz w:val="21"/>
                <w:szCs w:val="21"/>
                <w:highlight w:val="none"/>
              </w:rPr>
              <w:t>若遇突发应急事件，投标单位承诺调配公司其他项目员工增援响应时间在30分钟之内能够到达现场的，计</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分；若遇突发应急事件，投标单位承诺调配公司其他项目员工增援响应时间在60分钟之内能够到达现场的，计</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分；若遇突发应急事件，投标单位承诺调配公司其他项目员工增援响应时间在90分钟之内能够到达现场的，计</w:t>
            </w:r>
            <w:r>
              <w:rPr>
                <w:rFonts w:hint="eastAsia" w:ascii="宋体" w:hAnsi="宋体" w:cs="宋体"/>
                <w:color w:val="auto"/>
                <w:sz w:val="21"/>
                <w:szCs w:val="21"/>
                <w:highlight w:val="none"/>
                <w:lang w:val="en-US" w:eastAsia="zh-CN"/>
              </w:rPr>
              <w:t>0.5</w:t>
            </w:r>
            <w:r>
              <w:rPr>
                <w:rFonts w:hint="eastAsia" w:ascii="宋体" w:hAnsi="宋体" w:cs="宋体"/>
                <w:color w:val="auto"/>
                <w:sz w:val="21"/>
                <w:szCs w:val="21"/>
                <w:highlight w:val="none"/>
              </w:rPr>
              <w:t>分；其余不计分。（提供承诺函，承诺函格式自拟）</w:t>
            </w:r>
          </w:p>
        </w:tc>
      </w:tr>
    </w:tbl>
    <w:p>
      <w:pPr>
        <w:adjustRightInd w:val="0"/>
        <w:snapToGrid w:val="0"/>
        <w:spacing w:line="360" w:lineRule="auto"/>
        <w:ind w:firstLine="422" w:firstLineChars="200"/>
        <w:jc w:val="center"/>
        <w:rPr>
          <w:rStyle w:val="58"/>
          <w:rFonts w:hint="eastAsia"/>
          <w:color w:val="auto"/>
          <w:sz w:val="21"/>
          <w:szCs w:val="21"/>
          <w:highlight w:val="none"/>
        </w:rPr>
      </w:pPr>
      <w:r>
        <w:rPr>
          <w:rStyle w:val="58"/>
          <w:color w:val="auto"/>
          <w:sz w:val="21"/>
          <w:szCs w:val="21"/>
          <w:highlight w:val="none"/>
        </w:rPr>
        <w:br w:type="page"/>
      </w:r>
      <w:r>
        <w:rPr>
          <w:rStyle w:val="58"/>
          <w:rFonts w:hint="eastAsia"/>
          <w:color w:val="auto"/>
          <w:sz w:val="21"/>
          <w:szCs w:val="21"/>
          <w:highlight w:val="none"/>
        </w:rPr>
        <w:t>磋商须知正文</w:t>
      </w:r>
    </w:p>
    <w:p>
      <w:pPr>
        <w:pStyle w:val="4"/>
        <w:jc w:val="left"/>
        <w:rPr>
          <w:rFonts w:hint="eastAsia"/>
          <w:color w:val="auto"/>
          <w:sz w:val="21"/>
          <w:szCs w:val="21"/>
          <w:highlight w:val="none"/>
        </w:rPr>
      </w:pPr>
      <w:r>
        <w:rPr>
          <w:rFonts w:hint="eastAsia"/>
          <w:color w:val="auto"/>
          <w:sz w:val="21"/>
          <w:szCs w:val="21"/>
          <w:highlight w:val="none"/>
        </w:rPr>
        <w:t>一、说明</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1.适用范围</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 本磋商文件仅适用于磋商须知前附表(以下简称</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中所叙述的采购项目。</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2.定义</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2.1 “采购人”是指依法进行政府采购的国家机关、事业单位、团体组织。本次政府采购的采购人名称、地址、电话、联系人见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b/>
          <w:color w:val="auto"/>
          <w:sz w:val="21"/>
          <w:szCs w:val="21"/>
          <w:highlight w:val="none"/>
        </w:rPr>
        <w:t>磋商须知前附表。</w:t>
      </w:r>
    </w:p>
    <w:p>
      <w:pPr>
        <w:adjustRightInd w:val="0"/>
        <w:snapToGrid w:val="0"/>
        <w:spacing w:line="360" w:lineRule="auto"/>
        <w:ind w:firstLine="420" w:firstLineChars="200"/>
        <w:rPr>
          <w:rFonts w:hint="eastAsia" w:ascii="宋体" w:hAnsi="宋体" w:cs="宋体"/>
          <w:bCs/>
          <w:color w:val="auto"/>
          <w:kern w:val="36"/>
          <w:sz w:val="21"/>
          <w:szCs w:val="21"/>
          <w:highlight w:val="none"/>
        </w:rPr>
      </w:pPr>
      <w:r>
        <w:rPr>
          <w:rFonts w:hint="eastAsia" w:ascii="宋体" w:hAnsi="宋体"/>
          <w:color w:val="auto"/>
          <w:sz w:val="21"/>
          <w:szCs w:val="21"/>
          <w:highlight w:val="none"/>
        </w:rPr>
        <w:t>2.3 “供应商”是指响应磋商文件要求、参加竞争性磋商采购的法人、其他组织或者自然人。本次政府采购项目</w:t>
      </w:r>
      <w:r>
        <w:rPr>
          <w:rFonts w:hint="eastAsia" w:ascii="宋体" w:hAnsi="宋体" w:cs="宋体"/>
          <w:color w:val="auto"/>
          <w:kern w:val="0"/>
          <w:sz w:val="21"/>
          <w:szCs w:val="21"/>
          <w:highlight w:val="none"/>
        </w:rPr>
        <w:t>邀请</w:t>
      </w:r>
      <w:r>
        <w:rPr>
          <w:rFonts w:hint="eastAsia" w:ascii="宋体" w:hAnsi="宋体"/>
          <w:color w:val="auto"/>
          <w:sz w:val="21"/>
          <w:szCs w:val="21"/>
          <w:highlight w:val="none"/>
        </w:rPr>
        <w:t>的</w:t>
      </w:r>
      <w:r>
        <w:rPr>
          <w:rFonts w:hint="eastAsia" w:ascii="宋体" w:hAnsi="宋体" w:cs="宋体"/>
          <w:color w:val="auto"/>
          <w:kern w:val="0"/>
          <w:sz w:val="21"/>
          <w:szCs w:val="21"/>
          <w:highlight w:val="none"/>
        </w:rPr>
        <w:t>供应商通过</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所述方式</w:t>
      </w:r>
      <w:r>
        <w:rPr>
          <w:rFonts w:hint="eastAsia" w:ascii="宋体" w:hAnsi="宋体" w:cs="宋体"/>
          <w:color w:val="auto"/>
          <w:kern w:val="0"/>
          <w:sz w:val="21"/>
          <w:szCs w:val="21"/>
          <w:highlight w:val="none"/>
        </w:rPr>
        <w:t>，邀请符合资格条件的供应商提交响应文件（含资格证明资料），参与竞争性磋商采购活动。</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2.4 “磋商小组”是指</w:t>
      </w:r>
      <w:r>
        <w:rPr>
          <w:rFonts w:hint="eastAsia" w:ascii="宋体" w:hAnsi="宋体" w:cs="宋体"/>
          <w:color w:val="auto"/>
          <w:kern w:val="0"/>
          <w:sz w:val="21"/>
          <w:szCs w:val="21"/>
          <w:highlight w:val="none"/>
        </w:rPr>
        <w:t>依据财政部</w:t>
      </w:r>
      <w:r>
        <w:rPr>
          <w:rFonts w:ascii="宋体" w:hAnsi="宋体" w:cs="宋体"/>
          <w:bCs/>
          <w:color w:val="auto"/>
          <w:kern w:val="36"/>
          <w:sz w:val="21"/>
          <w:szCs w:val="21"/>
          <w:highlight w:val="none"/>
        </w:rPr>
        <w:t>《</w:t>
      </w:r>
      <w:r>
        <w:rPr>
          <w:rFonts w:hint="eastAsia" w:ascii="宋体" w:hAnsi="宋体" w:cs="宋体"/>
          <w:bCs/>
          <w:color w:val="auto"/>
          <w:kern w:val="36"/>
          <w:sz w:val="21"/>
          <w:szCs w:val="21"/>
          <w:highlight w:val="none"/>
        </w:rPr>
        <w:t>政府采购竞争性磋商采购方式管理暂行办法</w:t>
      </w:r>
      <w:r>
        <w:rPr>
          <w:rFonts w:ascii="宋体" w:hAnsi="宋体" w:cs="宋体"/>
          <w:bCs/>
          <w:color w:val="auto"/>
          <w:kern w:val="36"/>
          <w:sz w:val="21"/>
          <w:szCs w:val="21"/>
          <w:highlight w:val="none"/>
        </w:rPr>
        <w:t>》</w:t>
      </w:r>
      <w:r>
        <w:rPr>
          <w:rFonts w:hint="eastAsia" w:ascii="宋体" w:hAnsi="宋体" w:cs="宋体"/>
          <w:bCs/>
          <w:color w:val="auto"/>
          <w:kern w:val="36"/>
          <w:sz w:val="21"/>
          <w:szCs w:val="21"/>
          <w:highlight w:val="none"/>
        </w:rPr>
        <w:t>有关规定组建，依法依规</w:t>
      </w:r>
      <w:r>
        <w:rPr>
          <w:rFonts w:hint="eastAsia" w:ascii="宋体" w:hAnsi="宋体" w:cs="宋体"/>
          <w:color w:val="auto"/>
          <w:kern w:val="0"/>
          <w:sz w:val="21"/>
          <w:szCs w:val="21"/>
          <w:highlight w:val="none"/>
        </w:rPr>
        <w:t>履行其职责和义务的机构。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2.5 “货物”是指各种形态和种类的物品，包括原资料、燃料、设备、产品等，详见《政府采购品目分类目录》(</w:t>
      </w:r>
      <w:r>
        <w:rPr>
          <w:rStyle w:val="44"/>
          <w:rFonts w:ascii="宋体" w:hAnsi="宋体"/>
          <w:b w:val="0"/>
          <w:color w:val="auto"/>
          <w:sz w:val="21"/>
          <w:szCs w:val="21"/>
          <w:highlight w:val="none"/>
        </w:rPr>
        <w:t>财库</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2013</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 “工程”是指建设工程，包括建筑物和构筑物的新建、改建、扩建、装修、拆除、修缮等，详见《政府采购品目分类目录》(</w:t>
      </w:r>
      <w:r>
        <w:rPr>
          <w:rStyle w:val="44"/>
          <w:rFonts w:ascii="宋体" w:hAnsi="宋体"/>
          <w:b w:val="0"/>
          <w:color w:val="auto"/>
          <w:sz w:val="21"/>
          <w:szCs w:val="21"/>
          <w:highlight w:val="none"/>
        </w:rPr>
        <w:t>财库</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2013</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2.7 “服务”是指除货物和工程以外的其他政府采购对象，详见《政府采购品目分类目录》(</w:t>
      </w:r>
      <w:r>
        <w:rPr>
          <w:rStyle w:val="44"/>
          <w:rFonts w:ascii="宋体" w:hAnsi="宋体"/>
          <w:b w:val="0"/>
          <w:color w:val="auto"/>
          <w:sz w:val="21"/>
          <w:szCs w:val="21"/>
          <w:highlight w:val="none"/>
        </w:rPr>
        <w:t>财库</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2013</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kern w:val="0"/>
          <w:sz w:val="21"/>
          <w:szCs w:val="21"/>
          <w:highlight w:val="none"/>
        </w:rPr>
        <w:t>2.8</w:t>
      </w:r>
      <w:r>
        <w:rPr>
          <w:rFonts w:hint="eastAsia" w:ascii="宋体" w:hAnsi="宋体"/>
          <w:color w:val="auto"/>
          <w:sz w:val="21"/>
          <w:szCs w:val="21"/>
          <w:highlight w:val="none"/>
        </w:rPr>
        <w:t xml:space="preserve"> “节能产品”或者“环保产品”是指财政部发布的《节能产品政府采购清单》或者《环境标志产品政府采购清单》的产品，“两型产品”是指湖南省财政厅发布的</w:t>
      </w:r>
      <w:r>
        <w:rPr>
          <w:rFonts w:ascii="宋体" w:hAnsi="宋体"/>
          <w:color w:val="auto"/>
          <w:sz w:val="21"/>
          <w:szCs w:val="21"/>
          <w:highlight w:val="none"/>
        </w:rPr>
        <w:t>《湖南省两型产品政府采购目录》</w:t>
      </w:r>
      <w:r>
        <w:rPr>
          <w:rFonts w:hint="eastAsia" w:ascii="宋体" w:hAnsi="宋体"/>
          <w:color w:val="auto"/>
          <w:sz w:val="21"/>
          <w:szCs w:val="21"/>
          <w:highlight w:val="none"/>
        </w:rPr>
        <w:t>或《长沙市两型产品目录》的产品。</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2.9</w:t>
      </w:r>
      <w:r>
        <w:rPr>
          <w:rFonts w:hint="eastAsia" w:ascii="宋体" w:hAnsi="宋体" w:cs="宋体"/>
          <w:color w:val="auto"/>
          <w:kern w:val="0"/>
          <w:sz w:val="21"/>
          <w:szCs w:val="21"/>
          <w:highlight w:val="none"/>
        </w:rPr>
        <w:t xml:space="preserve"> “进口产品”是指通过中国海关报关验放进入中国境内且产自关境外的产品，详见《</w:t>
      </w:r>
      <w:r>
        <w:rPr>
          <w:rFonts w:ascii="宋体" w:hAnsi="宋体" w:cs="宋体"/>
          <w:color w:val="auto"/>
          <w:kern w:val="0"/>
          <w:sz w:val="21"/>
          <w:szCs w:val="21"/>
          <w:highlight w:val="none"/>
        </w:rPr>
        <w:t>关于政府采购进口产品管理有关问题的通知</w:t>
      </w:r>
      <w:r>
        <w:rPr>
          <w:rFonts w:hint="eastAsia" w:ascii="宋体" w:hAnsi="宋体" w:cs="宋体"/>
          <w:color w:val="auto"/>
          <w:kern w:val="0"/>
          <w:sz w:val="21"/>
          <w:szCs w:val="21"/>
          <w:highlight w:val="none"/>
        </w:rPr>
        <w:t>》(财库[2007]119号)。</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3.供应商的资格要求</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 供应商应当符合</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中规定的资格条件要求。</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3.2供应商</w:t>
      </w:r>
      <w:r>
        <w:rPr>
          <w:rFonts w:hint="eastAsia" w:hAnsi="宋体"/>
          <w:color w:val="auto"/>
          <w:sz w:val="21"/>
          <w:szCs w:val="21"/>
          <w:highlight w:val="none"/>
        </w:rPr>
        <w:t>为联合体形式的</w:t>
      </w:r>
      <w:r>
        <w:rPr>
          <w:rFonts w:hint="eastAsia" w:ascii="宋体" w:hAnsi="宋体"/>
          <w:color w:val="auto"/>
          <w:sz w:val="21"/>
          <w:szCs w:val="21"/>
          <w:highlight w:val="none"/>
        </w:rPr>
        <w:t xml:space="preserve">，除应满足本章第3.1款资格条件要求及第3.3款规定外，还应遵守以下规定： </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（3）以联合体形式参加政府采购活动的，联合体各方不得再单独参加或者与其他供应商另外组成联合体参加同一合同项下的政府采购活动。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3.3 供应商不得存在下列情形之一：</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（l）与采购人、采购代理机构存在</w:t>
      </w:r>
      <w:r>
        <w:rPr>
          <w:rFonts w:hint="eastAsia" w:ascii="宋体" w:hAnsi="宋体"/>
          <w:bCs/>
          <w:color w:val="auto"/>
          <w:sz w:val="21"/>
          <w:szCs w:val="21"/>
          <w:highlight w:val="none"/>
        </w:rPr>
        <w:t>隶属关系或者其他利害关系</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（2）与其他供应商的法定代表人（或者负责人）为同一人，或者与其他供应商存在直接控股、管理关系。</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bCs/>
          <w:color w:val="auto"/>
          <w:sz w:val="21"/>
          <w:szCs w:val="21"/>
          <w:highlight w:val="none"/>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olor w:val="auto"/>
          <w:sz w:val="21"/>
          <w:szCs w:val="21"/>
          <w:highlight w:val="none"/>
        </w:rPr>
        <w:t>财政部门认定的其他重大违法记录。</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 xml:space="preserve">4.参与磋商的费用 </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 无论磋商的结果如何，供应商应自行承担所有与竞争性磋商采购活动有关的全部费用。</w:t>
      </w:r>
    </w:p>
    <w:p>
      <w:pPr>
        <w:pStyle w:val="22"/>
        <w:adjustRightInd w:val="0"/>
        <w:snapToGrid w:val="0"/>
        <w:spacing w:line="360" w:lineRule="auto"/>
        <w:rPr>
          <w:rFonts w:hint="eastAsia" w:hAnsi="宋体"/>
          <w:b/>
          <w:bCs/>
          <w:color w:val="auto"/>
          <w:highlight w:val="none"/>
        </w:rPr>
      </w:pPr>
      <w:r>
        <w:rPr>
          <w:rFonts w:hint="eastAsia" w:hAnsi="宋体"/>
          <w:b/>
          <w:color w:val="auto"/>
          <w:highlight w:val="none"/>
        </w:rPr>
        <w:t>5．</w:t>
      </w:r>
      <w:r>
        <w:rPr>
          <w:rFonts w:hint="eastAsia" w:hAnsi="宋体"/>
          <w:b/>
          <w:bCs/>
          <w:color w:val="auto"/>
          <w:highlight w:val="none"/>
        </w:rPr>
        <w:t>授权委托</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5.1供应商代表为供应商法定代表人的，应持有法定代表人身份证明。供应商代表不是供应商法定代表人的，应持有法定代表人授权书，并附法定代表人身份证明。</w:t>
      </w:r>
    </w:p>
    <w:p>
      <w:pPr>
        <w:pStyle w:val="22"/>
        <w:adjustRightInd w:val="0"/>
        <w:snapToGrid w:val="0"/>
        <w:spacing w:line="360" w:lineRule="auto"/>
        <w:rPr>
          <w:rFonts w:hint="eastAsia" w:hAnsi="宋体"/>
          <w:b/>
          <w:color w:val="auto"/>
          <w:highlight w:val="none"/>
        </w:rPr>
      </w:pPr>
      <w:r>
        <w:rPr>
          <w:rFonts w:hint="eastAsia" w:hAnsi="宋体"/>
          <w:b/>
          <w:color w:val="auto"/>
          <w:highlight w:val="none"/>
        </w:rPr>
        <w:t>6．联合体形式</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6.1除</w:t>
      </w:r>
      <w:r>
        <w:rPr>
          <w:rFonts w:hint="eastAsia" w:hAnsi="宋体"/>
          <w:b/>
          <w:color w:val="auto"/>
          <w:highlight w:val="none"/>
        </w:rPr>
        <w:t>磋商须知前附表</w:t>
      </w:r>
      <w:r>
        <w:rPr>
          <w:rFonts w:hint="eastAsia" w:hAnsi="宋体"/>
          <w:color w:val="auto"/>
          <w:highlight w:val="none"/>
        </w:rPr>
        <w:t>中另有规定，本次磋商采购不接受为联合体形式的供应商。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6.2供应商</w:t>
      </w:r>
      <w:r>
        <w:rPr>
          <w:rFonts w:hint="eastAsia" w:hAnsi="宋体"/>
          <w:color w:val="auto"/>
          <w:sz w:val="21"/>
          <w:szCs w:val="21"/>
          <w:highlight w:val="none"/>
        </w:rPr>
        <w:t>为联合体形式的</w:t>
      </w:r>
      <w:r>
        <w:rPr>
          <w:rFonts w:hint="eastAsia" w:ascii="宋体" w:hAnsi="宋体"/>
          <w:color w:val="auto"/>
          <w:sz w:val="21"/>
          <w:szCs w:val="21"/>
          <w:highlight w:val="none"/>
        </w:rPr>
        <w:t>，除应符合本章第3条规定外，还应遵守以下规定：</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（2）联合体各方均应当符合本章第3.1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规定的供应商基本资格条件；</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（3）除</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中另有规定，联合体各方中至少有一方应当符合本章第3.1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规定的供应商特定资格条件；</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olor w:val="auto"/>
          <w:sz w:val="21"/>
          <w:szCs w:val="21"/>
          <w:highlight w:val="none"/>
        </w:rPr>
        <w:t>（4）</w:t>
      </w:r>
      <w:r>
        <w:rPr>
          <w:rFonts w:hint="eastAsia" w:ascii="宋体" w:hAnsi="宋体" w:cs="宋体"/>
          <w:color w:val="auto"/>
          <w:kern w:val="0"/>
          <w:sz w:val="21"/>
          <w:szCs w:val="21"/>
          <w:highlight w:val="none"/>
          <w:lang w:val="zh-CN"/>
        </w:rPr>
        <w:t>联合体各方不得再单独或与其他供应商组成新的联合体参加同一项目的采购活动。</w:t>
      </w:r>
    </w:p>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7.现场勘察</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7.1供应商应按</w:t>
      </w:r>
      <w:r>
        <w:rPr>
          <w:rFonts w:hint="eastAsia" w:hAnsi="宋体"/>
          <w:b/>
          <w:color w:val="auto"/>
          <w:sz w:val="21"/>
          <w:szCs w:val="21"/>
          <w:highlight w:val="none"/>
        </w:rPr>
        <w:t>磋商须知前附表</w:t>
      </w:r>
      <w:r>
        <w:rPr>
          <w:rFonts w:hint="eastAsia" w:hAnsi="宋体"/>
          <w:color w:val="auto"/>
          <w:sz w:val="21"/>
          <w:szCs w:val="21"/>
          <w:highlight w:val="none"/>
        </w:rPr>
        <w:t>中规定</w:t>
      </w:r>
      <w:r>
        <w:rPr>
          <w:rFonts w:hint="eastAsia" w:ascii="宋体" w:hAnsi="宋体"/>
          <w:color w:val="auto"/>
          <w:sz w:val="21"/>
          <w:szCs w:val="21"/>
          <w:highlight w:val="none"/>
        </w:rPr>
        <w:t>对采购项目现场和周围环境的现场考察。</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hint="eastAsia" w:ascii="宋体" w:hAnsi="宋体"/>
          <w:b/>
          <w:color w:val="auto"/>
          <w:sz w:val="21"/>
          <w:szCs w:val="21"/>
          <w:highlight w:val="none"/>
        </w:rPr>
      </w:pPr>
      <w:r>
        <w:rPr>
          <w:rFonts w:hint="eastAsia" w:ascii="宋体" w:hAnsi="宋体"/>
          <w:color w:val="auto"/>
          <w:sz w:val="21"/>
          <w:szCs w:val="21"/>
          <w:highlight w:val="none"/>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8.采购进口产品</w:t>
      </w:r>
    </w:p>
    <w:p>
      <w:pPr>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olor w:val="auto"/>
          <w:sz w:val="21"/>
          <w:szCs w:val="21"/>
          <w:highlight w:val="none"/>
        </w:rPr>
        <w:t>8.1除</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另有规定外，本项目</w:t>
      </w:r>
      <w:r>
        <w:rPr>
          <w:rFonts w:hint="eastAsia" w:ascii="宋体" w:hAnsi="宋体" w:cs="宋体"/>
          <w:color w:val="auto"/>
          <w:kern w:val="0"/>
          <w:sz w:val="21"/>
          <w:szCs w:val="21"/>
          <w:highlight w:val="none"/>
        </w:rPr>
        <w:t>拒绝进口产品参加</w:t>
      </w:r>
      <w:r>
        <w:rPr>
          <w:rFonts w:hint="eastAsia" w:ascii="宋体" w:hAnsi="宋体"/>
          <w:color w:val="auto"/>
          <w:sz w:val="21"/>
          <w:szCs w:val="21"/>
          <w:highlight w:val="none"/>
        </w:rPr>
        <w:t>竞争性磋商采购活动</w:t>
      </w:r>
      <w:r>
        <w:rPr>
          <w:rFonts w:hint="eastAsia" w:ascii="宋体" w:hAnsi="宋体" w:cs="宋体"/>
          <w:color w:val="auto"/>
          <w:kern w:val="0"/>
          <w:sz w:val="21"/>
          <w:szCs w:val="21"/>
          <w:highlight w:val="none"/>
        </w:rPr>
        <w:t>。</w:t>
      </w:r>
    </w:p>
    <w:p>
      <w:pPr>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8.2</w:t>
      </w:r>
      <w:r>
        <w:rPr>
          <w:rFonts w:hint="eastAsia" w:ascii="宋体" w:hAnsi="宋体"/>
          <w:color w:val="auto"/>
          <w:sz w:val="21"/>
          <w:szCs w:val="21"/>
          <w:highlight w:val="none"/>
        </w:rPr>
        <w:t>本章第7.1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ascii="宋体" w:hAnsi="宋体" w:cs="宋体"/>
          <w:color w:val="auto"/>
          <w:kern w:val="0"/>
          <w:sz w:val="21"/>
          <w:szCs w:val="21"/>
          <w:highlight w:val="none"/>
        </w:rPr>
        <w:t>同意购买进口产品的</w:t>
      </w:r>
      <w:r>
        <w:rPr>
          <w:rFonts w:hint="eastAsia" w:ascii="宋体" w:hAnsi="宋体" w:cs="宋体"/>
          <w:color w:val="auto"/>
          <w:kern w:val="0"/>
          <w:sz w:val="21"/>
          <w:szCs w:val="21"/>
          <w:highlight w:val="none"/>
        </w:rPr>
        <w:t>，</w:t>
      </w:r>
      <w:r>
        <w:rPr>
          <w:rFonts w:hint="eastAsia" w:ascii="宋体" w:hAnsi="宋体"/>
          <w:color w:val="auto"/>
          <w:sz w:val="21"/>
          <w:szCs w:val="21"/>
          <w:highlight w:val="none"/>
        </w:rPr>
        <w:t>本项目</w:t>
      </w:r>
      <w:r>
        <w:rPr>
          <w:rFonts w:hint="eastAsia" w:ascii="宋体" w:hAnsi="宋体" w:cs="宋体"/>
          <w:color w:val="auto"/>
          <w:kern w:val="0"/>
          <w:sz w:val="21"/>
          <w:szCs w:val="21"/>
          <w:highlight w:val="none"/>
          <w:lang w:val="zh-CN"/>
        </w:rPr>
        <w:t>采购活动</w:t>
      </w:r>
      <w:r>
        <w:rPr>
          <w:rFonts w:hint="eastAsia" w:ascii="宋体" w:hAnsi="宋体" w:cs="宋体"/>
          <w:color w:val="auto"/>
          <w:kern w:val="0"/>
          <w:sz w:val="21"/>
          <w:szCs w:val="21"/>
          <w:highlight w:val="none"/>
        </w:rPr>
        <w:t>不</w:t>
      </w:r>
      <w:r>
        <w:rPr>
          <w:rFonts w:ascii="宋体" w:hAnsi="宋体" w:cs="宋体"/>
          <w:color w:val="auto"/>
          <w:kern w:val="0"/>
          <w:sz w:val="21"/>
          <w:szCs w:val="21"/>
          <w:highlight w:val="none"/>
        </w:rPr>
        <w:t>限制满足</w:t>
      </w:r>
      <w:r>
        <w:rPr>
          <w:rFonts w:hint="eastAsia" w:ascii="宋体" w:hAnsi="宋体"/>
          <w:color w:val="auto"/>
          <w:sz w:val="21"/>
          <w:szCs w:val="21"/>
          <w:highlight w:val="none"/>
        </w:rPr>
        <w:t>磋商文件要求</w:t>
      </w:r>
      <w:r>
        <w:rPr>
          <w:rFonts w:ascii="宋体" w:hAnsi="宋体" w:cs="宋体"/>
          <w:color w:val="auto"/>
          <w:kern w:val="0"/>
          <w:sz w:val="21"/>
          <w:szCs w:val="21"/>
          <w:highlight w:val="none"/>
        </w:rPr>
        <w:t>的国内产品参与</w:t>
      </w:r>
      <w:r>
        <w:rPr>
          <w:rFonts w:hint="eastAsia" w:ascii="宋体" w:hAnsi="宋体"/>
          <w:color w:val="auto"/>
          <w:sz w:val="21"/>
          <w:szCs w:val="21"/>
          <w:highlight w:val="none"/>
        </w:rPr>
        <w:t>竞争性磋商</w:t>
      </w:r>
      <w:r>
        <w:rPr>
          <w:rFonts w:ascii="宋体" w:hAnsi="宋体" w:cs="宋体"/>
          <w:color w:val="auto"/>
          <w:kern w:val="0"/>
          <w:sz w:val="21"/>
          <w:szCs w:val="21"/>
          <w:highlight w:val="none"/>
        </w:rPr>
        <w:t>。</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bCs/>
          <w:color w:val="auto"/>
          <w:sz w:val="21"/>
          <w:szCs w:val="21"/>
          <w:highlight w:val="none"/>
        </w:rPr>
        <w:t>9.</w:t>
      </w:r>
      <w:r>
        <w:rPr>
          <w:rFonts w:hint="eastAsia" w:ascii="宋体" w:hAnsi="宋体"/>
          <w:b/>
          <w:color w:val="auto"/>
          <w:sz w:val="21"/>
          <w:szCs w:val="21"/>
          <w:highlight w:val="none"/>
        </w:rPr>
        <w:t xml:space="preserve"> 政府采购政策支持</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9.1对列入财政部、国家发展改革委发布的《节能产品政府采购清单》且属于应当“强制采购的节能产品”，按照规定实行强制采购。实行政府采购强制采购的节能产品见</w:t>
      </w:r>
      <w:r>
        <w:rPr>
          <w:rFonts w:hint="eastAsia" w:ascii="宋体" w:hAnsi="宋体" w:cs="宋体"/>
          <w:b/>
          <w:color w:val="auto"/>
          <w:kern w:val="0"/>
          <w:sz w:val="21"/>
          <w:szCs w:val="21"/>
          <w:highlight w:val="none"/>
        </w:rPr>
        <w:t>磋商文件前附表。</w:t>
      </w:r>
    </w:p>
    <w:p>
      <w:pPr>
        <w:pStyle w:val="22"/>
        <w:adjustRightInd w:val="0"/>
        <w:snapToGrid w:val="0"/>
        <w:spacing w:line="360" w:lineRule="auto"/>
        <w:ind w:firstLine="420" w:firstLineChars="200"/>
        <w:rPr>
          <w:rFonts w:hint="eastAsia"/>
          <w:color w:val="auto"/>
          <w:highlight w:val="none"/>
        </w:rPr>
      </w:pPr>
      <w:r>
        <w:rPr>
          <w:rFonts w:hint="eastAsia" w:hAnsi="宋体" w:cs="宋体"/>
          <w:color w:val="auto"/>
          <w:kern w:val="0"/>
          <w:highlight w:val="none"/>
        </w:rPr>
        <w:t>9.2对列入财政部、国家发展改革委发布的《节能产品政府采购清单》的“非强制采购节能产品”，财政部、环境保护部发布的《环境标志产品政府采购清单》的“环境标志产品”，湖南省财政2厅、湖南省科学技术厅、湖南省长株潭“两型社会”试验区建设管理委员会发布的《湖南省两型产品政府采购目录》</w:t>
      </w:r>
      <w:r>
        <w:rPr>
          <w:rFonts w:hint="eastAsia" w:hAnsi="宋体"/>
          <w:color w:val="auto"/>
          <w:highlight w:val="none"/>
        </w:rPr>
        <w:t>或《长沙市两型产品目录》</w:t>
      </w:r>
      <w:r>
        <w:rPr>
          <w:rFonts w:hint="eastAsia" w:hAnsi="宋体" w:cs="宋体"/>
          <w:color w:val="auto"/>
          <w:kern w:val="0"/>
          <w:highlight w:val="none"/>
        </w:rPr>
        <w:t>的“两型产品”以及中小企业，实行优先采购，按照省级以上财政部门有关政策规定，评审时进行价格扣除或加分。实行政府采购优先采购的优惠率见</w:t>
      </w:r>
      <w:r>
        <w:rPr>
          <w:rFonts w:hint="eastAsia" w:hAnsi="宋体" w:cs="宋体"/>
          <w:b/>
          <w:color w:val="auto"/>
          <w:kern w:val="0"/>
          <w:highlight w:val="none"/>
        </w:rPr>
        <w:t>磋商文件前附表。</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9.5符合本章第9.1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第9.2</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规定的，应提供相关证明资料。</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9.6供应商有融资、担保需求的，具体办理流程可向</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所列金融机构和担保机构询问。</w:t>
      </w:r>
    </w:p>
    <w:p>
      <w:pPr>
        <w:pStyle w:val="4"/>
        <w:jc w:val="left"/>
        <w:rPr>
          <w:rFonts w:hint="eastAsia"/>
          <w:color w:val="auto"/>
          <w:sz w:val="21"/>
          <w:szCs w:val="21"/>
          <w:highlight w:val="none"/>
        </w:rPr>
      </w:pPr>
      <w:r>
        <w:rPr>
          <w:rFonts w:hint="eastAsia"/>
          <w:color w:val="auto"/>
          <w:sz w:val="21"/>
          <w:szCs w:val="21"/>
          <w:highlight w:val="none"/>
        </w:rPr>
        <w:t>二、磋商文件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10．磋商文件的组成</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10.1 磋商文件由下列文件组成：</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第一章 磋商邀请</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第二章 磋商须知</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第三章 采购合同格式条款</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第四章 采购需求</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第五章 响应文件组成</w:t>
      </w:r>
    </w:p>
    <w:p>
      <w:pPr>
        <w:pStyle w:val="22"/>
        <w:adjustRightInd w:val="0"/>
        <w:snapToGrid w:val="0"/>
        <w:spacing w:line="360" w:lineRule="auto"/>
        <w:ind w:firstLine="420" w:firstLineChars="200"/>
        <w:rPr>
          <w:rFonts w:hint="eastAsia" w:hAnsi="宋体" w:cs="宋体"/>
          <w:color w:val="auto"/>
          <w:kern w:val="0"/>
          <w:highlight w:val="none"/>
        </w:rPr>
      </w:pPr>
      <w:r>
        <w:rPr>
          <w:rFonts w:hint="eastAsia"/>
          <w:color w:val="auto"/>
          <w:highlight w:val="none"/>
        </w:rPr>
        <w:t>10.2</w:t>
      </w:r>
      <w:r>
        <w:rPr>
          <w:rFonts w:hint="eastAsia" w:hAnsi="宋体" w:cs="宋体"/>
          <w:color w:val="auto"/>
          <w:kern w:val="0"/>
          <w:highlight w:val="none"/>
        </w:rPr>
        <w:t>磋商小组根据与供应商磋商情况可能实质性变动的内容，包括采购需求中的技术、服务要求以及合同条款，</w:t>
      </w:r>
      <w:r>
        <w:rPr>
          <w:rFonts w:hint="eastAsia"/>
          <w:color w:val="auto"/>
          <w:highlight w:val="none"/>
        </w:rPr>
        <w:t>在</w:t>
      </w:r>
      <w:r>
        <w:rPr>
          <w:rFonts w:hint="eastAsia"/>
          <w:b/>
          <w:color w:val="auto"/>
          <w:highlight w:val="none"/>
        </w:rPr>
        <w:t>磋商须知前附表</w:t>
      </w:r>
      <w:r>
        <w:rPr>
          <w:rFonts w:hint="eastAsia"/>
          <w:color w:val="auto"/>
          <w:highlight w:val="none"/>
        </w:rPr>
        <w:t>中明确。</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10.3供应商应仔细阅读</w:t>
      </w:r>
      <w:r>
        <w:rPr>
          <w:rFonts w:hint="eastAsia" w:ascii="宋体" w:hAnsi="宋体"/>
          <w:bCs/>
          <w:color w:val="auto"/>
          <w:sz w:val="21"/>
          <w:szCs w:val="21"/>
          <w:highlight w:val="none"/>
        </w:rPr>
        <w:t>磋商</w:t>
      </w:r>
      <w:r>
        <w:rPr>
          <w:rFonts w:hint="eastAsia" w:ascii="宋体" w:hAnsi="宋体"/>
          <w:color w:val="auto"/>
          <w:sz w:val="21"/>
          <w:szCs w:val="21"/>
          <w:highlight w:val="none"/>
        </w:rPr>
        <w:t>文件的全部内容，按照</w:t>
      </w:r>
      <w:r>
        <w:rPr>
          <w:rFonts w:hint="eastAsia" w:ascii="宋体" w:hAnsi="宋体"/>
          <w:bCs/>
          <w:color w:val="auto"/>
          <w:sz w:val="21"/>
          <w:szCs w:val="21"/>
          <w:highlight w:val="none"/>
        </w:rPr>
        <w:t>磋商</w:t>
      </w:r>
      <w:r>
        <w:rPr>
          <w:rFonts w:hint="eastAsia" w:ascii="宋体" w:hAnsi="宋体"/>
          <w:color w:val="auto"/>
          <w:sz w:val="21"/>
          <w:szCs w:val="21"/>
          <w:highlight w:val="none"/>
        </w:rPr>
        <w:t>文件要求编制</w:t>
      </w:r>
      <w:r>
        <w:rPr>
          <w:rFonts w:hint="eastAsia"/>
          <w:color w:val="auto"/>
          <w:sz w:val="21"/>
          <w:szCs w:val="21"/>
          <w:highlight w:val="none"/>
        </w:rPr>
        <w:t>响应</w:t>
      </w:r>
      <w:r>
        <w:rPr>
          <w:rFonts w:hint="eastAsia" w:ascii="宋体" w:hAnsi="宋体"/>
          <w:color w:val="auto"/>
          <w:sz w:val="21"/>
          <w:szCs w:val="21"/>
          <w:highlight w:val="none"/>
        </w:rPr>
        <w:t>文件。任何对</w:t>
      </w:r>
      <w:r>
        <w:rPr>
          <w:rFonts w:hint="eastAsia" w:ascii="宋体" w:hAnsi="宋体"/>
          <w:bCs/>
          <w:color w:val="auto"/>
          <w:sz w:val="21"/>
          <w:szCs w:val="21"/>
          <w:highlight w:val="none"/>
        </w:rPr>
        <w:t>磋商</w:t>
      </w:r>
      <w:r>
        <w:rPr>
          <w:rFonts w:hint="eastAsia" w:ascii="宋体" w:hAnsi="宋体"/>
          <w:color w:val="auto"/>
          <w:sz w:val="21"/>
          <w:szCs w:val="21"/>
          <w:highlight w:val="none"/>
        </w:rPr>
        <w:t>文件的忽略或误解不能作为</w:t>
      </w:r>
      <w:r>
        <w:rPr>
          <w:rFonts w:hint="eastAsia"/>
          <w:color w:val="auto"/>
          <w:sz w:val="21"/>
          <w:szCs w:val="21"/>
          <w:highlight w:val="none"/>
        </w:rPr>
        <w:t>响应</w:t>
      </w:r>
      <w:r>
        <w:rPr>
          <w:rFonts w:hint="eastAsia" w:ascii="宋体" w:hAnsi="宋体"/>
          <w:color w:val="auto"/>
          <w:sz w:val="21"/>
          <w:szCs w:val="21"/>
          <w:highlight w:val="none"/>
        </w:rPr>
        <w:t>文件存在缺陷或瑕疵的理由，其风险由供应商承担。</w:t>
      </w:r>
    </w:p>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w:t>
      </w:r>
      <w:r>
        <w:rPr>
          <w:rFonts w:hint="eastAsia"/>
          <w:b/>
          <w:color w:val="auto"/>
          <w:sz w:val="21"/>
          <w:szCs w:val="21"/>
          <w:highlight w:val="none"/>
        </w:rPr>
        <w:t xml:space="preserve"> </w:t>
      </w:r>
      <w:r>
        <w:rPr>
          <w:rFonts w:hint="eastAsia" w:ascii="宋体" w:hAnsi="宋体"/>
          <w:b/>
          <w:color w:val="auto"/>
          <w:sz w:val="21"/>
          <w:szCs w:val="21"/>
          <w:highlight w:val="none"/>
        </w:rPr>
        <w:t>磋商文件的提供期限</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11.1磋商文件的提供期限自开始发出之日起不得少于五个工作日。具体提供期限见</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11.2供应商应持</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规定的资料领取或购买磋商文件。</w:t>
      </w:r>
    </w:p>
    <w:p>
      <w:pPr>
        <w:pStyle w:val="22"/>
        <w:adjustRightInd w:val="0"/>
        <w:snapToGrid w:val="0"/>
        <w:spacing w:line="360" w:lineRule="auto"/>
        <w:rPr>
          <w:rFonts w:hint="eastAsia" w:hAnsi="宋体"/>
          <w:color w:val="auto"/>
          <w:highlight w:val="none"/>
        </w:rPr>
      </w:pPr>
      <w:r>
        <w:rPr>
          <w:rFonts w:hint="eastAsia" w:hAnsi="宋体"/>
          <w:b/>
          <w:color w:val="auto"/>
          <w:highlight w:val="none"/>
        </w:rPr>
        <w:t>12.</w:t>
      </w:r>
      <w:r>
        <w:rPr>
          <w:rFonts w:hint="eastAsia" w:hAnsi="宋体" w:cs="宋体"/>
          <w:b/>
          <w:color w:val="auto"/>
          <w:kern w:val="0"/>
          <w:highlight w:val="none"/>
        </w:rPr>
        <w:t>提交首次响应文件</w:t>
      </w:r>
      <w:r>
        <w:rPr>
          <w:rFonts w:hint="eastAsia" w:hAnsi="宋体"/>
          <w:b/>
          <w:color w:val="auto"/>
          <w:highlight w:val="none"/>
        </w:rPr>
        <w:t>的</w:t>
      </w:r>
      <w:r>
        <w:rPr>
          <w:rFonts w:hint="eastAsia" w:hAnsi="宋体" w:cs="宋体"/>
          <w:b/>
          <w:color w:val="auto"/>
          <w:kern w:val="0"/>
          <w:highlight w:val="none"/>
        </w:rPr>
        <w:t>截止</w:t>
      </w:r>
      <w:r>
        <w:rPr>
          <w:rFonts w:hint="eastAsia" w:hAnsi="宋体"/>
          <w:b/>
          <w:color w:val="auto"/>
          <w:highlight w:val="none"/>
        </w:rPr>
        <w:t>时间</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12.1</w:t>
      </w:r>
      <w:r>
        <w:rPr>
          <w:rFonts w:hint="eastAsia" w:hAnsi="宋体" w:cs="宋体"/>
          <w:color w:val="auto"/>
          <w:kern w:val="0"/>
          <w:highlight w:val="none"/>
        </w:rPr>
        <w:t>供应商提交首次响应文件截止</w:t>
      </w:r>
      <w:r>
        <w:rPr>
          <w:rFonts w:hint="eastAsia" w:hAnsi="宋体"/>
          <w:color w:val="auto"/>
          <w:highlight w:val="none"/>
        </w:rPr>
        <w:t>时间见</w:t>
      </w:r>
      <w:r>
        <w:rPr>
          <w:rFonts w:hint="eastAsia" w:hAnsi="宋体"/>
          <w:b/>
          <w:color w:val="auto"/>
          <w:highlight w:val="none"/>
        </w:rPr>
        <w:t>磋商须知前附表</w:t>
      </w:r>
      <w:r>
        <w:rPr>
          <w:rFonts w:hint="eastAsia" w:hAnsi="宋体"/>
          <w:color w:val="auto"/>
          <w:highlight w:val="none"/>
        </w:rPr>
        <w:t>。</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13.磋商文件的澄清</w:t>
      </w:r>
      <w:r>
        <w:rPr>
          <w:rFonts w:hint="eastAsia" w:ascii="宋体" w:hAnsi="宋体"/>
          <w:b/>
          <w:color w:val="auto"/>
          <w:kern w:val="0"/>
          <w:sz w:val="21"/>
          <w:szCs w:val="21"/>
          <w:highlight w:val="none"/>
          <w:lang w:val="zh-CN"/>
        </w:rPr>
        <w:t>或者</w:t>
      </w:r>
      <w:r>
        <w:rPr>
          <w:rFonts w:hint="eastAsia" w:ascii="宋体" w:hAnsi="宋体"/>
          <w:b/>
          <w:bCs/>
          <w:color w:val="auto"/>
          <w:sz w:val="21"/>
          <w:szCs w:val="21"/>
          <w:highlight w:val="none"/>
        </w:rPr>
        <w:t>修改</w:t>
      </w:r>
    </w:p>
    <w:p>
      <w:pPr>
        <w:adjustRightInd w:val="0"/>
        <w:snapToGrid w:val="0"/>
        <w:spacing w:line="360" w:lineRule="auto"/>
        <w:ind w:right="-140" w:rightChars="-50"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13.1在</w:t>
      </w:r>
      <w:r>
        <w:rPr>
          <w:rFonts w:hint="eastAsia" w:ascii="宋体" w:hAnsi="宋体" w:cs="宋体"/>
          <w:color w:val="auto"/>
          <w:kern w:val="0"/>
          <w:sz w:val="21"/>
          <w:szCs w:val="21"/>
          <w:highlight w:val="none"/>
        </w:rPr>
        <w:t xml:space="preserve">提交首次响应文件截止之日前，采购人、采购代理机构可以对已发出的磋商文件进行必要的澄清或者修改。 </w:t>
      </w:r>
    </w:p>
    <w:p>
      <w:pPr>
        <w:adjustRightInd w:val="0"/>
        <w:snapToGrid w:val="0"/>
        <w:spacing w:line="360" w:lineRule="auto"/>
        <w:ind w:right="-140" w:rightChars="-50"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13.2</w:t>
      </w:r>
      <w:r>
        <w:rPr>
          <w:rFonts w:hint="eastAsia" w:ascii="宋体" w:hAnsi="宋体" w:cs="宋体"/>
          <w:color w:val="auto"/>
          <w:kern w:val="0"/>
          <w:sz w:val="21"/>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2"/>
        <w:adjustRightInd w:val="0"/>
        <w:snapToGrid w:val="0"/>
        <w:spacing w:line="360" w:lineRule="auto"/>
        <w:ind w:firstLine="420" w:firstLineChars="200"/>
        <w:rPr>
          <w:rFonts w:hint="eastAsia"/>
          <w:color w:val="auto"/>
          <w:highlight w:val="none"/>
        </w:rPr>
      </w:pPr>
      <w:r>
        <w:rPr>
          <w:rFonts w:hint="eastAsia"/>
          <w:color w:val="auto"/>
          <w:highlight w:val="none"/>
        </w:rPr>
        <w:t>13.2</w:t>
      </w:r>
      <w:r>
        <w:rPr>
          <w:rFonts w:hint="eastAsia" w:hAnsi="宋体" w:cs="宋体"/>
          <w:color w:val="auto"/>
          <w:kern w:val="0"/>
          <w:highlight w:val="none"/>
        </w:rPr>
        <w:t>提交首次响应文件截止时间前对磋商文件澄清或者修改内容，为磋商文件的组成部分。</w:t>
      </w:r>
    </w:p>
    <w:p>
      <w:pPr>
        <w:pStyle w:val="4"/>
        <w:jc w:val="left"/>
        <w:rPr>
          <w:rFonts w:hint="eastAsia"/>
          <w:color w:val="auto"/>
          <w:sz w:val="21"/>
          <w:szCs w:val="21"/>
          <w:highlight w:val="none"/>
        </w:rPr>
      </w:pPr>
      <w:r>
        <w:rPr>
          <w:rFonts w:hint="eastAsia"/>
          <w:color w:val="auto"/>
          <w:sz w:val="21"/>
          <w:szCs w:val="21"/>
          <w:highlight w:val="none"/>
        </w:rPr>
        <w:t>三、响应文件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14.一般要求</w:t>
      </w:r>
    </w:p>
    <w:p>
      <w:pPr>
        <w:adjustRightInd w:val="0"/>
        <w:snapToGrid w:val="0"/>
        <w:spacing w:line="360" w:lineRule="auto"/>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 xml:space="preserve">14.2 </w:t>
      </w:r>
      <w:r>
        <w:rPr>
          <w:rFonts w:hint="eastAsia" w:ascii="宋体" w:hAnsi="宋体"/>
          <w:color w:val="auto"/>
          <w:sz w:val="21"/>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2"/>
        <w:adjustRightInd w:val="0"/>
        <w:snapToGrid w:val="0"/>
        <w:spacing w:line="360" w:lineRule="auto"/>
        <w:ind w:firstLine="420" w:firstLineChars="200"/>
        <w:rPr>
          <w:rFonts w:hint="eastAsia" w:hAnsi="宋体"/>
          <w:color w:val="auto"/>
          <w:highlight w:val="none"/>
        </w:rPr>
      </w:pPr>
      <w:r>
        <w:rPr>
          <w:rFonts w:hint="eastAsia" w:hAnsi="宋体"/>
          <w:bCs/>
          <w:color w:val="auto"/>
          <w:highlight w:val="none"/>
        </w:rPr>
        <w:t xml:space="preserve">14.3 </w:t>
      </w:r>
      <w:r>
        <w:rPr>
          <w:rFonts w:hint="eastAsia" w:hAnsi="宋体"/>
          <w:color w:val="auto"/>
          <w:highlight w:val="none"/>
        </w:rPr>
        <w:t>计量单位应使用我国法定计量单位，未列明时应默认为我国法定计量单位。</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14.5 供应商应按磋商文件中提供的响应文件格式填写。</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15.</w:t>
      </w:r>
      <w:r>
        <w:rPr>
          <w:rFonts w:hint="eastAsia" w:ascii="宋体" w:hAnsi="宋体"/>
          <w:b/>
          <w:color w:val="auto"/>
          <w:sz w:val="21"/>
          <w:szCs w:val="21"/>
          <w:highlight w:val="none"/>
        </w:rPr>
        <w:t>响应文件</w:t>
      </w:r>
      <w:r>
        <w:rPr>
          <w:rFonts w:hint="eastAsia" w:ascii="宋体" w:hAnsi="宋体"/>
          <w:b/>
          <w:bCs/>
          <w:color w:val="auto"/>
          <w:sz w:val="21"/>
          <w:szCs w:val="21"/>
          <w:highlight w:val="none"/>
        </w:rPr>
        <w:t>的组成</w:t>
      </w:r>
    </w:p>
    <w:p>
      <w:pPr>
        <w:rPr>
          <w:rFonts w:hint="eastAsia" w:ascii="宋体" w:hAnsi="宋体"/>
          <w:color w:val="auto"/>
          <w:sz w:val="21"/>
          <w:szCs w:val="21"/>
          <w:highlight w:val="none"/>
        </w:rPr>
      </w:pPr>
      <w:r>
        <w:rPr>
          <w:rFonts w:hint="eastAsia" w:ascii="宋体" w:hAnsi="宋体"/>
          <w:color w:val="auto"/>
          <w:sz w:val="21"/>
          <w:szCs w:val="21"/>
          <w:highlight w:val="none"/>
        </w:rPr>
        <w:t>15.1</w:t>
      </w:r>
      <w:r>
        <w:rPr>
          <w:rFonts w:hint="eastAsia" w:hAnsi="宋体"/>
          <w:color w:val="auto"/>
          <w:sz w:val="21"/>
          <w:szCs w:val="21"/>
          <w:highlight w:val="none"/>
        </w:rPr>
        <w:t xml:space="preserve"> 响应文件包括下列内容：</w:t>
      </w:r>
      <w:r>
        <w:rPr>
          <w:rFonts w:hint="eastAsia" w:ascii="宋体" w:hAnsi="宋体"/>
          <w:color w:val="auto"/>
          <w:sz w:val="21"/>
          <w:szCs w:val="21"/>
          <w:highlight w:val="none"/>
        </w:rPr>
        <w:t xml:space="preserve"> </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（1）磋商响应声明</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（2）保证金</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（3）供应商的资格证明文件</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（4）货物或服务方案说明</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（5）技术/商务响应与偏离表</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（6）提供享受政府采购政策的证明材料和清单表</w:t>
      </w:r>
    </w:p>
    <w:p>
      <w:pPr>
        <w:pStyle w:val="22"/>
        <w:adjustRightInd w:val="0"/>
        <w:snapToGrid w:val="0"/>
        <w:spacing w:line="360" w:lineRule="auto"/>
        <w:ind w:firstLine="420" w:firstLineChars="200"/>
        <w:rPr>
          <w:rFonts w:hAnsi="宋体"/>
          <w:color w:val="auto"/>
          <w:highlight w:val="none"/>
        </w:rPr>
      </w:pPr>
      <w:r>
        <w:rPr>
          <w:rFonts w:hint="eastAsia" w:hAnsi="宋体"/>
          <w:color w:val="auto"/>
          <w:highlight w:val="none"/>
        </w:rPr>
        <w:t>（7）项目业绩汇总表</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（8）经销或代理或为货物提供售后服务的证明材料</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（9）报价一览表及报价文件</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（10）供应商认为需提供的其他资料</w:t>
      </w:r>
    </w:p>
    <w:p>
      <w:pPr>
        <w:pStyle w:val="22"/>
        <w:adjustRightInd w:val="0"/>
        <w:snapToGrid w:val="0"/>
        <w:spacing w:line="360" w:lineRule="auto"/>
        <w:ind w:firstLine="420" w:firstLineChars="200"/>
        <w:rPr>
          <w:rFonts w:hAnsi="宋体"/>
          <w:color w:val="auto"/>
          <w:highlight w:val="none"/>
        </w:rPr>
      </w:pPr>
      <w:r>
        <w:rPr>
          <w:rFonts w:hint="eastAsia" w:hAnsi="宋体"/>
          <w:color w:val="auto"/>
          <w:highlight w:val="none"/>
        </w:rPr>
        <w:t>（11）最后报价</w:t>
      </w:r>
    </w:p>
    <w:p>
      <w:pPr>
        <w:adjustRightInd w:val="0"/>
        <w:snapToGrid w:val="0"/>
        <w:spacing w:line="360" w:lineRule="auto"/>
        <w:ind w:firstLine="420" w:firstLineChars="200"/>
        <w:rPr>
          <w:rFonts w:hint="eastAsia" w:hAnsi="宋体"/>
          <w:color w:val="auto"/>
          <w:sz w:val="21"/>
          <w:szCs w:val="21"/>
          <w:highlight w:val="none"/>
        </w:rPr>
      </w:pPr>
      <w:r>
        <w:rPr>
          <w:rFonts w:hint="eastAsia" w:ascii="宋体" w:hAnsi="宋体"/>
          <w:color w:val="auto"/>
          <w:sz w:val="21"/>
          <w:szCs w:val="21"/>
          <w:highlight w:val="none"/>
        </w:rPr>
        <w:t>15.2在磋商过程中，供应商根据</w:t>
      </w:r>
      <w:r>
        <w:rPr>
          <w:rFonts w:hint="eastAsia" w:ascii="宋体" w:hAnsi="宋体" w:cs="宋体"/>
          <w:color w:val="auto"/>
          <w:kern w:val="0"/>
          <w:sz w:val="21"/>
          <w:szCs w:val="21"/>
          <w:highlight w:val="none"/>
        </w:rPr>
        <w:t>磋商小组</w:t>
      </w:r>
      <w:r>
        <w:rPr>
          <w:rFonts w:hint="eastAsia" w:ascii="宋体" w:hAnsi="宋体"/>
          <w:bCs/>
          <w:color w:val="auto"/>
          <w:sz w:val="21"/>
          <w:szCs w:val="21"/>
          <w:highlight w:val="none"/>
        </w:rPr>
        <w:t>书面形式要求</w:t>
      </w:r>
      <w:r>
        <w:rPr>
          <w:rFonts w:hint="eastAsia" w:ascii="宋体" w:hAnsi="宋体" w:cs="宋体"/>
          <w:color w:val="auto"/>
          <w:kern w:val="0"/>
          <w:sz w:val="21"/>
          <w:szCs w:val="21"/>
          <w:highlight w:val="none"/>
        </w:rPr>
        <w:t>提交的</w:t>
      </w:r>
      <w:r>
        <w:rPr>
          <w:rFonts w:hint="eastAsia" w:hAnsi="宋体"/>
          <w:color w:val="auto"/>
          <w:sz w:val="21"/>
          <w:szCs w:val="21"/>
          <w:highlight w:val="none"/>
        </w:rPr>
        <w:t>最后报价(或者</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新提交的响应文件和</w:t>
      </w:r>
      <w:r>
        <w:rPr>
          <w:rFonts w:hint="eastAsia" w:hAnsi="宋体"/>
          <w:color w:val="auto"/>
          <w:sz w:val="21"/>
          <w:szCs w:val="21"/>
          <w:highlight w:val="none"/>
        </w:rPr>
        <w:t>最后报价)是</w:t>
      </w:r>
      <w:r>
        <w:rPr>
          <w:rFonts w:hint="eastAsia" w:ascii="宋体" w:hAnsi="宋体"/>
          <w:color w:val="auto"/>
          <w:sz w:val="21"/>
          <w:szCs w:val="21"/>
          <w:highlight w:val="none"/>
        </w:rPr>
        <w:t>响应文件</w:t>
      </w:r>
      <w:r>
        <w:rPr>
          <w:rFonts w:hint="eastAsia" w:hAnsi="宋体"/>
          <w:color w:val="auto"/>
          <w:sz w:val="21"/>
          <w:szCs w:val="21"/>
          <w:highlight w:val="none"/>
        </w:rPr>
        <w:t>的有效组成部分。</w:t>
      </w:r>
    </w:p>
    <w:p>
      <w:pPr>
        <w:adjustRightInd w:val="0"/>
        <w:snapToGrid w:val="0"/>
        <w:spacing w:line="360" w:lineRule="auto"/>
        <w:ind w:firstLine="420" w:firstLineChars="200"/>
        <w:rPr>
          <w:rFonts w:hint="eastAsia" w:hAnsi="宋体"/>
          <w:b/>
          <w:color w:val="auto"/>
          <w:sz w:val="21"/>
          <w:szCs w:val="21"/>
          <w:highlight w:val="none"/>
        </w:rPr>
      </w:pPr>
      <w:r>
        <w:rPr>
          <w:rFonts w:hint="eastAsia" w:ascii="宋体" w:hAnsi="宋体"/>
          <w:color w:val="auto"/>
          <w:sz w:val="21"/>
          <w:szCs w:val="21"/>
          <w:highlight w:val="none"/>
        </w:rPr>
        <w:t>15.3</w:t>
      </w:r>
      <w:r>
        <w:rPr>
          <w:rFonts w:hint="eastAsia" w:ascii="宋体" w:hAnsi="宋体" w:cs="宋体"/>
          <w:color w:val="auto"/>
          <w:kern w:val="0"/>
          <w:sz w:val="21"/>
          <w:szCs w:val="21"/>
          <w:highlight w:val="none"/>
        </w:rPr>
        <w:t>磋商文件规定可能发生实质性变动的，供应商应当在</w:t>
      </w:r>
      <w:r>
        <w:rPr>
          <w:rFonts w:hint="eastAsia" w:hAnsi="宋体"/>
          <w:color w:val="auto"/>
          <w:sz w:val="21"/>
          <w:szCs w:val="21"/>
          <w:highlight w:val="none"/>
        </w:rPr>
        <w:t>《技术/商务响应与偏离表》中对应内容注明。</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15.4根据《政府采购法》第四十二条的规定，供应商无论成交与否，其响应文件不予退还。</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16.报价</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16.1供应商应当根据磋商文件要求和范围，以</w:t>
      </w:r>
      <w:r>
        <w:rPr>
          <w:rFonts w:hint="eastAsia" w:ascii="宋体" w:hAnsi="宋体"/>
          <w:bCs/>
          <w:color w:val="auto"/>
          <w:sz w:val="21"/>
          <w:szCs w:val="21"/>
          <w:highlight w:val="none"/>
        </w:rPr>
        <w:t>人民币</w:t>
      </w:r>
      <w:r>
        <w:rPr>
          <w:rFonts w:hint="eastAsia" w:ascii="宋体" w:hAnsi="宋体"/>
          <w:color w:val="auto"/>
          <w:sz w:val="21"/>
          <w:szCs w:val="21"/>
          <w:highlight w:val="none"/>
        </w:rPr>
        <w:t>报价，以元为单位，保留小数点后两位。</w:t>
      </w:r>
    </w:p>
    <w:p>
      <w:pPr>
        <w:pStyle w:val="150"/>
        <w:adjustRightInd w:val="0"/>
        <w:snapToGrid w:val="0"/>
        <w:spacing w:line="360" w:lineRule="auto"/>
        <w:ind w:firstLine="420" w:firstLineChars="200"/>
        <w:rPr>
          <w:rFonts w:hint="eastAsia" w:ascii="宋体" w:hAnsi="宋体"/>
          <w:color w:val="auto"/>
          <w:highlight w:val="none"/>
        </w:rPr>
      </w:pPr>
      <w:r>
        <w:rPr>
          <w:rFonts w:hint="eastAsia" w:ascii="宋体" w:hAnsi="宋体"/>
          <w:color w:val="auto"/>
          <w:highlight w:val="none"/>
        </w:rPr>
        <w:t>16.2供应商应按第五章 响应文件组成格式填写。</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16.3响应文件中标明的价格在合同执行过程中是固定不变的，不得以任何理由予以变更。以可变动价格提交的报价将被认为是非实质响应而被拒绝。</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16.4</w:t>
      </w:r>
      <w:r>
        <w:rPr>
          <w:rFonts w:hint="eastAsia" w:hAnsi="宋体" w:cs="宋体"/>
          <w:color w:val="auto"/>
          <w:kern w:val="0"/>
          <w:highlight w:val="none"/>
          <w:lang w:val="zh-CN"/>
        </w:rPr>
        <w:t>供应商</w:t>
      </w:r>
      <w:r>
        <w:rPr>
          <w:rFonts w:hint="eastAsia" w:hAnsi="宋体"/>
          <w:color w:val="auto"/>
          <w:highlight w:val="none"/>
        </w:rPr>
        <w:t>的报价不得超过采购项目预算，采购项目预算或其计算方法见</w:t>
      </w:r>
      <w:r>
        <w:rPr>
          <w:rFonts w:hint="eastAsia" w:hAnsi="宋体"/>
          <w:b/>
          <w:color w:val="auto"/>
          <w:highlight w:val="none"/>
        </w:rPr>
        <w:t>磋商须知前附表</w:t>
      </w:r>
      <w:r>
        <w:rPr>
          <w:rFonts w:hint="eastAsia" w:hAnsi="宋体"/>
          <w:color w:val="auto"/>
          <w:highlight w:val="none"/>
        </w:rPr>
        <w:t>。</w:t>
      </w:r>
    </w:p>
    <w:p>
      <w:pPr>
        <w:pStyle w:val="22"/>
        <w:adjustRightInd w:val="0"/>
        <w:snapToGrid w:val="0"/>
        <w:spacing w:line="360" w:lineRule="auto"/>
        <w:rPr>
          <w:rFonts w:hint="eastAsia"/>
          <w:b/>
          <w:color w:val="auto"/>
          <w:highlight w:val="none"/>
        </w:rPr>
      </w:pPr>
      <w:r>
        <w:rPr>
          <w:rFonts w:hint="eastAsia"/>
          <w:b/>
          <w:color w:val="auto"/>
          <w:highlight w:val="none"/>
        </w:rPr>
        <w:t>17.供应商符合磋商文件规定的证明文件</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17.3 除</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18．样品提供</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 xml:space="preserve">18.1 </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w:t>
      </w:r>
      <w:r>
        <w:rPr>
          <w:rFonts w:hint="eastAsia" w:ascii="宋体" w:hAnsi="宋体"/>
          <w:bCs/>
          <w:color w:val="auto"/>
          <w:sz w:val="21"/>
          <w:szCs w:val="21"/>
          <w:highlight w:val="none"/>
        </w:rPr>
        <w:t>供应商</w:t>
      </w:r>
      <w:r>
        <w:rPr>
          <w:rFonts w:hint="eastAsia" w:ascii="宋体" w:hAnsi="宋体"/>
          <w:color w:val="auto"/>
          <w:sz w:val="21"/>
          <w:szCs w:val="21"/>
          <w:highlight w:val="none"/>
        </w:rPr>
        <w:t>在磋商时提供样品的，</w:t>
      </w:r>
      <w:r>
        <w:rPr>
          <w:rFonts w:hint="eastAsia" w:ascii="宋体" w:hAnsi="宋体"/>
          <w:bCs/>
          <w:color w:val="auto"/>
          <w:sz w:val="21"/>
          <w:szCs w:val="21"/>
          <w:highlight w:val="none"/>
        </w:rPr>
        <w:t>供应商</w:t>
      </w:r>
      <w:r>
        <w:rPr>
          <w:rFonts w:ascii="宋体" w:hAnsi="宋体"/>
          <w:color w:val="auto"/>
          <w:sz w:val="21"/>
          <w:szCs w:val="21"/>
          <w:highlight w:val="none"/>
        </w:rPr>
        <w:t>有以下情形之一的</w:t>
      </w:r>
      <w:r>
        <w:rPr>
          <w:rFonts w:hint="eastAsia" w:ascii="宋体" w:hAnsi="宋体"/>
          <w:color w:val="auto"/>
          <w:sz w:val="21"/>
          <w:szCs w:val="21"/>
          <w:highlight w:val="none"/>
        </w:rPr>
        <w:t>，在评审时将其视为无效响应。</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（1）未在</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规定的提交时间、地点提交</w:t>
      </w:r>
      <w:r>
        <w:rPr>
          <w:rFonts w:ascii="宋体" w:hAnsi="宋体"/>
          <w:color w:val="auto"/>
          <w:sz w:val="21"/>
          <w:szCs w:val="21"/>
          <w:highlight w:val="none"/>
        </w:rPr>
        <w:t>的</w:t>
      </w:r>
      <w:r>
        <w:rPr>
          <w:rFonts w:hint="eastAsia" w:ascii="宋体" w:hAnsi="宋体"/>
          <w:color w:val="auto"/>
          <w:sz w:val="21"/>
          <w:szCs w:val="21"/>
          <w:highlight w:val="none"/>
        </w:rPr>
        <w:t>；</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Cs/>
          <w:color w:val="auto"/>
          <w:sz w:val="21"/>
          <w:szCs w:val="21"/>
          <w:highlight w:val="none"/>
        </w:rPr>
        <w:t>供应商</w:t>
      </w:r>
      <w:r>
        <w:rPr>
          <w:rFonts w:hint="eastAsia" w:ascii="宋体" w:hAnsi="宋体"/>
          <w:color w:val="auto"/>
          <w:sz w:val="21"/>
          <w:szCs w:val="21"/>
          <w:highlight w:val="none"/>
        </w:rPr>
        <w:t>提供的样品与响应文件中提供样品的型号、规格不一致</w:t>
      </w:r>
      <w:r>
        <w:rPr>
          <w:rFonts w:ascii="宋体" w:hAnsi="宋体"/>
          <w:color w:val="auto"/>
          <w:sz w:val="21"/>
          <w:szCs w:val="21"/>
          <w:highlight w:val="none"/>
        </w:rPr>
        <w:t>的</w:t>
      </w:r>
      <w:r>
        <w:rPr>
          <w:rFonts w:hint="eastAsia" w:ascii="宋体" w:hAnsi="宋体"/>
          <w:color w:val="auto"/>
          <w:sz w:val="21"/>
          <w:szCs w:val="21"/>
          <w:highlight w:val="none"/>
        </w:rPr>
        <w:t>。</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19.</w:t>
      </w:r>
      <w:r>
        <w:rPr>
          <w:rFonts w:hint="eastAsia"/>
          <w:color w:val="auto"/>
          <w:sz w:val="21"/>
          <w:szCs w:val="21"/>
          <w:highlight w:val="none"/>
        </w:rPr>
        <w:t xml:space="preserve"> </w:t>
      </w:r>
      <w:r>
        <w:rPr>
          <w:rFonts w:hint="eastAsia" w:ascii="宋体" w:hAnsi="宋体"/>
          <w:b/>
          <w:bCs/>
          <w:color w:val="auto"/>
          <w:sz w:val="21"/>
          <w:szCs w:val="21"/>
          <w:highlight w:val="none"/>
        </w:rPr>
        <w:t>磋商保证金</w:t>
      </w:r>
    </w:p>
    <w:p>
      <w:pPr>
        <w:pStyle w:val="22"/>
        <w:adjustRightInd w:val="0"/>
        <w:snapToGrid w:val="0"/>
        <w:spacing w:line="360" w:lineRule="auto"/>
        <w:ind w:firstLine="420" w:firstLineChars="200"/>
        <w:rPr>
          <w:rFonts w:hint="eastAsia" w:hAnsi="宋体"/>
          <w:bCs/>
          <w:color w:val="auto"/>
          <w:highlight w:val="none"/>
        </w:rPr>
      </w:pPr>
      <w:r>
        <w:rPr>
          <w:rFonts w:hint="eastAsia" w:hAnsi="宋体"/>
          <w:color w:val="auto"/>
          <w:highlight w:val="none"/>
        </w:rPr>
        <w:t>19.1</w:t>
      </w:r>
      <w:r>
        <w:rPr>
          <w:rFonts w:hint="eastAsia" w:hAnsi="宋体"/>
          <w:b/>
          <w:color w:val="auto"/>
          <w:highlight w:val="none"/>
        </w:rPr>
        <w:t>磋商须知前附表</w:t>
      </w:r>
      <w:r>
        <w:rPr>
          <w:rFonts w:hint="eastAsia" w:hAnsi="宋体"/>
          <w:color w:val="auto"/>
          <w:highlight w:val="none"/>
        </w:rPr>
        <w:t>规定交纳磋商</w:t>
      </w:r>
      <w:r>
        <w:rPr>
          <w:rFonts w:hint="eastAsia" w:hAnsi="宋体"/>
          <w:bCs/>
          <w:color w:val="auto"/>
          <w:highlight w:val="none"/>
        </w:rPr>
        <w:t>保证金的</w:t>
      </w:r>
      <w:r>
        <w:rPr>
          <w:rFonts w:hint="eastAsia" w:hAnsi="宋体"/>
          <w:color w:val="auto"/>
          <w:highlight w:val="none"/>
        </w:rPr>
        <w:t>，应按</w:t>
      </w:r>
      <w:r>
        <w:rPr>
          <w:rFonts w:hint="eastAsia" w:hAnsi="宋体"/>
          <w:b/>
          <w:color w:val="auto"/>
          <w:highlight w:val="none"/>
        </w:rPr>
        <w:t>磋商须知前附表</w:t>
      </w:r>
      <w:r>
        <w:rPr>
          <w:rFonts w:hint="eastAsia" w:hAnsi="宋体"/>
          <w:color w:val="auto"/>
          <w:highlight w:val="none"/>
        </w:rPr>
        <w:t>规定的磋商</w:t>
      </w:r>
      <w:r>
        <w:rPr>
          <w:rFonts w:hint="eastAsia" w:hAnsi="宋体"/>
          <w:bCs/>
          <w:color w:val="auto"/>
          <w:highlight w:val="none"/>
        </w:rPr>
        <w:t>保证金形式交纳，不得以现金方式交纳</w:t>
      </w:r>
      <w:r>
        <w:rPr>
          <w:rFonts w:hint="eastAsia" w:hAnsi="宋体"/>
          <w:color w:val="auto"/>
          <w:highlight w:val="none"/>
        </w:rPr>
        <w:t>，在</w:t>
      </w:r>
      <w:r>
        <w:rPr>
          <w:rFonts w:hint="eastAsia" w:hAnsi="宋体" w:cs="宋体"/>
          <w:color w:val="auto"/>
          <w:kern w:val="0"/>
          <w:highlight w:val="none"/>
        </w:rPr>
        <w:t>提交首次响应文件截止时间</w:t>
      </w:r>
      <w:r>
        <w:rPr>
          <w:rFonts w:hint="eastAsia" w:hAnsi="宋体"/>
          <w:color w:val="auto"/>
          <w:highlight w:val="none"/>
        </w:rPr>
        <w:t>前，</w:t>
      </w:r>
      <w:r>
        <w:rPr>
          <w:rFonts w:hint="eastAsia" w:hAnsi="宋体"/>
          <w:bCs/>
          <w:color w:val="auto"/>
          <w:highlight w:val="none"/>
        </w:rPr>
        <w:t>向采购代理机构交纳不超过</w:t>
      </w:r>
      <w:r>
        <w:rPr>
          <w:rFonts w:hint="eastAsia" w:hAnsi="宋体" w:cs="宋体"/>
          <w:color w:val="auto"/>
          <w:kern w:val="0"/>
          <w:highlight w:val="none"/>
          <w:lang w:val="zh-CN"/>
        </w:rPr>
        <w:t>采购项目预算2﹪</w:t>
      </w:r>
      <w:r>
        <w:rPr>
          <w:rFonts w:hint="eastAsia" w:hAnsi="宋体"/>
          <w:bCs/>
          <w:color w:val="auto"/>
          <w:highlight w:val="none"/>
        </w:rPr>
        <w:t>的磋商保证金(数额采用四舍五入，计算至元)</w:t>
      </w:r>
      <w:r>
        <w:rPr>
          <w:rFonts w:hint="eastAsia" w:hAnsi="宋体"/>
          <w:color w:val="auto"/>
          <w:highlight w:val="none"/>
        </w:rPr>
        <w:t>。磋商</w:t>
      </w:r>
      <w:r>
        <w:rPr>
          <w:rFonts w:hint="eastAsia" w:hAnsi="宋体"/>
          <w:bCs/>
          <w:color w:val="auto"/>
          <w:highlight w:val="none"/>
        </w:rPr>
        <w:t>保证金有效期应当与</w:t>
      </w:r>
      <w:r>
        <w:rPr>
          <w:rFonts w:hint="eastAsia" w:hAnsi="宋体"/>
          <w:color w:val="auto"/>
          <w:highlight w:val="none"/>
        </w:rPr>
        <w:t>本章第20.1</w:t>
      </w:r>
      <w:r>
        <w:rPr>
          <w:rFonts w:hint="eastAsia" w:hAnsi="宋体" w:cs="宋体"/>
          <w:color w:val="auto"/>
          <w:kern w:val="0"/>
          <w:highlight w:val="none"/>
          <w:lang w:val="zh-CN"/>
        </w:rPr>
        <w:t>款</w:t>
      </w:r>
      <w:r>
        <w:rPr>
          <w:rFonts w:hint="eastAsia" w:hAnsi="宋体"/>
          <w:color w:val="auto"/>
          <w:highlight w:val="none"/>
        </w:rPr>
        <w:t>规定的</w:t>
      </w:r>
      <w:r>
        <w:rPr>
          <w:rFonts w:hint="eastAsia" w:hAnsi="宋体"/>
          <w:bCs/>
          <w:color w:val="auto"/>
          <w:highlight w:val="none"/>
        </w:rPr>
        <w:t>响应文件有效期一致。</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19.2</w:t>
      </w:r>
      <w:r>
        <w:rPr>
          <w:rFonts w:hint="eastAsia" w:ascii="宋体" w:hAnsi="宋体" w:cs="宋体"/>
          <w:color w:val="auto"/>
          <w:kern w:val="0"/>
          <w:sz w:val="21"/>
          <w:szCs w:val="21"/>
          <w:highlight w:val="none"/>
          <w:lang w:val="zh-CN"/>
        </w:rPr>
        <w:t>供应商为联合体的，可以由联合体中的一方或者共同交纳磋商保证金，其交纳的磋商保证金，对联合体各方均具有约束力。</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19.3供应商未按照磋商文件要求提交磋商保证金的，响应无效。</w:t>
      </w:r>
    </w:p>
    <w:p>
      <w:pPr>
        <w:pStyle w:val="22"/>
        <w:tabs>
          <w:tab w:val="left" w:pos="6300"/>
        </w:tabs>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19.4采购代理机构在成交通知书发出后5个工作日内退还未成交供应商的磋商保证金；在采购合同签定后5个工作日内退还成交供应商的磋商保证金，但因供应商自身原因导致无法及时退还的除外。</w:t>
      </w:r>
    </w:p>
    <w:p>
      <w:pPr>
        <w:pStyle w:val="22"/>
        <w:adjustRightInd w:val="0"/>
        <w:snapToGrid w:val="0"/>
        <w:spacing w:line="360" w:lineRule="auto"/>
        <w:ind w:firstLine="420" w:firstLineChars="200"/>
        <w:rPr>
          <w:rFonts w:hint="eastAsia"/>
          <w:color w:val="auto"/>
          <w:kern w:val="0"/>
          <w:highlight w:val="none"/>
        </w:rPr>
      </w:pPr>
      <w:r>
        <w:rPr>
          <w:rFonts w:hint="eastAsia"/>
          <w:color w:val="auto"/>
          <w:highlight w:val="none"/>
        </w:rPr>
        <w:t xml:space="preserve">19.5 </w:t>
      </w:r>
      <w:r>
        <w:rPr>
          <w:rFonts w:hint="eastAsia"/>
          <w:color w:val="auto"/>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（1）供应商在提交首次响应文件截止时间后撤回响应文件的；</w:t>
      </w:r>
    </w:p>
    <w:p>
      <w:pPr>
        <w:widowControl/>
        <w:adjustRightInd w:val="0"/>
        <w:snapToGrid w:val="0"/>
        <w:spacing w:line="360" w:lineRule="auto"/>
        <w:ind w:firstLine="420" w:firstLineChars="200"/>
        <w:jc w:val="left"/>
        <w:rPr>
          <w:rFonts w:hint="eastAsia"/>
          <w:color w:val="auto"/>
          <w:kern w:val="0"/>
          <w:sz w:val="21"/>
          <w:szCs w:val="21"/>
          <w:highlight w:val="none"/>
        </w:rPr>
      </w:pPr>
      <w:r>
        <w:rPr>
          <w:rFonts w:hint="eastAsia"/>
          <w:color w:val="auto"/>
          <w:kern w:val="0"/>
          <w:sz w:val="21"/>
          <w:szCs w:val="21"/>
          <w:highlight w:val="none"/>
        </w:rPr>
        <w:t>（2）供应商在响应文件中提供虚假资料的；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color w:val="auto"/>
          <w:kern w:val="0"/>
          <w:sz w:val="21"/>
          <w:szCs w:val="21"/>
          <w:highlight w:val="none"/>
        </w:rPr>
        <w:t>（3）</w:t>
      </w:r>
      <w:r>
        <w:rPr>
          <w:rFonts w:hint="eastAsia"/>
          <w:color w:val="auto"/>
          <w:sz w:val="21"/>
          <w:szCs w:val="21"/>
          <w:highlight w:val="none"/>
        </w:rPr>
        <w:t>确定成交结果后，无正当理由放弃成交资格的；</w:t>
      </w:r>
    </w:p>
    <w:p>
      <w:pPr>
        <w:widowControl/>
        <w:adjustRightInd w:val="0"/>
        <w:snapToGrid w:val="0"/>
        <w:spacing w:line="360" w:lineRule="auto"/>
        <w:ind w:firstLine="525" w:firstLineChars="25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 除因不可抗力或磋商文件认可的情形以外，成交供应商不与采购人签订合同的；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（5）供应商与采购人、其他供应商或者采购代理机构恶意串通的；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（6）磋商文件规定的其他情形。</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20.</w:t>
      </w:r>
      <w:r>
        <w:rPr>
          <w:rFonts w:hint="eastAsia" w:ascii="宋体" w:hAnsi="宋体"/>
          <w:color w:val="auto"/>
          <w:sz w:val="21"/>
          <w:szCs w:val="21"/>
          <w:highlight w:val="none"/>
        </w:rPr>
        <w:t xml:space="preserve"> </w:t>
      </w:r>
      <w:r>
        <w:rPr>
          <w:rFonts w:hint="eastAsia" w:hAnsi="宋体"/>
          <w:b/>
          <w:color w:val="auto"/>
          <w:sz w:val="21"/>
          <w:szCs w:val="21"/>
          <w:highlight w:val="none"/>
        </w:rPr>
        <w:t>响应文件</w:t>
      </w:r>
      <w:r>
        <w:rPr>
          <w:rFonts w:hint="eastAsia" w:ascii="宋体" w:hAnsi="宋体"/>
          <w:b/>
          <w:color w:val="auto"/>
          <w:sz w:val="21"/>
          <w:szCs w:val="21"/>
          <w:highlight w:val="none"/>
        </w:rPr>
        <w:t>有效期</w:t>
      </w:r>
    </w:p>
    <w:p>
      <w:pPr>
        <w:adjustRightInd w:val="0"/>
        <w:snapToGrid w:val="0"/>
        <w:spacing w:line="360" w:lineRule="auto"/>
        <w:ind w:firstLine="420" w:firstLineChars="200"/>
        <w:jc w:val="left"/>
        <w:rPr>
          <w:rFonts w:hint="eastAsia" w:hAnsi="宋体"/>
          <w:color w:val="auto"/>
          <w:sz w:val="21"/>
          <w:szCs w:val="21"/>
          <w:highlight w:val="none"/>
        </w:rPr>
      </w:pPr>
      <w:r>
        <w:rPr>
          <w:rFonts w:hint="eastAsia" w:ascii="宋体" w:hAnsi="宋体"/>
          <w:color w:val="auto"/>
          <w:sz w:val="21"/>
          <w:szCs w:val="21"/>
          <w:highlight w:val="none"/>
        </w:rPr>
        <w:t>20.1响应文件有效期见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，在此期间响应文件对供应商具有法律约束力，</w:t>
      </w:r>
      <w:r>
        <w:rPr>
          <w:rFonts w:hint="eastAsia" w:ascii="宋体" w:hAnsi="宋体" w:cs="Arial"/>
          <w:color w:val="auto"/>
          <w:sz w:val="21"/>
          <w:szCs w:val="21"/>
          <w:highlight w:val="none"/>
        </w:rPr>
        <w:t>从</w:t>
      </w:r>
      <w:r>
        <w:rPr>
          <w:rFonts w:hint="eastAsia" w:ascii="宋体" w:hAnsi="宋体" w:cs="宋体"/>
          <w:color w:val="auto"/>
          <w:kern w:val="0"/>
          <w:sz w:val="21"/>
          <w:szCs w:val="21"/>
          <w:highlight w:val="none"/>
        </w:rPr>
        <w:t>提交首次响应文件截止时间</w:t>
      </w:r>
      <w:r>
        <w:rPr>
          <w:rFonts w:hint="eastAsia" w:hAnsi="宋体"/>
          <w:color w:val="auto"/>
          <w:sz w:val="21"/>
          <w:szCs w:val="21"/>
          <w:highlight w:val="none"/>
        </w:rPr>
        <w:t>之日</w:t>
      </w:r>
      <w:r>
        <w:rPr>
          <w:rFonts w:hint="eastAsia" w:hAnsi="宋体" w:cs="Arial"/>
          <w:color w:val="auto"/>
          <w:sz w:val="21"/>
          <w:szCs w:val="21"/>
          <w:highlight w:val="none"/>
        </w:rPr>
        <w:t>起计算。</w:t>
      </w:r>
      <w:r>
        <w:rPr>
          <w:rFonts w:hint="eastAsia" w:hAnsi="宋体"/>
          <w:color w:val="auto"/>
          <w:sz w:val="21"/>
          <w:szCs w:val="21"/>
          <w:highlight w:val="none"/>
        </w:rPr>
        <w:t>响应文件有效期不足的将被视为无效响应。</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21.响应文件的签署及规定</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21.1响应文件的正本和副本应装订成册，正本一份，副本份数见</w:t>
      </w:r>
      <w:r>
        <w:rPr>
          <w:rFonts w:hint="eastAsia" w:hAnsi="宋体"/>
          <w:b/>
          <w:color w:val="auto"/>
          <w:highlight w:val="none"/>
        </w:rPr>
        <w:t>磋商须知前附表</w:t>
      </w:r>
      <w:r>
        <w:rPr>
          <w:rFonts w:hint="eastAsia" w:hAnsi="宋体"/>
          <w:color w:val="auto"/>
          <w:highlight w:val="none"/>
        </w:rPr>
        <w:t>。正本和副本的封面上应标记“正本”或“副本”的字样，当正本和副本有差异时，以正本为准。</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21.3 在磋商过程中，供应商按磋商文件规定和磋商小组要求</w:t>
      </w:r>
      <w:r>
        <w:rPr>
          <w:rFonts w:hint="eastAsia" w:hAnsi="宋体" w:cs="宋体"/>
          <w:color w:val="auto"/>
          <w:kern w:val="0"/>
          <w:highlight w:val="none"/>
        </w:rPr>
        <w:t>提交的</w:t>
      </w:r>
      <w:r>
        <w:rPr>
          <w:rFonts w:hint="eastAsia" w:hAnsi="宋体"/>
          <w:color w:val="auto"/>
          <w:highlight w:val="none"/>
        </w:rPr>
        <w:t>最后报价(或者</w:t>
      </w:r>
      <w:r>
        <w:rPr>
          <w:rFonts w:hint="eastAsia" w:hAnsi="宋体"/>
          <w:bCs/>
          <w:color w:val="auto"/>
          <w:highlight w:val="none"/>
        </w:rPr>
        <w:t>重</w:t>
      </w:r>
      <w:r>
        <w:rPr>
          <w:rFonts w:hint="eastAsia" w:hAnsi="宋体" w:cs="宋体"/>
          <w:color w:val="auto"/>
          <w:kern w:val="0"/>
          <w:highlight w:val="none"/>
        </w:rPr>
        <w:t>新提交的响应文件和</w:t>
      </w:r>
      <w:r>
        <w:rPr>
          <w:rFonts w:hint="eastAsia" w:hAnsi="宋体"/>
          <w:color w:val="auto"/>
          <w:highlight w:val="none"/>
        </w:rPr>
        <w:t>最后报价)，一式两份，可打印或用不退色墨水书写，但需经法定代表人或其委托代理人签字，</w:t>
      </w:r>
      <w:r>
        <w:rPr>
          <w:rFonts w:hint="eastAsia" w:hAnsi="宋体" w:cs="宋体"/>
          <w:color w:val="auto"/>
          <w:kern w:val="0"/>
          <w:highlight w:val="none"/>
        </w:rPr>
        <w:t>或者加盖供应商单位章</w:t>
      </w:r>
      <w:r>
        <w:rPr>
          <w:rFonts w:hint="eastAsia" w:hAnsi="宋体"/>
          <w:color w:val="auto"/>
          <w:highlight w:val="none"/>
        </w:rPr>
        <w:t>。否则，将导致响应文件无效。</w:t>
      </w:r>
    </w:p>
    <w:p>
      <w:pPr>
        <w:pStyle w:val="4"/>
        <w:jc w:val="left"/>
        <w:rPr>
          <w:rFonts w:hint="eastAsia"/>
          <w:color w:val="auto"/>
          <w:sz w:val="21"/>
          <w:szCs w:val="21"/>
          <w:highlight w:val="none"/>
        </w:rPr>
      </w:pPr>
      <w:r>
        <w:rPr>
          <w:rFonts w:hint="eastAsia"/>
          <w:color w:val="auto"/>
          <w:sz w:val="21"/>
          <w:szCs w:val="21"/>
          <w:highlight w:val="none"/>
        </w:rPr>
        <w:t>四、响应文件的递交</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22.</w:t>
      </w:r>
      <w:r>
        <w:rPr>
          <w:rFonts w:hint="eastAsia" w:ascii="宋体" w:hAnsi="宋体"/>
          <w:b/>
          <w:color w:val="auto"/>
          <w:sz w:val="21"/>
          <w:szCs w:val="21"/>
          <w:highlight w:val="none"/>
        </w:rPr>
        <w:t>响应文件</w:t>
      </w:r>
      <w:r>
        <w:rPr>
          <w:rFonts w:hint="eastAsia" w:ascii="宋体" w:hAnsi="宋体"/>
          <w:b/>
          <w:bCs/>
          <w:color w:val="auto"/>
          <w:sz w:val="21"/>
          <w:szCs w:val="21"/>
          <w:highlight w:val="none"/>
        </w:rPr>
        <w:t>的密封和标记</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22.2响应文件封套上应写明的内容见</w:t>
      </w:r>
      <w:r>
        <w:rPr>
          <w:rFonts w:hint="eastAsia" w:ascii="宋体" w:hAnsi="宋体"/>
          <w:b/>
          <w:color w:val="auto"/>
          <w:sz w:val="21"/>
          <w:szCs w:val="21"/>
          <w:highlight w:val="none"/>
        </w:rPr>
        <w:t>磋商须知前附表。</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22.3响应文件如果未按上述规定密封和加写标记，采购人或采购代理机构将拒绝接收。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23.响应文件的</w:t>
      </w:r>
      <w:r>
        <w:rPr>
          <w:rFonts w:hint="eastAsia" w:ascii="宋体" w:hAnsi="宋体" w:cs="宋体"/>
          <w:b/>
          <w:color w:val="auto"/>
          <w:kern w:val="0"/>
          <w:sz w:val="21"/>
          <w:szCs w:val="21"/>
          <w:highlight w:val="none"/>
          <w:lang w:val="zh-CN"/>
        </w:rPr>
        <w:t>补充、修改或者撤回</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23.1</w:t>
      </w:r>
      <w:r>
        <w:rPr>
          <w:rFonts w:hint="eastAsia" w:hAnsi="宋体" w:cs="宋体"/>
          <w:color w:val="auto"/>
          <w:kern w:val="0"/>
          <w:highlight w:val="none"/>
        </w:rPr>
        <w:t>供应商在提交首次响应文件截止时间前，可以对所提交的首次响应文件进行补充、修改或者撤回，并书面通知采购人、采购代理机构。</w:t>
      </w:r>
      <w:r>
        <w:rPr>
          <w:rFonts w:hint="eastAsia" w:hAnsi="宋体"/>
          <w:color w:val="auto"/>
          <w:highlight w:val="none"/>
        </w:rPr>
        <w:t>该通知应有供应商法定代表人或其委托代理人签字。</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23.2</w:t>
      </w:r>
      <w:r>
        <w:rPr>
          <w:rFonts w:hint="eastAsia" w:hAnsi="宋体" w:cs="宋体"/>
          <w:color w:val="auto"/>
          <w:kern w:val="0"/>
          <w:highlight w:val="none"/>
          <w:lang w:val="zh-CN"/>
        </w:rPr>
        <w:t>补充、修改的内容与响应文件不一致时，以补充、修改的内容为准。</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24.响应文件的递交与接收</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24.1 供应商应在</w:t>
      </w:r>
      <w:r>
        <w:rPr>
          <w:rFonts w:hint="eastAsia" w:ascii="宋体" w:hAnsi="宋体" w:cs="宋体"/>
          <w:color w:val="auto"/>
          <w:kern w:val="0"/>
          <w:sz w:val="21"/>
          <w:szCs w:val="21"/>
          <w:highlight w:val="none"/>
        </w:rPr>
        <w:t>提交首次响应文件截止时间</w:t>
      </w:r>
      <w:r>
        <w:rPr>
          <w:rFonts w:hint="eastAsia" w:ascii="宋体" w:hAnsi="宋体"/>
          <w:color w:val="auto"/>
          <w:sz w:val="21"/>
          <w:szCs w:val="21"/>
          <w:highlight w:val="none"/>
        </w:rPr>
        <w:t>前，将响应文件送</w:t>
      </w:r>
      <w:r>
        <w:rPr>
          <w:rFonts w:hint="eastAsia" w:ascii="宋体" w:hAnsi="宋体" w:cs="Arial"/>
          <w:color w:val="auto"/>
          <w:sz w:val="21"/>
          <w:szCs w:val="21"/>
          <w:highlight w:val="none"/>
        </w:rPr>
        <w:t>达</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中指定的地点。</w:t>
      </w:r>
      <w:r>
        <w:rPr>
          <w:rFonts w:hint="eastAsia" w:hAnsi="宋体" w:cs="宋体"/>
          <w:color w:val="auto"/>
          <w:kern w:val="0"/>
          <w:sz w:val="21"/>
          <w:szCs w:val="21"/>
          <w:highlight w:val="none"/>
        </w:rPr>
        <w:t>在截止时间后送达的响应文件，采购人、采购代理机构或者磋商小组应当拒收。</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24.2</w:t>
      </w:r>
      <w:r>
        <w:rPr>
          <w:rFonts w:hint="eastAsia" w:hAnsi="宋体" w:cs="宋体"/>
          <w:color w:val="auto"/>
          <w:kern w:val="0"/>
          <w:highlight w:val="none"/>
        </w:rPr>
        <w:t>在提交首次响应文件截止时间后，</w:t>
      </w:r>
      <w:r>
        <w:rPr>
          <w:rFonts w:hint="eastAsia" w:hAnsi="宋体"/>
          <w:color w:val="auto"/>
          <w:highlight w:val="none"/>
        </w:rPr>
        <w:t>由</w:t>
      </w:r>
      <w:r>
        <w:rPr>
          <w:rFonts w:hint="eastAsia" w:hAnsi="宋体"/>
          <w:bCs/>
          <w:color w:val="auto"/>
          <w:highlight w:val="none"/>
        </w:rPr>
        <w:t>供应商代表</w:t>
      </w:r>
      <w:r>
        <w:rPr>
          <w:rFonts w:hint="eastAsia" w:hAnsi="宋体"/>
          <w:color w:val="auto"/>
          <w:highlight w:val="none"/>
        </w:rPr>
        <w:t>当场查验</w:t>
      </w:r>
      <w:r>
        <w:rPr>
          <w:rFonts w:hint="eastAsia" w:hAnsi="宋体"/>
          <w:bCs/>
          <w:color w:val="auto"/>
          <w:highlight w:val="none"/>
        </w:rPr>
        <w:t>响应文件</w:t>
      </w:r>
      <w:r>
        <w:rPr>
          <w:rFonts w:hint="eastAsia" w:hAnsi="宋体"/>
          <w:color w:val="auto"/>
          <w:highlight w:val="none"/>
        </w:rPr>
        <w:t>的密封状况，采购人或</w:t>
      </w:r>
      <w:r>
        <w:rPr>
          <w:rFonts w:hint="eastAsia" w:hAnsi="宋体"/>
          <w:bCs/>
          <w:color w:val="auto"/>
          <w:highlight w:val="none"/>
        </w:rPr>
        <w:t>采购代理机构</w:t>
      </w:r>
      <w:r>
        <w:rPr>
          <w:rFonts w:hint="eastAsia" w:hAnsi="宋体"/>
          <w:color w:val="auto"/>
          <w:highlight w:val="none"/>
        </w:rPr>
        <w:t>不当场拆封</w:t>
      </w:r>
      <w:r>
        <w:rPr>
          <w:rFonts w:hint="eastAsia" w:hAnsi="宋体"/>
          <w:bCs/>
          <w:color w:val="auto"/>
          <w:highlight w:val="none"/>
        </w:rPr>
        <w:t>响应文件</w:t>
      </w:r>
      <w:r>
        <w:rPr>
          <w:rFonts w:hint="eastAsia" w:hAnsi="宋体"/>
          <w:color w:val="auto"/>
          <w:highlight w:val="none"/>
        </w:rPr>
        <w:t>。</w:t>
      </w:r>
    </w:p>
    <w:p>
      <w:pPr>
        <w:pStyle w:val="4"/>
        <w:jc w:val="left"/>
        <w:rPr>
          <w:rFonts w:hint="eastAsia"/>
          <w:color w:val="auto"/>
          <w:sz w:val="21"/>
          <w:szCs w:val="21"/>
          <w:highlight w:val="none"/>
        </w:rPr>
      </w:pPr>
      <w:r>
        <w:rPr>
          <w:rFonts w:hint="eastAsia"/>
          <w:color w:val="auto"/>
          <w:sz w:val="21"/>
          <w:szCs w:val="21"/>
          <w:highlight w:val="none"/>
        </w:rPr>
        <w:t>五、响应文件的磋商与评审</w:t>
      </w:r>
    </w:p>
    <w:p>
      <w:pPr>
        <w:tabs>
          <w:tab w:val="left" w:pos="0"/>
        </w:tabs>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25.磋商程序</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25.1磋商程序：响应文件审查、磋商（包括澄清）、响应文件评审、</w:t>
      </w:r>
      <w:r>
        <w:rPr>
          <w:rFonts w:hint="eastAsia" w:ascii="宋体" w:hAnsi="宋体"/>
          <w:bCs/>
          <w:color w:val="auto"/>
          <w:sz w:val="21"/>
          <w:szCs w:val="21"/>
          <w:highlight w:val="none"/>
        </w:rPr>
        <w:t>提出成交供应商。其中，</w:t>
      </w:r>
      <w:r>
        <w:rPr>
          <w:rFonts w:hint="eastAsia" w:ascii="宋体" w:hAnsi="宋体" w:cs="宋体"/>
          <w:color w:val="auto"/>
          <w:kern w:val="0"/>
          <w:sz w:val="21"/>
          <w:szCs w:val="21"/>
          <w:highlight w:val="none"/>
        </w:rPr>
        <w:t>磋商按</w:t>
      </w:r>
      <w:r>
        <w:rPr>
          <w:rFonts w:hint="eastAsia" w:ascii="宋体" w:hAnsi="宋体"/>
          <w:color w:val="auto"/>
          <w:sz w:val="21"/>
          <w:szCs w:val="21"/>
          <w:highlight w:val="none"/>
        </w:rPr>
        <w:t>本章</w:t>
      </w:r>
      <w:r>
        <w:rPr>
          <w:rFonts w:hint="eastAsia" w:hAnsi="宋体"/>
          <w:color w:val="auto"/>
          <w:sz w:val="21"/>
          <w:szCs w:val="21"/>
          <w:highlight w:val="none"/>
        </w:rPr>
        <w:t>第</w:t>
      </w:r>
      <w:r>
        <w:rPr>
          <w:rFonts w:hint="eastAsia" w:ascii="宋体" w:hAnsi="宋体"/>
          <w:color w:val="auto"/>
          <w:sz w:val="21"/>
          <w:szCs w:val="21"/>
          <w:highlight w:val="none"/>
        </w:rPr>
        <w:t>30.1</w:t>
      </w:r>
      <w:r>
        <w:rPr>
          <w:rFonts w:hint="eastAsia" w:ascii="宋体" w:hAnsi="宋体" w:cs="宋体"/>
          <w:color w:val="auto"/>
          <w:kern w:val="0"/>
          <w:sz w:val="21"/>
          <w:szCs w:val="21"/>
          <w:highlight w:val="none"/>
          <w:lang w:val="zh-CN"/>
        </w:rPr>
        <w:t>款或者</w:t>
      </w:r>
      <w:r>
        <w:rPr>
          <w:rFonts w:hint="eastAsia" w:ascii="宋体" w:hAnsi="宋体"/>
          <w:color w:val="auto"/>
          <w:sz w:val="21"/>
          <w:szCs w:val="21"/>
          <w:highlight w:val="none"/>
        </w:rPr>
        <w:t>第30.2</w:t>
      </w:r>
      <w:r>
        <w:rPr>
          <w:rFonts w:hint="eastAsia" w:ascii="宋体" w:hAnsi="宋体" w:cs="宋体"/>
          <w:color w:val="auto"/>
          <w:kern w:val="0"/>
          <w:sz w:val="21"/>
          <w:szCs w:val="21"/>
          <w:highlight w:val="none"/>
          <w:lang w:val="zh-CN"/>
        </w:rPr>
        <w:t>款</w:t>
      </w:r>
      <w:r>
        <w:rPr>
          <w:rFonts w:hint="eastAsia" w:hAnsi="宋体"/>
          <w:color w:val="auto"/>
          <w:sz w:val="21"/>
          <w:szCs w:val="21"/>
          <w:highlight w:val="none"/>
        </w:rPr>
        <w:t>情形</w:t>
      </w:r>
      <w:r>
        <w:rPr>
          <w:rFonts w:hint="eastAsia" w:ascii="宋体" w:hAnsi="宋体"/>
          <w:bCs/>
          <w:color w:val="auto"/>
          <w:sz w:val="21"/>
          <w:szCs w:val="21"/>
          <w:highlight w:val="none"/>
        </w:rPr>
        <w:t>进行。</w:t>
      </w:r>
    </w:p>
    <w:p>
      <w:pPr>
        <w:widowControl/>
        <w:adjustRightInd w:val="0"/>
        <w:snapToGrid w:val="0"/>
        <w:spacing w:line="360" w:lineRule="auto"/>
        <w:rPr>
          <w:rFonts w:hint="eastAsia" w:ascii="宋体" w:hAnsi="宋体"/>
          <w:b/>
          <w:color w:val="auto"/>
          <w:sz w:val="21"/>
          <w:szCs w:val="21"/>
          <w:highlight w:val="none"/>
        </w:rPr>
      </w:pPr>
      <w:r>
        <w:rPr>
          <w:rFonts w:hint="eastAsia" w:ascii="宋体" w:hAnsi="宋体" w:cs="宋体"/>
          <w:b/>
          <w:color w:val="auto"/>
          <w:kern w:val="0"/>
          <w:sz w:val="21"/>
          <w:szCs w:val="21"/>
          <w:highlight w:val="none"/>
        </w:rPr>
        <w:t>26.</w:t>
      </w:r>
      <w:r>
        <w:rPr>
          <w:rFonts w:hint="eastAsia"/>
          <w:color w:val="auto"/>
          <w:sz w:val="21"/>
          <w:szCs w:val="21"/>
          <w:highlight w:val="none"/>
        </w:rPr>
        <w:t xml:space="preserve"> </w:t>
      </w:r>
      <w:r>
        <w:rPr>
          <w:rFonts w:hint="eastAsia" w:ascii="宋体" w:hAnsi="宋体" w:cs="宋体"/>
          <w:b/>
          <w:color w:val="auto"/>
          <w:kern w:val="0"/>
          <w:sz w:val="21"/>
          <w:szCs w:val="21"/>
          <w:highlight w:val="none"/>
        </w:rPr>
        <w:t>响应文件审查</w:t>
      </w:r>
      <w:r>
        <w:rPr>
          <w:rFonts w:hint="eastAsia" w:ascii="宋体" w:hAnsi="宋体"/>
          <w:b/>
          <w:color w:val="auto"/>
          <w:sz w:val="21"/>
          <w:szCs w:val="21"/>
          <w:highlight w:val="none"/>
        </w:rPr>
        <w:t xml:space="preserve"> </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26.1 资格性审查：根据本章第3.1项规定的供应商资格条件要求，对响应文件的资格证明等进行审查，以确定供应商是否具备磋商资格条件。</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2"/>
        <w:adjustRightInd w:val="0"/>
        <w:snapToGrid w:val="0"/>
        <w:spacing w:line="360" w:lineRule="auto"/>
        <w:rPr>
          <w:rFonts w:hint="eastAsia" w:hAnsi="宋体" w:cs="宋体"/>
          <w:b/>
          <w:color w:val="auto"/>
          <w:kern w:val="0"/>
          <w:highlight w:val="none"/>
        </w:rPr>
      </w:pPr>
      <w:r>
        <w:rPr>
          <w:rFonts w:hint="eastAsia" w:hAnsi="宋体" w:cs="宋体"/>
          <w:b/>
          <w:color w:val="auto"/>
          <w:kern w:val="0"/>
          <w:highlight w:val="none"/>
        </w:rPr>
        <w:t>27.实质性响应</w:t>
      </w:r>
    </w:p>
    <w:p>
      <w:pPr>
        <w:pStyle w:val="22"/>
        <w:adjustRightInd w:val="0"/>
        <w:snapToGrid w:val="0"/>
        <w:spacing w:line="360" w:lineRule="auto"/>
        <w:ind w:firstLine="420" w:firstLineChars="200"/>
        <w:rPr>
          <w:rFonts w:hint="eastAsia" w:hAnsi="宋体" w:cs="Arial"/>
          <w:color w:val="auto"/>
          <w:kern w:val="0"/>
          <w:highlight w:val="none"/>
          <w:u w:val="single"/>
        </w:rPr>
      </w:pPr>
      <w:r>
        <w:rPr>
          <w:rFonts w:hint="eastAsia" w:hAnsi="宋体" w:cs="宋体"/>
          <w:color w:val="auto"/>
          <w:kern w:val="0"/>
          <w:highlight w:val="none"/>
        </w:rPr>
        <w:t>27.1</w:t>
      </w:r>
      <w:r>
        <w:rPr>
          <w:rFonts w:hint="eastAsia" w:hAnsi="宋体"/>
          <w:color w:val="auto"/>
          <w:highlight w:val="none"/>
        </w:rPr>
        <w:t>实质性响应是指响应文件(包括首次响应文件、重新提交的响应文件)与磋商文件要求的所有条款、条件和规格相符，没有偏离。偏离</w:t>
      </w:r>
      <w:r>
        <w:rPr>
          <w:rFonts w:hint="eastAsia"/>
          <w:color w:val="auto"/>
          <w:highlight w:val="none"/>
        </w:rPr>
        <w:t>指不满足、或不响应</w:t>
      </w:r>
      <w:r>
        <w:rPr>
          <w:rFonts w:hint="eastAsia" w:hAnsi="宋体"/>
          <w:color w:val="auto"/>
          <w:highlight w:val="none"/>
        </w:rPr>
        <w:t>磋商文件</w:t>
      </w:r>
      <w:r>
        <w:rPr>
          <w:rFonts w:hint="eastAsia"/>
          <w:color w:val="auto"/>
          <w:highlight w:val="none"/>
        </w:rPr>
        <w:t>的要求。</w:t>
      </w:r>
    </w:p>
    <w:p>
      <w:pPr>
        <w:tabs>
          <w:tab w:val="left" w:pos="0"/>
          <w:tab w:val="left" w:pos="7560"/>
          <w:tab w:val="left" w:pos="7740"/>
          <w:tab w:val="left" w:pos="7920"/>
        </w:tabs>
        <w:adjustRightInd w:val="0"/>
        <w:snapToGrid w:val="0"/>
        <w:spacing w:line="360" w:lineRule="auto"/>
        <w:ind w:right="31" w:rightChars="11"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27.2响应文件是否实质性响应磋商文件要求由磋商小组依据磋商文件规定认定。</w:t>
      </w:r>
      <w:r>
        <w:rPr>
          <w:rFonts w:hint="eastAsia" w:ascii="宋体" w:hAnsi="宋体" w:cs="宋体"/>
          <w:color w:val="auto"/>
          <w:kern w:val="0"/>
          <w:sz w:val="21"/>
          <w:szCs w:val="21"/>
          <w:highlight w:val="none"/>
        </w:rPr>
        <w:t>磋商小组</w:t>
      </w:r>
      <w:r>
        <w:rPr>
          <w:rFonts w:hint="eastAsia" w:ascii="宋体" w:hAnsi="宋体"/>
          <w:color w:val="auto"/>
          <w:sz w:val="21"/>
          <w:szCs w:val="21"/>
          <w:highlight w:val="none"/>
        </w:rPr>
        <w:t>决定响应文件的响应性只根据响应文件本身的真实无误的内容，而不依据外部的证据。</w:t>
      </w:r>
    </w:p>
    <w:p>
      <w:pPr>
        <w:pStyle w:val="22"/>
        <w:adjustRightInd w:val="0"/>
        <w:snapToGrid w:val="0"/>
        <w:spacing w:line="360" w:lineRule="auto"/>
        <w:rPr>
          <w:rFonts w:hint="eastAsia" w:cs="宋体"/>
          <w:b/>
          <w:color w:val="auto"/>
          <w:kern w:val="0"/>
          <w:highlight w:val="none"/>
        </w:rPr>
      </w:pPr>
      <w:r>
        <w:rPr>
          <w:rFonts w:hint="eastAsia" w:cs="宋体"/>
          <w:b/>
          <w:color w:val="auto"/>
          <w:kern w:val="0"/>
          <w:highlight w:val="none"/>
        </w:rPr>
        <w:t xml:space="preserve">28.无效响应 </w:t>
      </w:r>
    </w:p>
    <w:p>
      <w:pPr>
        <w:pStyle w:val="22"/>
        <w:adjustRightInd w:val="0"/>
        <w:snapToGrid w:val="0"/>
        <w:spacing w:line="360" w:lineRule="auto"/>
        <w:ind w:firstLine="411" w:firstLineChars="196"/>
        <w:rPr>
          <w:rFonts w:hint="eastAsia" w:hAnsi="宋体" w:cs="宋体"/>
          <w:b/>
          <w:color w:val="auto"/>
          <w:kern w:val="0"/>
          <w:highlight w:val="none"/>
        </w:rPr>
      </w:pPr>
      <w:r>
        <w:rPr>
          <w:rFonts w:hint="eastAsia" w:cs="宋体"/>
          <w:color w:val="auto"/>
          <w:kern w:val="0"/>
          <w:highlight w:val="none"/>
        </w:rPr>
        <w:t>28.1</w:t>
      </w:r>
      <w:r>
        <w:rPr>
          <w:rFonts w:hint="eastAsia"/>
          <w:color w:val="auto"/>
          <w:highlight w:val="none"/>
        </w:rPr>
        <w:t>磋商小组在对资格性和符合性进行审查时，有下列情况之一的，属无效响应，</w:t>
      </w:r>
      <w:r>
        <w:rPr>
          <w:rFonts w:hint="eastAsia" w:cs="宋体"/>
          <w:color w:val="auto"/>
          <w:kern w:val="0"/>
          <w:highlight w:val="none"/>
        </w:rPr>
        <w:t>磋商小组应当告知有关供应商</w:t>
      </w:r>
      <w:r>
        <w:rPr>
          <w:rFonts w:hint="eastAsia"/>
          <w:color w:val="auto"/>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（1）供应商不具备本章第3.1款规定的供应商资格条件要求，或存在本章第3.3款情形的；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（2）联合体不符合本章第3.2款规定的；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（3）应交未交磋商保证金或金额不足、磋商保证金缴纳形式不符合磋商文件要求的；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（4）响应文件未按照磋商文件要求签署、盖章的；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（4）响应文件不满足本章第27.1款规定的实质性要求的；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（5）报价超过采购项目预算的；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（6）响应文件有效期不足的；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（7）响应文件不符合法律、规章、规范性文件和磋商文件规定及要求的。</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29.澄清</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29.2 最后报价计算错误修正的原则：最后报价</w:t>
      </w:r>
      <w:r>
        <w:rPr>
          <w:rFonts w:hint="eastAsia" w:ascii="宋体" w:hAnsi="宋体" w:cs="Arial"/>
          <w:color w:val="auto"/>
          <w:kern w:val="0"/>
          <w:sz w:val="21"/>
          <w:szCs w:val="21"/>
          <w:highlight w:val="none"/>
        </w:rPr>
        <w:t>的大写金额和小写金额不一致的，以大写金额为准。</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30.磋商</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rPr>
        <w:t>30.1</w:t>
      </w:r>
      <w:r>
        <w:rPr>
          <w:rFonts w:hint="eastAsia" w:ascii="宋体" w:hAnsi="宋体"/>
          <w:color w:val="auto"/>
          <w:sz w:val="21"/>
          <w:szCs w:val="21"/>
          <w:highlight w:val="none"/>
        </w:rPr>
        <w:t>本章第10.2项</w:t>
      </w:r>
      <w:r>
        <w:rPr>
          <w:rFonts w:hint="eastAsia" w:ascii="宋体" w:hAnsi="宋体" w:cs="宋体"/>
          <w:color w:val="auto"/>
          <w:kern w:val="0"/>
          <w:sz w:val="21"/>
          <w:szCs w:val="21"/>
          <w:highlight w:val="none"/>
        </w:rPr>
        <w:t>未明确磋商文件实质性变动内容的，或者磋商文件明确了可能发生实质性变动内容，但在磋商过程中，</w:t>
      </w:r>
      <w:r>
        <w:rPr>
          <w:rFonts w:hint="eastAsia" w:ascii="宋体" w:hAnsi="宋体"/>
          <w:bCs/>
          <w:color w:val="auto"/>
          <w:sz w:val="21"/>
          <w:szCs w:val="21"/>
          <w:highlight w:val="none"/>
        </w:rPr>
        <w:t>磋商小组</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磋商情况</w:t>
      </w:r>
      <w:r>
        <w:rPr>
          <w:rFonts w:hint="eastAsia" w:ascii="宋体" w:hAnsi="宋体"/>
          <w:bCs/>
          <w:color w:val="auto"/>
          <w:sz w:val="21"/>
          <w:szCs w:val="21"/>
          <w:highlight w:val="none"/>
        </w:rPr>
        <w:t>认为</w:t>
      </w:r>
      <w:r>
        <w:rPr>
          <w:rFonts w:hint="eastAsia" w:ascii="宋体" w:hAnsi="宋体" w:cs="宋体"/>
          <w:color w:val="auto"/>
          <w:kern w:val="0"/>
          <w:sz w:val="21"/>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（2）磋商文件明确可能发生实质性变动，但在磋商过程中</w:t>
      </w:r>
      <w:r>
        <w:rPr>
          <w:rFonts w:hint="eastAsia" w:ascii="宋体" w:hAnsi="宋体"/>
          <w:bCs/>
          <w:color w:val="auto"/>
          <w:sz w:val="21"/>
          <w:szCs w:val="21"/>
          <w:highlight w:val="none"/>
        </w:rPr>
        <w:t>磋商小组</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磋商情况</w:t>
      </w:r>
      <w:r>
        <w:rPr>
          <w:rFonts w:hint="eastAsia" w:ascii="宋体" w:hAnsi="宋体"/>
          <w:bCs/>
          <w:color w:val="auto"/>
          <w:sz w:val="21"/>
          <w:szCs w:val="21"/>
          <w:highlight w:val="none"/>
        </w:rPr>
        <w:t>认为</w:t>
      </w:r>
      <w:r>
        <w:rPr>
          <w:rFonts w:hint="eastAsia" w:ascii="宋体" w:hAnsi="宋体" w:cs="宋体"/>
          <w:color w:val="auto"/>
          <w:kern w:val="0"/>
          <w:sz w:val="21"/>
          <w:szCs w:val="21"/>
          <w:highlight w:val="none"/>
        </w:rPr>
        <w:t>磋商文件无需发生实质性变动的，磋商小组不另行通知。</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30.2</w:t>
      </w:r>
      <w:r>
        <w:rPr>
          <w:rFonts w:hint="eastAsia" w:ascii="宋体" w:hAnsi="宋体"/>
          <w:color w:val="auto"/>
          <w:sz w:val="21"/>
          <w:szCs w:val="21"/>
          <w:highlight w:val="none"/>
        </w:rPr>
        <w:t>本章第10.2</w:t>
      </w:r>
      <w:r>
        <w:rPr>
          <w:rFonts w:hint="eastAsia" w:ascii="宋体" w:hAnsi="宋体" w:cs="宋体"/>
          <w:color w:val="auto"/>
          <w:kern w:val="0"/>
          <w:sz w:val="21"/>
          <w:szCs w:val="21"/>
          <w:highlight w:val="none"/>
          <w:lang w:val="zh-CN"/>
        </w:rPr>
        <w:t>款</w:t>
      </w:r>
      <w:r>
        <w:rPr>
          <w:rFonts w:hint="eastAsia" w:ascii="宋体" w:hAnsi="宋体" w:cs="宋体"/>
          <w:color w:val="auto"/>
          <w:kern w:val="0"/>
          <w:sz w:val="21"/>
          <w:szCs w:val="21"/>
          <w:highlight w:val="none"/>
        </w:rPr>
        <w:t>明确磋商文件实质性变动内容的，</w:t>
      </w:r>
      <w:r>
        <w:rPr>
          <w:rFonts w:hint="eastAsia" w:ascii="宋体" w:hAnsi="宋体"/>
          <w:bCs/>
          <w:color w:val="auto"/>
          <w:sz w:val="21"/>
          <w:szCs w:val="21"/>
          <w:highlight w:val="none"/>
        </w:rPr>
        <w:t>磋商小组</w:t>
      </w:r>
      <w:r>
        <w:rPr>
          <w:rFonts w:hint="eastAsia" w:ascii="宋体" w:hAnsi="宋体" w:cs="宋体"/>
          <w:color w:val="auto"/>
          <w:kern w:val="0"/>
          <w:sz w:val="21"/>
          <w:szCs w:val="21"/>
          <w:highlight w:val="none"/>
        </w:rPr>
        <w:t>可以组织多轮磋商。</w:t>
      </w:r>
      <w:r>
        <w:rPr>
          <w:rFonts w:hint="eastAsia" w:ascii="宋体" w:hAnsi="宋体"/>
          <w:bCs/>
          <w:color w:val="auto"/>
          <w:sz w:val="21"/>
          <w:szCs w:val="21"/>
          <w:highlight w:val="none"/>
        </w:rPr>
        <w:t>在每一轮磋商中，磋商小组</w:t>
      </w:r>
      <w:r>
        <w:rPr>
          <w:rFonts w:hint="eastAsia" w:ascii="宋体" w:hAnsi="宋体" w:cs="宋体"/>
          <w:color w:val="auto"/>
          <w:kern w:val="0"/>
          <w:sz w:val="21"/>
          <w:szCs w:val="21"/>
          <w:highlight w:val="none"/>
        </w:rPr>
        <w:t>可以</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磋商文件规定和磋商情况，</w:t>
      </w:r>
      <w:r>
        <w:rPr>
          <w:rFonts w:hint="eastAsia" w:ascii="宋体" w:hAnsi="宋体"/>
          <w:bCs/>
          <w:color w:val="auto"/>
          <w:sz w:val="21"/>
          <w:szCs w:val="21"/>
          <w:highlight w:val="none"/>
        </w:rPr>
        <w:t>对磋商文件的</w:t>
      </w:r>
      <w:r>
        <w:rPr>
          <w:rFonts w:hint="eastAsia" w:ascii="宋体" w:hAnsi="宋体" w:cs="宋体"/>
          <w:color w:val="auto"/>
          <w:kern w:val="0"/>
          <w:sz w:val="21"/>
          <w:szCs w:val="21"/>
          <w:highlight w:val="none"/>
        </w:rPr>
        <w:t>采购需求中的技术、服务要求以及合同草案条款</w:t>
      </w:r>
      <w:r>
        <w:rPr>
          <w:rFonts w:hint="eastAsia" w:ascii="宋体" w:hAnsi="宋体"/>
          <w:bCs/>
          <w:color w:val="auto"/>
          <w:sz w:val="21"/>
          <w:szCs w:val="21"/>
          <w:highlight w:val="none"/>
        </w:rPr>
        <w:t>作实质性变动(磋商文件的实质性变动内容为磋商文件的组成部分)，并以书面形式要求</w:t>
      </w:r>
      <w:r>
        <w:rPr>
          <w:rFonts w:hint="eastAsia" w:ascii="宋体" w:hAnsi="宋体" w:cs="宋体"/>
          <w:color w:val="auto"/>
          <w:kern w:val="0"/>
          <w:sz w:val="21"/>
          <w:szCs w:val="21"/>
          <w:highlight w:val="none"/>
        </w:rPr>
        <w:t>响应文件审查合格</w:t>
      </w:r>
      <w:r>
        <w:rPr>
          <w:rFonts w:hint="eastAsia" w:ascii="宋体" w:hAnsi="宋体"/>
          <w:bCs/>
          <w:color w:val="auto"/>
          <w:sz w:val="21"/>
          <w:szCs w:val="21"/>
          <w:highlight w:val="none"/>
        </w:rPr>
        <w:t>的供应商，在规定的</w:t>
      </w:r>
      <w:r>
        <w:rPr>
          <w:rFonts w:hint="eastAsia" w:ascii="宋体" w:hAnsi="宋体" w:cs="宋体"/>
          <w:color w:val="auto"/>
          <w:kern w:val="0"/>
          <w:sz w:val="21"/>
          <w:szCs w:val="21"/>
          <w:highlight w:val="none"/>
        </w:rPr>
        <w:t>截止时间前</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新提交响应文件</w:t>
      </w:r>
      <w:r>
        <w:rPr>
          <w:rFonts w:hint="eastAsia" w:ascii="宋体" w:hAnsi="宋体"/>
          <w:bCs/>
          <w:color w:val="auto"/>
          <w:sz w:val="21"/>
          <w:szCs w:val="21"/>
          <w:highlight w:val="none"/>
        </w:rPr>
        <w:t>。</w:t>
      </w:r>
      <w:r>
        <w:rPr>
          <w:rFonts w:hint="eastAsia" w:ascii="宋体" w:hAnsi="宋体" w:cs="宋体"/>
          <w:color w:val="auto"/>
          <w:kern w:val="0"/>
          <w:sz w:val="21"/>
          <w:szCs w:val="21"/>
          <w:highlight w:val="none"/>
        </w:rPr>
        <w:t>磋商小组应当</w:t>
      </w:r>
      <w:r>
        <w:rPr>
          <w:rFonts w:hint="eastAsia" w:ascii="宋体" w:hAnsi="宋体"/>
          <w:color w:val="auto"/>
          <w:sz w:val="21"/>
          <w:szCs w:val="21"/>
          <w:highlight w:val="none"/>
        </w:rPr>
        <w:t>根据本章第26.2</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bCs/>
          <w:color w:val="auto"/>
          <w:sz w:val="21"/>
          <w:szCs w:val="21"/>
          <w:highlight w:val="none"/>
        </w:rPr>
        <w:t>30.3</w:t>
      </w:r>
      <w:r>
        <w:rPr>
          <w:rFonts w:hint="eastAsia" w:ascii="宋体" w:hAnsi="宋体"/>
          <w:color w:val="auto"/>
          <w:sz w:val="21"/>
          <w:szCs w:val="21"/>
          <w:highlight w:val="none"/>
        </w:rPr>
        <w:t xml:space="preserve"> </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w:t>
      </w:r>
      <w:r>
        <w:rPr>
          <w:rFonts w:hint="eastAsia" w:ascii="宋体" w:hAnsi="宋体"/>
          <w:color w:val="auto"/>
          <w:sz w:val="21"/>
          <w:szCs w:val="21"/>
          <w:highlight w:val="none"/>
        </w:rPr>
        <w:t>或者最后报价应按</w:t>
      </w:r>
      <w:r>
        <w:rPr>
          <w:rFonts w:hint="eastAsia" w:ascii="宋体" w:hAnsi="宋体" w:cs="宋体"/>
          <w:color w:val="auto"/>
          <w:kern w:val="0"/>
          <w:sz w:val="21"/>
          <w:szCs w:val="21"/>
          <w:highlight w:val="none"/>
        </w:rPr>
        <w:t>本章第</w:t>
      </w:r>
      <w:r>
        <w:rPr>
          <w:rFonts w:hint="eastAsia" w:ascii="宋体" w:hAnsi="宋体"/>
          <w:color w:val="auto"/>
          <w:sz w:val="21"/>
          <w:szCs w:val="21"/>
          <w:highlight w:val="none"/>
        </w:rPr>
        <w:t>21.3</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由其法定代表人或其委托代理人签字或者加盖供应商单位章，在规定时间内密封递交给磋商小组</w:t>
      </w:r>
      <w:r>
        <w:rPr>
          <w:rFonts w:hint="eastAsia" w:ascii="宋体" w:hAnsi="宋体"/>
          <w:bCs/>
          <w:color w:val="auto"/>
          <w:sz w:val="21"/>
          <w:szCs w:val="21"/>
          <w:highlight w:val="none"/>
        </w:rPr>
        <w:t>。</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30.4</w:t>
      </w:r>
      <w:r>
        <w:rPr>
          <w:rFonts w:hint="eastAsia" w:ascii="宋体" w:hAnsi="宋体" w:cs="宋体"/>
          <w:color w:val="auto"/>
          <w:kern w:val="0"/>
          <w:sz w:val="21"/>
          <w:szCs w:val="21"/>
          <w:highlight w:val="none"/>
          <w:lang w:val="zh-CN"/>
        </w:rPr>
        <w:t>供应商的</w:t>
      </w:r>
      <w:r>
        <w:rPr>
          <w:rFonts w:hint="eastAsia" w:ascii="宋体" w:hAnsi="宋体"/>
          <w:bCs/>
          <w:color w:val="auto"/>
          <w:sz w:val="21"/>
          <w:szCs w:val="21"/>
          <w:highlight w:val="none"/>
        </w:rPr>
        <w:t>最</w:t>
      </w:r>
      <w:r>
        <w:rPr>
          <w:rFonts w:hint="eastAsia" w:ascii="宋体" w:hAnsi="宋体" w:cs="宋体"/>
          <w:color w:val="auto"/>
          <w:kern w:val="0"/>
          <w:sz w:val="21"/>
          <w:szCs w:val="21"/>
          <w:highlight w:val="none"/>
          <w:lang w:val="zh-CN"/>
        </w:rPr>
        <w:t>后</w:t>
      </w:r>
      <w:r>
        <w:rPr>
          <w:rFonts w:hint="eastAsia" w:ascii="宋体" w:hAnsi="宋体"/>
          <w:bCs/>
          <w:color w:val="auto"/>
          <w:sz w:val="21"/>
          <w:szCs w:val="21"/>
          <w:highlight w:val="none"/>
        </w:rPr>
        <w:t>报价及</w:t>
      </w:r>
      <w:r>
        <w:rPr>
          <w:rFonts w:hint="eastAsia" w:ascii="宋体" w:hAnsi="宋体" w:cs="宋体"/>
          <w:color w:val="auto"/>
          <w:kern w:val="0"/>
          <w:sz w:val="21"/>
          <w:szCs w:val="21"/>
          <w:highlight w:val="none"/>
        </w:rPr>
        <w:t>政府采购政策规定的价格扣除情况，磋商小组应召集所有参加最后报价的供应商当场开封</w:t>
      </w:r>
      <w:r>
        <w:rPr>
          <w:rFonts w:hint="eastAsia" w:ascii="宋体" w:hAnsi="宋体"/>
          <w:bCs/>
          <w:color w:val="auto"/>
          <w:sz w:val="21"/>
          <w:szCs w:val="21"/>
          <w:highlight w:val="none"/>
        </w:rPr>
        <w:t>公布，并由供应商代表签字确认。</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30.5提交首次响应文件的供应商，在提交最后报价之前，可以根据磋商情况退出磋商，并书面通知采购代理机构或者磋商小组。</w:t>
      </w:r>
      <w:r>
        <w:rPr>
          <w:rFonts w:hint="eastAsia" w:ascii="宋体" w:hAnsi="宋体"/>
          <w:color w:val="auto"/>
          <w:sz w:val="21"/>
          <w:szCs w:val="21"/>
          <w:highlight w:val="none"/>
        </w:rPr>
        <w:t>该通知由供应商法定代表人或其委托代理人签字。</w:t>
      </w:r>
      <w:r>
        <w:rPr>
          <w:rFonts w:hint="eastAsia" w:ascii="宋体" w:hAnsi="宋体" w:cs="宋体"/>
          <w:color w:val="auto"/>
          <w:kern w:val="0"/>
          <w:sz w:val="21"/>
          <w:szCs w:val="21"/>
          <w:highlight w:val="none"/>
        </w:rPr>
        <w:t>采购代理机构按本章第</w:t>
      </w:r>
      <w:r>
        <w:rPr>
          <w:rFonts w:hint="eastAsia" w:ascii="宋体" w:hAnsi="宋体"/>
          <w:color w:val="auto"/>
          <w:sz w:val="21"/>
          <w:szCs w:val="21"/>
          <w:highlight w:val="none"/>
        </w:rPr>
        <w:t>19.4</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退还退出磋商的供应商的磋商保证金。</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bCs/>
          <w:color w:val="auto"/>
          <w:sz w:val="21"/>
          <w:szCs w:val="21"/>
          <w:highlight w:val="none"/>
        </w:rPr>
        <w:t>30.6</w:t>
      </w:r>
      <w:r>
        <w:rPr>
          <w:rFonts w:hint="eastAsia" w:ascii="宋体" w:hAnsi="宋体" w:cs="宋体"/>
          <w:color w:val="auto"/>
          <w:kern w:val="0"/>
          <w:sz w:val="21"/>
          <w:szCs w:val="21"/>
          <w:highlight w:val="none"/>
        </w:rPr>
        <w:t>提交首次响应文件的供应商，未按磋商文件规定及磋商小组要求提交最后报价(或者</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新提交的响应文件和最后报价)，且又未按本章第</w:t>
      </w:r>
      <w:r>
        <w:rPr>
          <w:rFonts w:hint="eastAsia" w:ascii="宋体" w:hAnsi="宋体"/>
          <w:color w:val="auto"/>
          <w:sz w:val="21"/>
          <w:szCs w:val="21"/>
          <w:highlight w:val="none"/>
        </w:rPr>
        <w:t>30.5</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退出磋商的，供应商的磋商保证金不予退还。</w:t>
      </w:r>
    </w:p>
    <w:p>
      <w:pPr>
        <w:widowControl/>
        <w:adjustRightInd w:val="0"/>
        <w:snapToGrid w:val="0"/>
        <w:spacing w:line="360" w:lineRule="auto"/>
        <w:jc w:val="left"/>
        <w:rPr>
          <w:rFonts w:hint="eastAsia" w:ascii="宋体" w:hAnsi="宋体"/>
          <w:b/>
          <w:bCs/>
          <w:color w:val="auto"/>
          <w:sz w:val="21"/>
          <w:szCs w:val="21"/>
          <w:highlight w:val="none"/>
        </w:rPr>
      </w:pPr>
      <w:r>
        <w:rPr>
          <w:rFonts w:hint="eastAsia" w:ascii="宋体" w:hAnsi="宋体" w:cs="宋体"/>
          <w:b/>
          <w:color w:val="auto"/>
          <w:kern w:val="0"/>
          <w:sz w:val="21"/>
          <w:szCs w:val="21"/>
          <w:highlight w:val="none"/>
        </w:rPr>
        <w:t>31.响应文件评审</w:t>
      </w:r>
    </w:p>
    <w:p>
      <w:pPr>
        <w:widowControl/>
        <w:adjustRightInd w:val="0"/>
        <w:snapToGrid w:val="0"/>
        <w:spacing w:line="360" w:lineRule="auto"/>
        <w:ind w:firstLine="420" w:firstLineChars="200"/>
        <w:jc w:val="left"/>
        <w:rPr>
          <w:rFonts w:hint="eastAsia" w:ascii="宋体" w:hAnsi="宋体"/>
          <w:bCs/>
          <w:color w:val="auto"/>
          <w:sz w:val="21"/>
          <w:szCs w:val="21"/>
          <w:highlight w:val="none"/>
        </w:rPr>
      </w:pPr>
      <w:r>
        <w:rPr>
          <w:rFonts w:hint="eastAsia" w:ascii="宋体" w:hAnsi="宋体"/>
          <w:bCs/>
          <w:color w:val="auto"/>
          <w:sz w:val="21"/>
          <w:szCs w:val="21"/>
          <w:highlight w:val="none"/>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hint="eastAsia" w:ascii="宋体" w:hAnsi="宋体"/>
          <w:bCs/>
          <w:color w:val="auto"/>
          <w:sz w:val="21"/>
          <w:szCs w:val="21"/>
          <w:highlight w:val="none"/>
        </w:rPr>
      </w:pPr>
      <w:r>
        <w:rPr>
          <w:rFonts w:hint="eastAsia" w:ascii="宋体" w:hAnsi="宋体"/>
          <w:bCs/>
          <w:color w:val="auto"/>
          <w:sz w:val="21"/>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color w:val="auto"/>
          <w:sz w:val="21"/>
          <w:szCs w:val="21"/>
          <w:highlight w:val="none"/>
        </w:rPr>
        <w:t>磋商须知前附表。</w:t>
      </w:r>
    </w:p>
    <w:p>
      <w:pPr>
        <w:widowControl/>
        <w:adjustRightInd w:val="0"/>
        <w:snapToGrid w:val="0"/>
        <w:spacing w:before="156" w:beforeLines="50" w:line="360" w:lineRule="auto"/>
        <w:ind w:firstLine="420" w:firstLineChars="20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31.3</w:t>
      </w:r>
      <w:r>
        <w:rPr>
          <w:rFonts w:hint="eastAsia" w:ascii="宋体" w:hAnsi="宋体"/>
          <w:color w:val="auto"/>
          <w:sz w:val="21"/>
          <w:szCs w:val="21"/>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磋商报价得分=（磋商基准价/最后磋商报价）×价格权值×100</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项目评审过程中，不得去掉最后报价中的最高报价和最低报价。</w:t>
      </w:r>
    </w:p>
    <w:p>
      <w:pPr>
        <w:widowControl/>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bCs/>
          <w:color w:val="auto"/>
          <w:sz w:val="21"/>
          <w:szCs w:val="21"/>
          <w:highlight w:val="none"/>
        </w:rPr>
        <w:t>31.5</w:t>
      </w:r>
      <w:r>
        <w:rPr>
          <w:rFonts w:hint="eastAsia" w:ascii="宋体" w:hAnsi="宋体"/>
          <w:color w:val="auto"/>
          <w:sz w:val="21"/>
          <w:szCs w:val="21"/>
          <w:highlight w:val="none"/>
        </w:rPr>
        <w:t>涉及政府采购政策优惠对供应商分值进行调整的，</w:t>
      </w:r>
      <w:r>
        <w:rPr>
          <w:rFonts w:hint="eastAsia" w:ascii="宋体" w:hAnsi="宋体"/>
          <w:bCs/>
          <w:color w:val="auto"/>
          <w:sz w:val="21"/>
          <w:szCs w:val="21"/>
          <w:highlight w:val="none"/>
        </w:rPr>
        <w:t>按</w:t>
      </w:r>
      <w:r>
        <w:rPr>
          <w:rFonts w:hint="eastAsia" w:ascii="宋体" w:hAnsi="宋体"/>
          <w:b/>
          <w:color w:val="auto"/>
          <w:sz w:val="21"/>
          <w:szCs w:val="21"/>
          <w:highlight w:val="none"/>
        </w:rPr>
        <w:t>磋商须知前附表</w:t>
      </w:r>
      <w:r>
        <w:rPr>
          <w:rFonts w:hint="eastAsia" w:ascii="宋体" w:hAnsi="宋体"/>
          <w:bCs/>
          <w:color w:val="auto"/>
          <w:sz w:val="21"/>
          <w:szCs w:val="21"/>
          <w:highlight w:val="none"/>
        </w:rPr>
        <w:t>规定</w:t>
      </w:r>
      <w:r>
        <w:rPr>
          <w:rFonts w:hint="eastAsia" w:ascii="宋体" w:hAnsi="宋体"/>
          <w:color w:val="auto"/>
          <w:sz w:val="21"/>
          <w:szCs w:val="21"/>
          <w:highlight w:val="none"/>
        </w:rPr>
        <w:t>调整供应商的技术、商务、价格</w:t>
      </w:r>
      <w:r>
        <w:rPr>
          <w:rFonts w:hint="eastAsia" w:ascii="宋体" w:hAnsi="宋体" w:cs="宋体"/>
          <w:color w:val="auto"/>
          <w:kern w:val="0"/>
          <w:sz w:val="21"/>
          <w:szCs w:val="21"/>
          <w:highlight w:val="none"/>
        </w:rPr>
        <w:t>得分或总得分</w:t>
      </w:r>
      <w:r>
        <w:rPr>
          <w:rFonts w:hint="eastAsia" w:ascii="宋体" w:hAnsi="宋体"/>
          <w:color w:val="auto"/>
          <w:sz w:val="21"/>
          <w:szCs w:val="21"/>
          <w:highlight w:val="none"/>
        </w:rPr>
        <w:t>。</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31.6涉及多处或部分获得政府采购政策优惠的，其多处或部分享受政府采购优惠政策的计算方法见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相关规定。</w:t>
      </w:r>
    </w:p>
    <w:p>
      <w:pPr>
        <w:widowControl/>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s="宋体"/>
          <w:color w:val="auto"/>
          <w:kern w:val="0"/>
          <w:sz w:val="21"/>
          <w:szCs w:val="21"/>
          <w:highlight w:val="none"/>
        </w:rPr>
        <w:t>31.7</w:t>
      </w:r>
      <w:r>
        <w:rPr>
          <w:rFonts w:hint="eastAsia" w:ascii="宋体" w:hAnsi="宋体"/>
          <w:color w:val="auto"/>
          <w:sz w:val="21"/>
          <w:szCs w:val="21"/>
          <w:highlight w:val="none"/>
        </w:rPr>
        <w:t>评审时，磋商小组各成员应当独立对每个供应商的</w:t>
      </w:r>
      <w:r>
        <w:rPr>
          <w:rFonts w:hint="eastAsia" w:ascii="宋体" w:hAnsi="宋体"/>
          <w:bCs/>
          <w:color w:val="auto"/>
          <w:sz w:val="21"/>
          <w:szCs w:val="21"/>
          <w:highlight w:val="none"/>
        </w:rPr>
        <w:t>响应文件</w:t>
      </w:r>
      <w:r>
        <w:rPr>
          <w:rFonts w:hint="eastAsia" w:ascii="宋体" w:hAnsi="宋体"/>
          <w:color w:val="auto"/>
          <w:sz w:val="21"/>
          <w:szCs w:val="21"/>
          <w:highlight w:val="none"/>
        </w:rPr>
        <w:t>进行评价、评分，并按照政府采购优惠政策对最后报价进行价格扣除和技术、商务、价格加分后，汇总各供应商的总得分。</w:t>
      </w:r>
    </w:p>
    <w:p>
      <w:pPr>
        <w:widowControl/>
        <w:adjustRightInd w:val="0"/>
        <w:snapToGrid w:val="0"/>
        <w:spacing w:line="360" w:lineRule="auto"/>
        <w:jc w:val="left"/>
        <w:rPr>
          <w:rFonts w:hint="eastAsia" w:ascii="宋体" w:hAnsi="宋体"/>
          <w:b/>
          <w:bCs/>
          <w:color w:val="auto"/>
          <w:sz w:val="21"/>
          <w:szCs w:val="21"/>
          <w:highlight w:val="none"/>
        </w:rPr>
      </w:pPr>
      <w:r>
        <w:rPr>
          <w:rFonts w:hint="eastAsia" w:ascii="宋体" w:hAnsi="宋体"/>
          <w:b/>
          <w:bCs/>
          <w:color w:val="auto"/>
          <w:sz w:val="21"/>
          <w:szCs w:val="21"/>
          <w:highlight w:val="none"/>
        </w:rPr>
        <w:t>32</w:t>
      </w:r>
      <w:r>
        <w:rPr>
          <w:rFonts w:hint="eastAsia" w:ascii="宋体" w:hAnsi="宋体" w:cs="宋体"/>
          <w:b/>
          <w:color w:val="auto"/>
          <w:kern w:val="0"/>
          <w:sz w:val="21"/>
          <w:szCs w:val="21"/>
          <w:highlight w:val="none"/>
        </w:rPr>
        <w:t>.</w:t>
      </w:r>
      <w:r>
        <w:rPr>
          <w:rFonts w:hint="eastAsia" w:ascii="宋体" w:hAnsi="宋体"/>
          <w:b/>
          <w:bCs/>
          <w:color w:val="auto"/>
          <w:sz w:val="21"/>
          <w:szCs w:val="21"/>
          <w:highlight w:val="none"/>
        </w:rPr>
        <w:t>提出成交供应商</w:t>
      </w:r>
    </w:p>
    <w:p>
      <w:pPr>
        <w:widowControl/>
        <w:spacing w:line="420" w:lineRule="atLeast"/>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32.1</w:t>
      </w:r>
      <w:r>
        <w:rPr>
          <w:rFonts w:hint="eastAsia" w:ascii="宋体" w:hAnsi="宋体"/>
          <w:bCs/>
          <w:color w:val="auto"/>
          <w:sz w:val="21"/>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auto"/>
          <w:kern w:val="0"/>
          <w:sz w:val="21"/>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bCs/>
          <w:color w:val="auto"/>
          <w:sz w:val="21"/>
          <w:szCs w:val="21"/>
          <w:highlight w:val="none"/>
        </w:rPr>
        <w:t>可以推荐2家成交候选供应商。</w:t>
      </w:r>
    </w:p>
    <w:p>
      <w:pPr>
        <w:tabs>
          <w:tab w:val="left" w:pos="0"/>
        </w:tabs>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33.确定成交供应商</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33.1采购代理机构应当在评审结束后2个工作日内将评审报告送采购人确认。</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2"/>
        <w:adjustRightInd w:val="0"/>
        <w:snapToGrid w:val="0"/>
        <w:spacing w:line="360" w:lineRule="auto"/>
        <w:ind w:left="632" w:hanging="632" w:hangingChars="300"/>
        <w:rPr>
          <w:rFonts w:hint="eastAsia" w:hAnsi="宋体"/>
          <w:b/>
          <w:color w:val="auto"/>
          <w:highlight w:val="none"/>
        </w:rPr>
      </w:pPr>
      <w:r>
        <w:rPr>
          <w:rFonts w:hint="eastAsia" w:hAnsi="宋体"/>
          <w:b/>
          <w:color w:val="auto"/>
          <w:highlight w:val="none"/>
        </w:rPr>
        <w:t>34.磋商终止</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bCs/>
          <w:color w:val="auto"/>
          <w:sz w:val="21"/>
          <w:szCs w:val="21"/>
          <w:highlight w:val="none"/>
        </w:rPr>
        <w:t>34.1</w:t>
      </w:r>
      <w:r>
        <w:rPr>
          <w:rFonts w:hint="eastAsia" w:ascii="宋体" w:hAnsi="宋体" w:cs="宋体"/>
          <w:color w:val="auto"/>
          <w:kern w:val="0"/>
          <w:sz w:val="21"/>
          <w:szCs w:val="21"/>
          <w:highlight w:val="none"/>
        </w:rPr>
        <w:t>出现下列情形之一的，采购人或者采购代理机构应当终止竞争性磋商采购活动，</w:t>
      </w:r>
      <w:r>
        <w:rPr>
          <w:rFonts w:hint="eastAsia" w:ascii="宋体" w:hAnsi="宋体"/>
          <w:color w:val="auto"/>
          <w:sz w:val="21"/>
          <w:szCs w:val="21"/>
          <w:highlight w:val="none"/>
        </w:rPr>
        <w:t>在本章第37.1款指定的媒体上</w:t>
      </w:r>
      <w:r>
        <w:rPr>
          <w:rFonts w:hint="eastAsia" w:ascii="宋体" w:hAnsi="宋体" w:cs="宋体"/>
          <w:color w:val="auto"/>
          <w:kern w:val="0"/>
          <w:sz w:val="21"/>
          <w:szCs w:val="21"/>
          <w:highlight w:val="none"/>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（1）因情况变化，不再符合规定的竞争性磋商采购方式适用情形的；</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（2）出现影响采购公正的违法、违规行为的；</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（3）</w:t>
      </w:r>
      <w:r>
        <w:rPr>
          <w:rFonts w:hint="eastAsia" w:ascii="宋体" w:hAnsi="宋体"/>
          <w:bCs/>
          <w:color w:val="auto"/>
          <w:sz w:val="21"/>
          <w:szCs w:val="21"/>
          <w:highlight w:val="none"/>
        </w:rPr>
        <w:t>除《政府采购竞争性磋商采购方式管理暂行办法》(财库〔2014〕214号)</w:t>
      </w:r>
      <w:r>
        <w:rPr>
          <w:rFonts w:hint="eastAsia" w:ascii="宋体" w:hAnsi="宋体" w:cs="宋体"/>
          <w:color w:val="auto"/>
          <w:kern w:val="0"/>
          <w:sz w:val="21"/>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bCs/>
          <w:color w:val="auto"/>
          <w:sz w:val="21"/>
          <w:szCs w:val="21"/>
          <w:highlight w:val="none"/>
        </w:rPr>
        <w:t>情形外，在采购过程中符合要求的供应商或者报价未超过采购预算的供应商不足3家的；</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（4）因重大变故，采购任务取消的。</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35．重新评审</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36.保密及串通行为</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36.2</w:t>
      </w:r>
      <w:r>
        <w:rPr>
          <w:rFonts w:hint="eastAsia" w:ascii="宋体" w:hAnsi="宋体" w:cs="宋体"/>
          <w:color w:val="auto"/>
          <w:kern w:val="0"/>
          <w:sz w:val="21"/>
          <w:szCs w:val="21"/>
          <w:highlight w:val="none"/>
        </w:rPr>
        <w:t>供应商</w:t>
      </w:r>
      <w:r>
        <w:rPr>
          <w:rFonts w:hint="eastAsia" w:ascii="宋体" w:hAnsi="宋体"/>
          <w:color w:val="auto"/>
          <w:sz w:val="21"/>
          <w:szCs w:val="21"/>
          <w:highlight w:val="none"/>
        </w:rPr>
        <w:t>不得与</w:t>
      </w:r>
      <w:r>
        <w:rPr>
          <w:rFonts w:hint="eastAsia" w:ascii="宋体" w:hAnsi="宋体" w:cs="宋体"/>
          <w:color w:val="auto"/>
          <w:kern w:val="0"/>
          <w:sz w:val="21"/>
          <w:szCs w:val="21"/>
          <w:highlight w:val="none"/>
        </w:rPr>
        <w:t>采购人、采购代理机构、其他供应商恶意</w:t>
      </w:r>
      <w:r>
        <w:rPr>
          <w:rFonts w:hint="eastAsia" w:ascii="宋体" w:hAnsi="宋体"/>
          <w:color w:val="auto"/>
          <w:sz w:val="21"/>
          <w:szCs w:val="21"/>
          <w:highlight w:val="none"/>
        </w:rPr>
        <w:t>串通；不得向</w:t>
      </w:r>
      <w:r>
        <w:rPr>
          <w:rFonts w:hint="eastAsia" w:ascii="宋体" w:hAnsi="宋体" w:cs="宋体"/>
          <w:color w:val="auto"/>
          <w:kern w:val="0"/>
          <w:sz w:val="21"/>
          <w:szCs w:val="21"/>
          <w:highlight w:val="none"/>
        </w:rPr>
        <w:t>采购人、采购代理机构</w:t>
      </w:r>
      <w:r>
        <w:rPr>
          <w:rFonts w:hint="eastAsia" w:ascii="宋体" w:hAnsi="宋体"/>
          <w:color w:val="auto"/>
          <w:sz w:val="21"/>
          <w:szCs w:val="21"/>
          <w:highlight w:val="none"/>
        </w:rPr>
        <w:t>或者磋商小组成员行贿或者提供其他不正当利益；不得提供虚假资料谋取成交；不得以任何方式干扰、影响采购工作。</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s="Arial"/>
          <w:color w:val="auto"/>
          <w:sz w:val="21"/>
          <w:szCs w:val="21"/>
          <w:highlight w:val="none"/>
        </w:rPr>
        <w:t>36.3</w:t>
      </w:r>
      <w:r>
        <w:rPr>
          <w:rFonts w:hint="eastAsia"/>
          <w:color w:val="auto"/>
          <w:sz w:val="21"/>
          <w:szCs w:val="21"/>
          <w:highlight w:val="none"/>
          <w:lang w:val="zh-CN"/>
        </w:rPr>
        <w:t>有下列情形之一的，属于恶意串通，对供应商依照政府采购法第七十七条第一款的规定追究法律责任：</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（一）供应商直接或者间接从采购人或者采购代理机构处获得其他供应商的相关情况并修改其投标文件或者响应文件；</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（二）供应商按照采购人或者采购代理机构的授意撤换、修改投标文件或者响应文件；</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（三）供应商之间协商报价、技术方案等投标文件或者响应文件的实质性内容；</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（四）属于同一集团、协会、商会等组织成员的供应商按照该组织要求协同参加政府采购活动；</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（五）供应商之间事先约定由某一特定供应商中标、成交；</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（六）供应商之间商定部分供应商放弃参加政府采购活动或者放弃中标、成交；</w:t>
      </w:r>
    </w:p>
    <w:p>
      <w:pPr>
        <w:pStyle w:val="36"/>
        <w:adjustRightInd w:val="0"/>
        <w:snapToGrid w:val="0"/>
        <w:spacing w:before="0" w:beforeAutospacing="0" w:after="0" w:afterAutospacing="0" w:line="360" w:lineRule="auto"/>
        <w:ind w:firstLine="420" w:firstLineChars="200"/>
        <w:rPr>
          <w:color w:val="auto"/>
          <w:sz w:val="21"/>
          <w:szCs w:val="21"/>
          <w:highlight w:val="none"/>
          <w:lang w:val="zh-CN"/>
        </w:rPr>
      </w:pPr>
      <w:r>
        <w:rPr>
          <w:rFonts w:hint="eastAsia"/>
          <w:color w:val="auto"/>
          <w:sz w:val="21"/>
          <w:szCs w:val="21"/>
          <w:highlight w:val="none"/>
          <w:lang w:val="zh-CN"/>
        </w:rPr>
        <w:t>（七）供应商与采购人或者采购代理机构之间、供应商相互之间，为谋求特定供应商中标、成交或者排斥其他供应商的其他串通行为。</w:t>
      </w:r>
    </w:p>
    <w:p>
      <w:pPr>
        <w:pStyle w:val="4"/>
        <w:jc w:val="left"/>
        <w:rPr>
          <w:rFonts w:hint="eastAsia"/>
          <w:color w:val="auto"/>
          <w:sz w:val="21"/>
          <w:szCs w:val="21"/>
          <w:highlight w:val="none"/>
        </w:rPr>
      </w:pPr>
      <w:r>
        <w:rPr>
          <w:rFonts w:hint="eastAsia"/>
          <w:color w:val="auto"/>
          <w:sz w:val="21"/>
          <w:szCs w:val="21"/>
          <w:highlight w:val="none"/>
        </w:rPr>
        <w:t>六、成交结果信息公布与授予合同</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37.成交信息的公布</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37.1成交供应商确定后2个工作日内，成交结果信息将在</w:t>
      </w:r>
      <w:r>
        <w:rPr>
          <w:rFonts w:hint="eastAsia" w:hAnsi="宋体"/>
          <w:b/>
          <w:color w:val="auto"/>
          <w:highlight w:val="none"/>
        </w:rPr>
        <w:t>磋商须知前附表</w:t>
      </w:r>
      <w:r>
        <w:rPr>
          <w:rFonts w:hint="eastAsia" w:hAnsi="宋体"/>
          <w:color w:val="auto"/>
          <w:highlight w:val="none"/>
        </w:rPr>
        <w:t>指定的媒体上公布。</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38.询问及质疑</w:t>
      </w:r>
    </w:p>
    <w:p>
      <w:pPr>
        <w:adjustRightInd w:val="0"/>
        <w:snapToGrid w:val="0"/>
        <w:spacing w:line="360" w:lineRule="auto"/>
        <w:ind w:firstLine="420" w:firstLineChars="200"/>
        <w:jc w:val="left"/>
        <w:rPr>
          <w:rFonts w:hint="eastAsia" w:hAnsi="宋体"/>
          <w:color w:val="auto"/>
          <w:sz w:val="21"/>
          <w:szCs w:val="21"/>
          <w:highlight w:val="none"/>
        </w:rPr>
      </w:pPr>
      <w:r>
        <w:rPr>
          <w:rFonts w:hint="eastAsia" w:ascii="宋体" w:hAnsi="宋体"/>
          <w:color w:val="auto"/>
          <w:sz w:val="21"/>
          <w:szCs w:val="21"/>
          <w:highlight w:val="none"/>
        </w:rPr>
        <w:t>38.1供应商对政府采购活动事项有疑问的，可以向采购人或采购代理机构提出询问。</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39.成交通知</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39.1成交供应商确定后，采购人或采购代理机构将以书面形式向成交供应商发出成交通知书。成交通知书对采购人和成交供应商具有同等法律效力。</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kern w:val="0"/>
          <w:sz w:val="21"/>
          <w:szCs w:val="21"/>
          <w:highlight w:val="none"/>
        </w:rPr>
        <w:t xml:space="preserve">39.3 </w:t>
      </w:r>
      <w:r>
        <w:rPr>
          <w:rFonts w:hint="eastAsia" w:ascii="宋体" w:hAnsi="宋体"/>
          <w:color w:val="auto"/>
          <w:sz w:val="21"/>
          <w:szCs w:val="21"/>
          <w:highlight w:val="none"/>
        </w:rPr>
        <w:t>成交供应商在收到采购代理机构的成交通知书后10日内，应按照</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的规定，向采购人提交履约担保。联合体成交的，履约担保由联合体各方或联合体中牵头人的名义提交。</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39.4 成交供应商</w:t>
      </w:r>
      <w:r>
        <w:rPr>
          <w:rFonts w:hint="eastAsia" w:hAnsi="宋体"/>
          <w:color w:val="auto"/>
          <w:spacing w:val="4"/>
          <w:highlight w:val="none"/>
        </w:rPr>
        <w:t>没有按照本章第39.3</w:t>
      </w:r>
      <w:r>
        <w:rPr>
          <w:rFonts w:hint="eastAsia" w:hAnsi="宋体" w:cs="宋体"/>
          <w:color w:val="auto"/>
          <w:kern w:val="0"/>
          <w:highlight w:val="none"/>
          <w:lang w:val="zh-CN"/>
        </w:rPr>
        <w:t>款</w:t>
      </w:r>
      <w:r>
        <w:rPr>
          <w:rFonts w:hint="eastAsia" w:hAnsi="宋体"/>
          <w:color w:val="auto"/>
          <w:spacing w:val="4"/>
          <w:highlight w:val="none"/>
        </w:rPr>
        <w:t>规定</w:t>
      </w:r>
      <w:r>
        <w:rPr>
          <w:rFonts w:hint="eastAsia" w:hAnsi="宋体"/>
          <w:color w:val="auto"/>
          <w:highlight w:val="none"/>
        </w:rPr>
        <w:t>提交履约担保的</w:t>
      </w:r>
      <w:r>
        <w:rPr>
          <w:rFonts w:hint="eastAsia" w:hAnsi="宋体"/>
          <w:color w:val="auto"/>
          <w:spacing w:val="4"/>
          <w:highlight w:val="none"/>
        </w:rPr>
        <w:t>，视为放弃</w:t>
      </w:r>
      <w:r>
        <w:rPr>
          <w:rFonts w:hint="eastAsia" w:hAnsi="宋体"/>
          <w:color w:val="auto"/>
          <w:highlight w:val="none"/>
        </w:rPr>
        <w:t>成交资格</w:t>
      </w:r>
      <w:r>
        <w:rPr>
          <w:rFonts w:hint="eastAsia" w:hAnsi="宋体"/>
          <w:color w:val="auto"/>
          <w:spacing w:val="4"/>
          <w:highlight w:val="none"/>
        </w:rPr>
        <w:t>，</w:t>
      </w:r>
      <w:r>
        <w:rPr>
          <w:rFonts w:hint="eastAsia" w:hAnsi="宋体"/>
          <w:color w:val="auto"/>
          <w:spacing w:val="2"/>
          <w:highlight w:val="none"/>
        </w:rPr>
        <w:t>其保证金不予退还。</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40.签订合同</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40.1成交供应商应当在成交通知书发出之日起30日内与采购人签订政府采购合同。</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40.2磋商文件、成交供应商的响应文件等均为签订政府采购合同的依据。</w:t>
      </w:r>
    </w:p>
    <w:p>
      <w:pPr>
        <w:pStyle w:val="22"/>
        <w:adjustRightInd w:val="0"/>
        <w:snapToGrid w:val="0"/>
        <w:spacing w:line="360" w:lineRule="auto"/>
        <w:ind w:firstLine="420" w:firstLineChars="200"/>
        <w:rPr>
          <w:rFonts w:hAnsi="宋体"/>
          <w:color w:val="auto"/>
          <w:highlight w:val="none"/>
        </w:rPr>
      </w:pPr>
      <w:r>
        <w:rPr>
          <w:rFonts w:hint="eastAsia" w:hAnsi="宋体"/>
          <w:color w:val="auto"/>
          <w:highlight w:val="none"/>
        </w:rPr>
        <w:t>40.3 成交供应商应当按照合同约定履行义务。成交供应商不得向他人转让成交项目，也不得将成交项目分包后分别向他人转让。</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40.4 成交供应商有下列情形之一的，责令限期改正，情节严重的，列入不良行为记录名单，在1至3年内禁止参加政府采购活动，并予以通报：</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（一）成交后无正当理由不与采购人签订合同的；</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（二）未按照采购文件确定的事项签订政府采购合同，或者与采购人另行订立背离合同实质性内容的协议的；</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（三）拒绝履行合同义务的；</w:t>
      </w:r>
    </w:p>
    <w:p>
      <w:pPr>
        <w:pStyle w:val="22"/>
        <w:adjustRightInd w:val="0"/>
        <w:snapToGrid w:val="0"/>
        <w:spacing w:line="360" w:lineRule="auto"/>
        <w:ind w:firstLine="420" w:firstLineChars="200"/>
        <w:rPr>
          <w:rFonts w:hint="eastAsia" w:hAnsi="宋体" w:cs="宋体"/>
          <w:color w:val="auto"/>
          <w:kern w:val="0"/>
          <w:highlight w:val="none"/>
        </w:rPr>
      </w:pPr>
      <w:r>
        <w:rPr>
          <w:rFonts w:hint="eastAsia" w:hAnsi="宋体"/>
          <w:color w:val="auto"/>
          <w:highlight w:val="none"/>
        </w:rPr>
        <w:t>（四）</w:t>
      </w:r>
      <w:r>
        <w:rPr>
          <w:rFonts w:hint="eastAsia" w:hAnsi="宋体" w:cs="宋体"/>
          <w:color w:val="auto"/>
          <w:kern w:val="0"/>
          <w:highlight w:val="none"/>
        </w:rPr>
        <w:t>违反法律、规章、规范性文件规定的。</w:t>
      </w:r>
    </w:p>
    <w:p>
      <w:pPr>
        <w:pStyle w:val="4"/>
        <w:jc w:val="left"/>
        <w:rPr>
          <w:rFonts w:hint="eastAsia"/>
          <w:color w:val="auto"/>
          <w:sz w:val="21"/>
          <w:szCs w:val="21"/>
          <w:highlight w:val="none"/>
        </w:rPr>
      </w:pPr>
      <w:r>
        <w:rPr>
          <w:rFonts w:hint="eastAsia"/>
          <w:color w:val="auto"/>
          <w:sz w:val="21"/>
          <w:szCs w:val="21"/>
          <w:highlight w:val="none"/>
        </w:rPr>
        <w:t>七、其他规定</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41.1采购代理服务费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41.1采购代理机构应按</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41.2集中采购机构不得收取采购代理服务费。</w:t>
      </w:r>
    </w:p>
    <w:p>
      <w:pPr>
        <w:tabs>
          <w:tab w:val="left" w:pos="420"/>
          <w:tab w:val="left" w:pos="7560"/>
          <w:tab w:val="left" w:pos="7740"/>
          <w:tab w:val="left" w:pos="7920"/>
        </w:tabs>
        <w:adjustRightInd w:val="0"/>
        <w:snapToGrid w:val="0"/>
        <w:spacing w:line="360" w:lineRule="auto"/>
        <w:rPr>
          <w:rFonts w:hint="eastAsia" w:hAnsi="宋体"/>
          <w:b/>
          <w:color w:val="auto"/>
          <w:sz w:val="21"/>
          <w:szCs w:val="21"/>
          <w:highlight w:val="none"/>
        </w:rPr>
      </w:pPr>
      <w:r>
        <w:rPr>
          <w:rFonts w:hint="eastAsia" w:ascii="宋体" w:hAnsi="宋体"/>
          <w:b/>
          <w:color w:val="auto"/>
          <w:sz w:val="21"/>
          <w:szCs w:val="21"/>
          <w:highlight w:val="none"/>
        </w:rPr>
        <w:t>42.</w:t>
      </w:r>
      <w:r>
        <w:rPr>
          <w:rFonts w:hint="eastAsia" w:hAnsi="宋体"/>
          <w:b/>
          <w:color w:val="auto"/>
          <w:sz w:val="21"/>
          <w:szCs w:val="21"/>
          <w:highlight w:val="none"/>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42.1磋商文件</w:t>
      </w:r>
      <w:r>
        <w:rPr>
          <w:rFonts w:hint="eastAsia" w:hAnsi="宋体"/>
          <w:color w:val="auto"/>
          <w:sz w:val="21"/>
          <w:szCs w:val="21"/>
          <w:highlight w:val="none"/>
        </w:rPr>
        <w:t>的其他规定</w:t>
      </w:r>
      <w:r>
        <w:rPr>
          <w:rFonts w:hint="eastAsia" w:ascii="宋体" w:hAnsi="宋体"/>
          <w:color w:val="auto"/>
          <w:sz w:val="21"/>
          <w:szCs w:val="21"/>
          <w:highlight w:val="none"/>
        </w:rPr>
        <w:t>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adjustRightInd w:val="0"/>
        <w:snapToGrid w:val="0"/>
        <w:spacing w:before="156" w:beforeLines="50" w:line="360" w:lineRule="auto"/>
        <w:jc w:val="center"/>
        <w:rPr>
          <w:rFonts w:hint="eastAsia" w:ascii="黑体" w:eastAsia="黑体"/>
          <w:b/>
          <w:color w:val="auto"/>
          <w:sz w:val="21"/>
          <w:szCs w:val="21"/>
          <w:highlight w:val="none"/>
        </w:rPr>
      </w:pPr>
    </w:p>
    <w:p>
      <w:pPr>
        <w:spacing w:line="360" w:lineRule="auto"/>
        <w:ind w:right="600"/>
        <w:jc w:val="center"/>
        <w:rPr>
          <w:rFonts w:hint="eastAsia" w:ascii="宋体" w:hAnsi="宋体" w:cs="宋体"/>
          <w:b/>
          <w:color w:val="auto"/>
          <w:szCs w:val="28"/>
          <w:highlight w:val="none"/>
        </w:rPr>
      </w:pPr>
      <w:r>
        <w:rPr>
          <w:rFonts w:hint="eastAsia" w:ascii="宋体" w:hAnsi="宋体" w:cs="宋体"/>
          <w:b/>
          <w:color w:val="auto"/>
          <w:szCs w:val="28"/>
          <w:highlight w:val="none"/>
        </w:rPr>
        <w:br w:type="page"/>
      </w:r>
      <w:r>
        <w:rPr>
          <w:rFonts w:hint="eastAsia" w:ascii="宋体" w:hAnsi="宋体" w:cs="宋体"/>
          <w:b/>
          <w:color w:val="auto"/>
          <w:szCs w:val="28"/>
          <w:highlight w:val="none"/>
        </w:rPr>
        <w:t>第三章  采购合同</w:t>
      </w:r>
    </w:p>
    <w:p>
      <w:pPr>
        <w:tabs>
          <w:tab w:val="left" w:pos="540"/>
          <w:tab w:val="left" w:pos="4860"/>
        </w:tabs>
        <w:adjustRightInd w:val="0"/>
        <w:snapToGrid w:val="0"/>
        <w:spacing w:before="156" w:beforeLines="50" w:after="156" w:afterLines="50" w:line="360" w:lineRule="auto"/>
        <w:rPr>
          <w:rFonts w:hint="eastAsia" w:ascii="宋体" w:hAnsi="宋体"/>
          <w:color w:val="auto"/>
          <w:sz w:val="30"/>
          <w:szCs w:val="30"/>
          <w:highlight w:val="none"/>
        </w:rPr>
      </w:pPr>
    </w:p>
    <w:p>
      <w:pPr>
        <w:tabs>
          <w:tab w:val="left" w:pos="540"/>
          <w:tab w:val="left" w:pos="4860"/>
        </w:tabs>
        <w:adjustRightInd w:val="0"/>
        <w:snapToGrid w:val="0"/>
        <w:spacing w:before="156" w:beforeLines="50" w:after="156" w:afterLines="50" w:line="360" w:lineRule="auto"/>
        <w:rPr>
          <w:rFonts w:ascii="宋体"/>
          <w:b/>
          <w:color w:val="auto"/>
          <w:sz w:val="52"/>
          <w:szCs w:val="52"/>
          <w:highlight w:val="none"/>
        </w:rPr>
      </w:pPr>
      <w:r>
        <w:rPr>
          <w:rFonts w:hint="eastAsia" w:ascii="宋体" w:hAnsi="宋体"/>
          <w:color w:val="auto"/>
          <w:sz w:val="30"/>
          <w:szCs w:val="30"/>
          <w:highlight w:val="none"/>
        </w:rPr>
        <w:t>合同签订地：</w:t>
      </w:r>
      <w:r>
        <w:rPr>
          <w:rFonts w:hint="eastAsia" w:ascii="宋体" w:hAnsi="宋体"/>
          <w:color w:val="auto"/>
          <w:sz w:val="30"/>
          <w:szCs w:val="30"/>
          <w:highlight w:val="none"/>
          <w:u w:val="single"/>
        </w:rPr>
        <w:t xml:space="preserve"> 长沙市岳麓区 </w:t>
      </w:r>
      <w:r>
        <w:rPr>
          <w:rFonts w:hint="eastAsia" w:ascii="宋体" w:hAnsi="宋体"/>
          <w:color w:val="auto"/>
          <w:sz w:val="30"/>
          <w:szCs w:val="30"/>
          <w:highlight w:val="none"/>
        </w:rPr>
        <w:t xml:space="preserve">  </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 xml:space="preserve"> 合同编号：</w:t>
      </w:r>
      <w:r>
        <w:rPr>
          <w:rFonts w:hint="eastAsia" w:ascii="宋体" w:hAnsi="宋体"/>
          <w:color w:val="auto"/>
          <w:sz w:val="30"/>
          <w:szCs w:val="30"/>
          <w:highlight w:val="none"/>
          <w:u w:val="single"/>
        </w:rPr>
        <w:t xml:space="preserve">    </w:t>
      </w:r>
      <w:r>
        <w:rPr>
          <w:rFonts w:hint="eastAsia" w:ascii="宋体" w:hAnsi="宋体"/>
          <w:color w:val="auto"/>
          <w:sz w:val="30"/>
          <w:szCs w:val="30"/>
          <w:highlight w:val="none"/>
          <w:u w:val="single"/>
          <w:lang w:val="en-US" w:eastAsia="zh-CN"/>
        </w:rPr>
        <w:t xml:space="preserve">     </w:t>
      </w:r>
      <w:r>
        <w:rPr>
          <w:rFonts w:hint="eastAsia" w:ascii="宋体" w:hAnsi="宋体"/>
          <w:color w:val="auto"/>
          <w:sz w:val="30"/>
          <w:szCs w:val="30"/>
          <w:highlight w:val="none"/>
          <w:u w:val="single"/>
        </w:rPr>
        <w:t xml:space="preserve">   </w:t>
      </w:r>
    </w:p>
    <w:p>
      <w:pPr>
        <w:adjustRightInd w:val="0"/>
        <w:snapToGrid w:val="0"/>
        <w:spacing w:before="156" w:beforeLines="50" w:after="156" w:afterLines="50" w:line="360" w:lineRule="auto"/>
        <w:rPr>
          <w:rFonts w:ascii="宋体" w:hAnsi="宋体"/>
          <w:b/>
          <w:bCs/>
          <w:color w:val="auto"/>
          <w:sz w:val="52"/>
          <w:szCs w:val="5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rPr>
        <w:t>保安服务合同</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黑体"/>
          <w:color w:val="auto"/>
          <w:sz w:val="30"/>
          <w:szCs w:val="30"/>
          <w:highlight w:val="none"/>
          <w:lang w:eastAsia="zh-CN"/>
        </w:rPr>
      </w:pPr>
      <w:r>
        <w:rPr>
          <w:rFonts w:hint="eastAsia" w:ascii="黑体" w:hAnsi="黑体" w:eastAsia="黑体" w:cs="黑体"/>
          <w:b/>
          <w:bCs/>
          <w:color w:val="auto"/>
          <w:sz w:val="30"/>
          <w:szCs w:val="30"/>
          <w:highlight w:val="none"/>
          <w:lang w:eastAsia="zh-CN"/>
        </w:rPr>
        <w:t>（本合同仅供参考，最终以甲乙双方签订的合同为准）</w:t>
      </w: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jc w:val="center"/>
        <w:rPr>
          <w:rFonts w:ascii="宋体"/>
          <w:b/>
          <w:color w:val="auto"/>
          <w:sz w:val="30"/>
          <w:highlight w:val="none"/>
        </w:rPr>
      </w:pPr>
      <w:r>
        <w:rPr>
          <w:rFonts w:hint="eastAsia" w:ascii="宋体"/>
          <w:b/>
          <w:color w:val="auto"/>
          <w:sz w:val="30"/>
          <w:highlight w:val="none"/>
        </w:rPr>
        <w:t xml:space="preserve"> </w:t>
      </w:r>
    </w:p>
    <w:p>
      <w:pPr>
        <w:adjustRightInd w:val="0"/>
        <w:snapToGrid w:val="0"/>
        <w:spacing w:before="156" w:beforeLines="50" w:after="156" w:afterLines="50" w:line="360" w:lineRule="auto"/>
        <w:ind w:firstLine="1807" w:firstLineChars="600"/>
        <w:rPr>
          <w:rFonts w:hint="eastAsia" w:ascii="宋体" w:hAnsi="宋体"/>
          <w:b/>
          <w:color w:val="auto"/>
          <w:sz w:val="30"/>
          <w:highlight w:val="none"/>
        </w:rPr>
      </w:pPr>
      <w:r>
        <w:rPr>
          <w:rFonts w:hint="eastAsia" w:ascii="宋体" w:hAnsi="宋体"/>
          <w:b/>
          <w:color w:val="auto"/>
          <w:sz w:val="30"/>
          <w:highlight w:val="none"/>
        </w:rPr>
        <w:t>项目名称:</w:t>
      </w:r>
      <w:r>
        <w:rPr>
          <w:rFonts w:hint="eastAsia" w:ascii="宋体" w:hAnsi="宋体"/>
          <w:b/>
          <w:color w:val="auto"/>
          <w:sz w:val="30"/>
          <w:highlight w:val="none"/>
          <w:u w:val="single"/>
        </w:rPr>
        <w:t xml:space="preserve">                              </w:t>
      </w:r>
      <w:r>
        <w:rPr>
          <w:rFonts w:hint="eastAsia" w:ascii="宋体" w:hAnsi="宋体"/>
          <w:b/>
          <w:color w:val="auto"/>
          <w:sz w:val="30"/>
          <w:highlight w:val="none"/>
        </w:rPr>
        <w:t xml:space="preserve"> </w:t>
      </w:r>
    </w:p>
    <w:p>
      <w:pPr>
        <w:adjustRightInd w:val="0"/>
        <w:snapToGrid w:val="0"/>
        <w:spacing w:before="156" w:beforeLines="50" w:after="156" w:afterLines="50" w:line="360" w:lineRule="auto"/>
        <w:ind w:firstLine="1807" w:firstLineChars="600"/>
        <w:rPr>
          <w:rFonts w:hint="eastAsia" w:ascii="宋体" w:hAnsi="宋体"/>
          <w:b/>
          <w:color w:val="auto"/>
          <w:sz w:val="30"/>
          <w:highlight w:val="none"/>
          <w:u w:val="single"/>
        </w:rPr>
      </w:pPr>
    </w:p>
    <w:p>
      <w:pPr>
        <w:adjustRightInd w:val="0"/>
        <w:snapToGrid w:val="0"/>
        <w:spacing w:before="156" w:beforeLines="50" w:after="156" w:afterLines="50" w:line="360" w:lineRule="auto"/>
        <w:ind w:firstLine="1807" w:firstLineChars="600"/>
        <w:rPr>
          <w:rFonts w:hint="eastAsia" w:ascii="宋体" w:hAnsi="宋体"/>
          <w:b/>
          <w:color w:val="auto"/>
          <w:sz w:val="30"/>
          <w:highlight w:val="none"/>
          <w:u w:val="single"/>
          <w:lang w:eastAsia="zh-CN"/>
        </w:rPr>
      </w:pPr>
      <w:r>
        <w:rPr>
          <w:rFonts w:ascii="宋体"/>
          <w:b/>
          <w:color w:val="auto"/>
          <w:sz w:val="30"/>
          <w:highlight w:val="none"/>
        </w:rPr>
        <w:t>项目地点</w:t>
      </w:r>
      <w:r>
        <w:rPr>
          <w:rFonts w:hint="eastAsia" w:ascii="宋体"/>
          <w:b/>
          <w:color w:val="auto"/>
          <w:sz w:val="30"/>
          <w:highlight w:val="none"/>
        </w:rPr>
        <w:t>:</w:t>
      </w:r>
      <w:r>
        <w:rPr>
          <w:rFonts w:hint="eastAsia" w:ascii="宋体"/>
          <w:b/>
          <w:color w:val="auto"/>
          <w:sz w:val="30"/>
          <w:highlight w:val="none"/>
          <w:u w:val="single"/>
        </w:rPr>
        <w:t xml:space="preserve"> </w:t>
      </w:r>
      <w:r>
        <w:rPr>
          <w:rFonts w:hint="eastAsia" w:ascii="宋体" w:hAnsi="宋体"/>
          <w:b/>
          <w:color w:val="auto"/>
          <w:sz w:val="30"/>
          <w:highlight w:val="none"/>
          <w:u w:val="single"/>
          <w:lang w:eastAsia="zh-CN"/>
        </w:rPr>
        <w:t>湖南长沙市岳麓区学士路336号湖南省检验</w:t>
      </w:r>
    </w:p>
    <w:p>
      <w:pPr>
        <w:adjustRightInd w:val="0"/>
        <w:snapToGrid w:val="0"/>
        <w:spacing w:before="156" w:beforeLines="50" w:after="156" w:afterLines="50" w:line="360" w:lineRule="auto"/>
        <w:ind w:firstLine="3012" w:firstLineChars="1000"/>
        <w:rPr>
          <w:rFonts w:hint="eastAsia" w:ascii="宋体" w:hAnsi="宋体"/>
          <w:b/>
          <w:color w:val="auto"/>
          <w:sz w:val="30"/>
          <w:highlight w:val="none"/>
        </w:rPr>
      </w:pPr>
      <w:r>
        <w:rPr>
          <w:rFonts w:hint="eastAsia" w:ascii="宋体" w:hAnsi="宋体"/>
          <w:b/>
          <w:color w:val="auto"/>
          <w:sz w:val="30"/>
          <w:highlight w:val="none"/>
          <w:u w:val="single"/>
          <w:lang w:eastAsia="zh-CN"/>
        </w:rPr>
        <w:t>检测特色产业园A1栋23楼</w:t>
      </w:r>
      <w:r>
        <w:rPr>
          <w:rFonts w:hint="eastAsia" w:ascii="宋体" w:hAnsi="宋体"/>
          <w:b/>
          <w:color w:val="auto"/>
          <w:sz w:val="30"/>
          <w:highlight w:val="none"/>
          <w:u w:val="single"/>
        </w:rPr>
        <w:t xml:space="preserve"> </w:t>
      </w:r>
      <w:r>
        <w:rPr>
          <w:rFonts w:hint="eastAsia" w:ascii="宋体" w:hAnsi="宋体"/>
          <w:b/>
          <w:color w:val="auto"/>
          <w:sz w:val="30"/>
          <w:highlight w:val="none"/>
        </w:rPr>
        <w:t xml:space="preserve">  </w:t>
      </w:r>
    </w:p>
    <w:p>
      <w:pPr>
        <w:adjustRightInd w:val="0"/>
        <w:snapToGrid w:val="0"/>
        <w:spacing w:before="156" w:beforeLines="50" w:after="156" w:afterLines="50" w:line="360" w:lineRule="auto"/>
        <w:ind w:firstLine="1807" w:firstLineChars="600"/>
        <w:rPr>
          <w:rFonts w:hint="eastAsia" w:ascii="宋体"/>
          <w:b/>
          <w:color w:val="auto"/>
          <w:sz w:val="30"/>
          <w:highlight w:val="none"/>
          <w:u w:val="single"/>
        </w:rPr>
      </w:pPr>
    </w:p>
    <w:p>
      <w:pPr>
        <w:adjustRightInd w:val="0"/>
        <w:snapToGrid w:val="0"/>
        <w:spacing w:before="156" w:beforeLines="50" w:after="156" w:afterLines="50" w:line="360" w:lineRule="auto"/>
        <w:ind w:firstLine="1584" w:firstLineChars="600"/>
        <w:jc w:val="left"/>
        <w:rPr>
          <w:rFonts w:ascii="仿宋_GB2312" w:hAnsi="仿宋_GB2312" w:eastAsia="仿宋_GB2312" w:cs="仿宋_GB2312"/>
          <w:color w:val="auto"/>
          <w:spacing w:val="-18"/>
          <w:sz w:val="30"/>
          <w:szCs w:val="30"/>
          <w:highlight w:val="none"/>
          <w:u w:val="dotted"/>
        </w:rPr>
      </w:pPr>
    </w:p>
    <w:p>
      <w:pPr>
        <w:adjustRightInd w:val="0"/>
        <w:snapToGrid w:val="0"/>
        <w:spacing w:before="156" w:beforeLines="50" w:after="156" w:afterLines="50" w:line="360" w:lineRule="auto"/>
        <w:rPr>
          <w:rFonts w:ascii="宋体" w:hAnsi="宋体"/>
          <w:color w:val="auto"/>
          <w:sz w:val="48"/>
          <w:szCs w:val="48"/>
          <w:highlight w:val="none"/>
        </w:rPr>
      </w:pPr>
    </w:p>
    <w:p>
      <w:pPr>
        <w:adjustRightInd w:val="0"/>
        <w:snapToGrid w:val="0"/>
        <w:spacing w:before="156" w:beforeLines="50" w:after="156" w:afterLines="50" w:line="360" w:lineRule="auto"/>
        <w:jc w:val="center"/>
        <w:rPr>
          <w:rFonts w:ascii="宋体" w:hAnsi="宋体" w:cs="宋体"/>
          <w:color w:val="auto"/>
          <w:szCs w:val="28"/>
          <w:highlight w:val="none"/>
        </w:rPr>
      </w:pPr>
      <w:r>
        <w:rPr>
          <w:rFonts w:hint="eastAsia" w:ascii="宋体" w:hAnsi="宋体" w:cs="宋体"/>
          <w:color w:val="auto"/>
          <w:szCs w:val="28"/>
          <w:highlight w:val="none"/>
        </w:rPr>
        <w:t>20</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年</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月</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日</w:t>
      </w:r>
    </w:p>
    <w:p>
      <w:pPr>
        <w:spacing w:line="560" w:lineRule="exact"/>
        <w:jc w:val="center"/>
        <w:rPr>
          <w:rFonts w:hint="eastAsia" w:ascii="宋体" w:hAnsi="宋体" w:cs="宋体"/>
          <w:bCs/>
          <w:color w:val="auto"/>
          <w:sz w:val="36"/>
          <w:szCs w:val="36"/>
          <w:highlight w:val="none"/>
        </w:rPr>
      </w:pPr>
      <w:r>
        <w:rPr>
          <w:rFonts w:hint="eastAsia" w:ascii="宋体" w:hAnsi="宋体" w:cs="宋体"/>
          <w:b/>
          <w:color w:val="auto"/>
          <w:sz w:val="36"/>
          <w:szCs w:val="36"/>
          <w:highlight w:val="none"/>
        </w:rPr>
        <w:t>保安服务合同</w:t>
      </w:r>
    </w:p>
    <w:p>
      <w:pPr>
        <w:spacing w:line="560" w:lineRule="exact"/>
        <w:rPr>
          <w:rFonts w:hint="eastAsia" w:asciiTheme="minorEastAsia" w:hAnsiTheme="minorEastAsia" w:eastAsiaTheme="minorEastAsia" w:cstheme="minorEastAsia"/>
          <w:b/>
          <w:color w:val="auto"/>
          <w:sz w:val="21"/>
          <w:szCs w:val="21"/>
          <w:highlight w:val="none"/>
        </w:rPr>
      </w:pP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委托人（甲方）：</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地址：</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 xml:space="preserve">联系电话： </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法定代表人：</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被委托人（乙方）：</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bCs/>
          <w:color w:val="auto"/>
          <w:sz w:val="21"/>
          <w:szCs w:val="21"/>
          <w:highlight w:val="none"/>
        </w:rPr>
        <w:t>地址：</w:t>
      </w:r>
      <w:r>
        <w:rPr>
          <w:rFonts w:hint="eastAsia" w:asciiTheme="minorEastAsia" w:hAnsiTheme="minorEastAsia" w:eastAsiaTheme="minorEastAsia" w:cstheme="minorEastAsia"/>
          <w:color w:val="auto"/>
          <w:kern w:val="0"/>
          <w:sz w:val="21"/>
          <w:szCs w:val="21"/>
          <w:highlight w:val="none"/>
          <w:u w:val="single"/>
        </w:rPr>
        <w:t xml:space="preserve">       </w:t>
      </w:r>
    </w:p>
    <w:p>
      <w:pPr>
        <w:widowControl/>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bCs/>
          <w:color w:val="auto"/>
          <w:sz w:val="21"/>
          <w:szCs w:val="21"/>
          <w:highlight w:val="none"/>
        </w:rPr>
        <w:t>联系电话：</w:t>
      </w:r>
      <w:r>
        <w:rPr>
          <w:rFonts w:hint="eastAsia" w:asciiTheme="minorEastAsia" w:hAnsiTheme="minorEastAsia" w:eastAsiaTheme="minorEastAsia" w:cstheme="minorEastAsia"/>
          <w:color w:val="auto"/>
          <w:kern w:val="0"/>
          <w:sz w:val="21"/>
          <w:szCs w:val="21"/>
          <w:highlight w:val="none"/>
          <w:u w:val="single"/>
        </w:rPr>
        <w:t xml:space="preserve">          </w:t>
      </w:r>
    </w:p>
    <w:p>
      <w:pPr>
        <w:widowControl/>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法定代表人：</w:t>
      </w:r>
      <w:r>
        <w:rPr>
          <w:rFonts w:hint="eastAsia" w:asciiTheme="minorEastAsia" w:hAnsiTheme="minorEastAsia" w:eastAsiaTheme="minorEastAsia" w:cstheme="minorEastAsia"/>
          <w:color w:val="auto"/>
          <w:kern w:val="0"/>
          <w:sz w:val="21"/>
          <w:szCs w:val="21"/>
          <w:highlight w:val="none"/>
          <w:u w:val="single"/>
        </w:rPr>
        <w:t xml:space="preserve">          </w:t>
      </w:r>
    </w:p>
    <w:p>
      <w:pPr>
        <w:widowControl/>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安保业务需要，根据《中华人民共和国合同法民法典》有关法律法规，乙方接受甲方委托，为甲方提供保安服务和管理，为此，甲乙双方本着平等互利、诚信务实、共同发展的原则达成如下合同，以资共同遵守。</w:t>
      </w:r>
    </w:p>
    <w:p>
      <w:pPr>
        <w:spacing w:line="360" w:lineRule="auto"/>
        <w:ind w:firstLine="315" w:firstLineChars="1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第一条  保安服务范围</w:t>
      </w:r>
    </w:p>
    <w:p>
      <w:pPr>
        <w:adjustRightInd w:val="0"/>
        <w:snapToGrid w:val="0"/>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保安项目基本情况</w:t>
      </w:r>
    </w:p>
    <w:p>
      <w:pPr>
        <w:adjustRightInd w:val="0"/>
        <w:snapToGrid w:val="0"/>
        <w:spacing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名    称：</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项目类别：</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坐落位置：</w:t>
      </w:r>
      <w:r>
        <w:rPr>
          <w:rFonts w:hint="eastAsia" w:asciiTheme="minorEastAsia" w:hAnsiTheme="minorEastAsia" w:eastAsiaTheme="minorEastAsia" w:cstheme="minorEastAsia"/>
          <w:color w:val="auto"/>
          <w:kern w:val="0"/>
          <w:sz w:val="21"/>
          <w:szCs w:val="21"/>
          <w:highlight w:val="none"/>
          <w:u w:val="single"/>
          <w:lang w:eastAsia="zh-CN"/>
        </w:rPr>
        <w:t>湖南长沙市岳麓区学士路336号湖南省检验检测特色产业园A1栋23楼</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占地面积：</w:t>
      </w:r>
      <w:r>
        <w:rPr>
          <w:rFonts w:hint="eastAsia" w:asciiTheme="minorEastAsia" w:hAnsiTheme="minorEastAsia" w:eastAsiaTheme="minorEastAsia" w:cstheme="minorEastAsia"/>
          <w:color w:val="auto"/>
          <w:kern w:val="0"/>
          <w:sz w:val="21"/>
          <w:szCs w:val="21"/>
          <w:highlight w:val="none"/>
          <w:u w:val="single"/>
        </w:rPr>
        <w:t xml:space="preserve">    14105.22平方米           </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第二条  保安服务内容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提供的保安服务区域同本合同第一条。保安服务内容是为甲方提供门卫、巡逻、守护、秩序维护、设施设备等资产在内的安全管理、消防设施设备检查等安全防范工作和服务，做好防火、防盗、防破坏、防治安灾害事故等。</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2.乙方应就履行本合同项下保安服务成立保安服务管理项目部，乙方保安服务项目负责人及其更换应报甲方同意。</w:t>
      </w:r>
    </w:p>
    <w:p>
      <w:pPr>
        <w:wordWrap w:val="0"/>
        <w:adjustRightInd w:val="0"/>
        <w:snapToGrid w:val="0"/>
        <w:spacing w:line="560" w:lineRule="exact"/>
        <w:ind w:firstLine="392" w:firstLineChars="18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乙方暂定派驻现场保安服务人数为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人。乙方保安服务项目负责人为：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，根据项目实际情况，届时需增加现场保安服务人数以甲方实际书面通知为准。</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3.乙方应当按照法律法规的规定及合同约定，提供的保安服务包括但不限于以下内容：</w:t>
      </w:r>
    </w:p>
    <w:p>
      <w:pPr>
        <w:numPr>
          <w:ilvl w:val="0"/>
          <w:numId w:val="3"/>
        </w:num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负责履行保安服务，24小时全天候执勤，不间断的巡逻，在服务区域范围内进行有计划的常规巡逻及进行非常规的巡逻，其中常规巡逻每天不少于</w:t>
      </w:r>
      <w:r>
        <w:rPr>
          <w:rFonts w:hint="eastAsia" w:asciiTheme="minorEastAsia" w:hAnsiTheme="minorEastAsia" w:eastAsiaTheme="minorEastAsia" w:cstheme="minorEastAsia"/>
          <w:color w:val="auto"/>
          <w:sz w:val="21"/>
          <w:szCs w:val="21"/>
          <w:highlight w:val="none"/>
          <w:u w:val="single"/>
        </w:rPr>
        <w:t xml:space="preserve"> 6 </w:t>
      </w:r>
      <w:r>
        <w:rPr>
          <w:rFonts w:hint="eastAsia" w:asciiTheme="minorEastAsia" w:hAnsiTheme="minorEastAsia" w:eastAsiaTheme="minorEastAsia" w:cstheme="minorEastAsia"/>
          <w:color w:val="auto"/>
          <w:sz w:val="21"/>
          <w:szCs w:val="21"/>
          <w:highlight w:val="none"/>
        </w:rPr>
        <w:t>次，对重点区域每</w:t>
      </w:r>
      <w:r>
        <w:rPr>
          <w:rFonts w:hint="eastAsia" w:asciiTheme="minorEastAsia" w:hAnsiTheme="minorEastAsia" w:eastAsiaTheme="minorEastAsia" w:cstheme="minorEastAsia"/>
          <w:color w:val="auto"/>
          <w:sz w:val="21"/>
          <w:szCs w:val="21"/>
          <w:highlight w:val="none"/>
          <w:u w:val="single"/>
        </w:rPr>
        <w:t xml:space="preserve"> 2 </w:t>
      </w:r>
      <w:r>
        <w:rPr>
          <w:rFonts w:hint="eastAsia" w:asciiTheme="minorEastAsia" w:hAnsiTheme="minorEastAsia" w:eastAsiaTheme="minorEastAsia" w:cstheme="minorEastAsia"/>
          <w:color w:val="auto"/>
          <w:sz w:val="21"/>
          <w:szCs w:val="21"/>
          <w:highlight w:val="none"/>
        </w:rPr>
        <w:t>小时至少巡查</w:t>
      </w:r>
      <w:r>
        <w:rPr>
          <w:rFonts w:hint="eastAsia" w:asciiTheme="minorEastAsia" w:hAnsiTheme="minorEastAsia" w:eastAsiaTheme="minorEastAsia" w:cstheme="minorEastAsia"/>
          <w:color w:val="auto"/>
          <w:sz w:val="21"/>
          <w:szCs w:val="21"/>
          <w:highlight w:val="none"/>
          <w:u w:val="single"/>
        </w:rPr>
        <w:t xml:space="preserve"> 1 </w:t>
      </w:r>
      <w:r>
        <w:rPr>
          <w:rFonts w:hint="eastAsia" w:asciiTheme="minorEastAsia" w:hAnsiTheme="minorEastAsia" w:eastAsiaTheme="minorEastAsia" w:cstheme="minorEastAsia"/>
          <w:color w:val="auto"/>
          <w:sz w:val="21"/>
          <w:szCs w:val="21"/>
          <w:highlight w:val="none"/>
        </w:rPr>
        <w:t>次，并做好巡查记录；夜间（19:30-7:30）对服务范围内重点区域进行不少于</w:t>
      </w:r>
      <w:r>
        <w:rPr>
          <w:rFonts w:hint="eastAsia" w:asciiTheme="minorEastAsia" w:hAnsiTheme="minorEastAsia" w:eastAsiaTheme="minorEastAsia" w:cstheme="minorEastAsia"/>
          <w:color w:val="auto"/>
          <w:sz w:val="21"/>
          <w:szCs w:val="21"/>
          <w:highlight w:val="none"/>
          <w:u w:val="single"/>
        </w:rPr>
        <w:t xml:space="preserve"> 4 </w:t>
      </w:r>
      <w:r>
        <w:rPr>
          <w:rFonts w:hint="eastAsia" w:asciiTheme="minorEastAsia" w:hAnsiTheme="minorEastAsia" w:eastAsiaTheme="minorEastAsia" w:cstheme="minorEastAsia"/>
          <w:color w:val="auto"/>
          <w:sz w:val="21"/>
          <w:szCs w:val="21"/>
          <w:highlight w:val="none"/>
        </w:rPr>
        <w:t>次的防范检查和巡逻；实施</w:t>
      </w:r>
      <w:r>
        <w:rPr>
          <w:rFonts w:hint="eastAsia" w:asciiTheme="minorEastAsia" w:hAnsiTheme="minorEastAsia" w:eastAsiaTheme="minorEastAsia" w:cstheme="minorEastAsia"/>
          <w:color w:val="auto"/>
          <w:sz w:val="21"/>
          <w:szCs w:val="21"/>
          <w:highlight w:val="none"/>
          <w:u w:val="single"/>
        </w:rPr>
        <w:t xml:space="preserve"> 24 </w:t>
      </w:r>
      <w:r>
        <w:rPr>
          <w:rFonts w:hint="eastAsia" w:asciiTheme="minorEastAsia" w:hAnsiTheme="minorEastAsia" w:eastAsiaTheme="minorEastAsia" w:cstheme="minorEastAsia"/>
          <w:color w:val="auto"/>
          <w:sz w:val="21"/>
          <w:szCs w:val="21"/>
          <w:highlight w:val="none"/>
        </w:rPr>
        <w:t>小时监控值班并有真实、完备的记录。 </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重点区域是指</w:t>
      </w:r>
      <w:r>
        <w:rPr>
          <w:rFonts w:hint="eastAsia" w:asciiTheme="minorEastAsia" w:hAnsiTheme="minorEastAsia" w:eastAsiaTheme="minorEastAsia" w:cstheme="minorEastAsia"/>
          <w:color w:val="auto"/>
          <w:sz w:val="21"/>
          <w:szCs w:val="21"/>
          <w:highlight w:val="none"/>
          <w:u w:val="single"/>
        </w:rPr>
        <w:t xml:space="preserve">   设施设备区域、公共区域  </w:t>
      </w:r>
      <w:r>
        <w:rPr>
          <w:rFonts w:hint="eastAsia" w:asciiTheme="minorEastAsia" w:hAnsiTheme="minorEastAsia" w:eastAsiaTheme="minorEastAsia" w:cstheme="minorEastAsia"/>
          <w:color w:val="auto"/>
          <w:sz w:val="21"/>
          <w:szCs w:val="21"/>
          <w:highlight w:val="none"/>
        </w:rPr>
        <w:t xml:space="preserve"> ，包括</w:t>
      </w:r>
      <w:r>
        <w:rPr>
          <w:rFonts w:hint="eastAsia" w:asciiTheme="minorEastAsia" w:hAnsiTheme="minorEastAsia" w:eastAsiaTheme="minorEastAsia" w:cstheme="minorEastAsia"/>
          <w:color w:val="auto"/>
          <w:sz w:val="21"/>
          <w:szCs w:val="21"/>
          <w:highlight w:val="none"/>
          <w:u w:val="single"/>
        </w:rPr>
        <w:t xml:space="preserve">  污水井及周边、消防通道、水域周边 </w:t>
      </w:r>
      <w:r>
        <w:rPr>
          <w:rFonts w:hint="eastAsia" w:asciiTheme="minorEastAsia" w:hAnsiTheme="minorEastAsia" w:eastAsiaTheme="minorEastAsia" w:cstheme="minorEastAsia"/>
          <w:color w:val="auto"/>
          <w:sz w:val="21"/>
          <w:szCs w:val="21"/>
          <w:highlight w:val="none"/>
        </w:rPr>
        <w:t>。</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（2）合同签订生效之日起一周内提交本年度工作、培训计划，每年（阶段）</w:t>
      </w:r>
      <w:r>
        <w:rPr>
          <w:rFonts w:hint="eastAsia" w:asciiTheme="minorEastAsia" w:hAnsiTheme="minorEastAsia" w:eastAsiaTheme="minorEastAsia" w:cstheme="minorEastAsia"/>
          <w:color w:val="auto"/>
          <w:sz w:val="21"/>
          <w:szCs w:val="21"/>
          <w:highlight w:val="none"/>
          <w:u w:val="single"/>
        </w:rPr>
        <w:t xml:space="preserve">  12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25 </w:t>
      </w:r>
      <w:r>
        <w:rPr>
          <w:rFonts w:hint="eastAsia" w:asciiTheme="minorEastAsia" w:hAnsiTheme="minorEastAsia" w:eastAsiaTheme="minorEastAsia" w:cstheme="minorEastAsia"/>
          <w:color w:val="auto"/>
          <w:sz w:val="21"/>
          <w:szCs w:val="21"/>
          <w:highlight w:val="none"/>
        </w:rPr>
        <w:t>日前提交本年度工作总结和下一年度工作、培训计划，每月</w:t>
      </w:r>
      <w:r>
        <w:rPr>
          <w:rFonts w:hint="eastAsia" w:asciiTheme="minorEastAsia" w:hAnsiTheme="minorEastAsia" w:eastAsiaTheme="minorEastAsia" w:cstheme="minorEastAsia"/>
          <w:color w:val="auto"/>
          <w:sz w:val="21"/>
          <w:szCs w:val="21"/>
          <w:highlight w:val="none"/>
          <w:u w:val="single"/>
        </w:rPr>
        <w:t xml:space="preserve">  25  </w:t>
      </w:r>
      <w:r>
        <w:rPr>
          <w:rFonts w:hint="eastAsia" w:asciiTheme="minorEastAsia" w:hAnsiTheme="minorEastAsia" w:eastAsiaTheme="minorEastAsia" w:cstheme="minorEastAsia"/>
          <w:color w:val="auto"/>
          <w:sz w:val="21"/>
          <w:szCs w:val="21"/>
          <w:highlight w:val="none"/>
        </w:rPr>
        <w:t>日前提交本月工作总结及下一月工作计划、培训计划。所有计划需经甲方审核通过后方可实施。</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（3）负责预防和防止甲方财产、人员安全受到侵害；发生安全事故时，乙方应立即采取有效措施防止事态扩大。</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（4）负责维护甲方的正常工作秩序。</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（5）负责值班室、责任区内的环境卫生。</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（6）负责认真填写值班、检查、巡逻台帐记录并做好交接班等相关工作。</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（7）负责建立档案资料库，各项安全检查、管理工作做到有章可循、有据可查。</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（8）负责定期对服务范围内的消防、监控设施、设备、器材进行检查维护，确保其正常运行和使用，并做好登记存档。</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负责预防、处置管理区域内的消防安全工作；负责制定消防演习预案，至少每半年开展1次消防演练；负责突发公共事件、重大活动、节假日安全保障应急方案及预防措施的制订和实施（甲方有权根据需要对应急方案及预防措施予以审核，并提出相应的修改要求）。</w:t>
      </w:r>
    </w:p>
    <w:p>
      <w:pPr>
        <w:adjustRightInd w:val="0"/>
        <w:snapToGrid w:val="0"/>
        <w:spacing w:line="560" w:lineRule="exact"/>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（10）负责积极配合公安机关打击各种破坏治安和刑事犯罪活动。</w:t>
      </w:r>
    </w:p>
    <w:p>
      <w:pPr>
        <w:adjustRightInd w:val="0"/>
        <w:snapToGrid w:val="0"/>
        <w:spacing w:line="560" w:lineRule="exact"/>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（11）负责根据法律、法规和甲方授权制定保安服务的有关制度。</w:t>
      </w:r>
    </w:p>
    <w:p>
      <w:pPr>
        <w:adjustRightInd w:val="0"/>
        <w:snapToGrid w:val="0"/>
        <w:spacing w:line="560" w:lineRule="exact"/>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（12）负责做好安全防范工作。发生安全事故，及时向甲方和有关部门报告，采取相应措施。</w:t>
      </w:r>
    </w:p>
    <w:p>
      <w:pPr>
        <w:adjustRightInd w:val="0"/>
        <w:snapToGrid w:val="0"/>
        <w:spacing w:line="560" w:lineRule="exact"/>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（13）负责对项目区域内发生的违反治安、环保、物业管理使用等方面法律、法规和规章的行为进行及时告知、建议、劝阻，并向甲方报告。</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4.除第二条约定服务外，甲乙双方可根据甲方对保安服务特殊需求及该保安服务项目实际情况，对乙方应提供的其他保安服务内容另行签署补充协议，作为本合同附件。</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第三条  考核标准</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1.甲方对乙方执行百分制月度考核标准，考评总分为</w:t>
      </w:r>
      <w:r>
        <w:rPr>
          <w:rFonts w:hint="eastAsia" w:asciiTheme="minorEastAsia" w:hAnsiTheme="minorEastAsia" w:eastAsiaTheme="minorEastAsia" w:cstheme="minorEastAsia"/>
          <w:color w:val="auto"/>
          <w:sz w:val="21"/>
          <w:szCs w:val="21"/>
          <w:highlight w:val="none"/>
          <w:u w:val="single"/>
        </w:rPr>
        <w:t>100</w:t>
      </w:r>
      <w:r>
        <w:rPr>
          <w:rFonts w:hint="eastAsia" w:asciiTheme="minorEastAsia" w:hAnsiTheme="minorEastAsia" w:eastAsiaTheme="minorEastAsia" w:cstheme="minorEastAsia"/>
          <w:color w:val="auto"/>
          <w:sz w:val="21"/>
          <w:szCs w:val="21"/>
          <w:highlight w:val="none"/>
        </w:rPr>
        <w:t>分，月度考核结果为合同月度付款依据。考核指标主要为服务质量考核标准和人员到岗及时性/人员稳定性/缺编考核标准。</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2.甲方对乙方月度具体考核标准详见附件一：外包服务合同服务质量及人员考核标准（保安类）。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3.甲方对乙方的考核实行日、周、月检相结合方式进行考核，其标准依据</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保安工作考核标准》（见附件二）</w:t>
      </w:r>
      <w:r>
        <w:rPr>
          <w:rFonts w:hint="eastAsia" w:asciiTheme="minorEastAsia" w:hAnsiTheme="minorEastAsia" w:eastAsiaTheme="minorEastAsia" w:cstheme="minorEastAsia"/>
          <w:color w:val="auto"/>
          <w:sz w:val="21"/>
          <w:szCs w:val="21"/>
          <w:highlight w:val="none"/>
        </w:rPr>
        <w:t>执行，日、周、月检</w:t>
      </w:r>
      <w:r>
        <w:rPr>
          <w:rFonts w:hint="eastAsia" w:asciiTheme="minorEastAsia" w:hAnsiTheme="minorEastAsia" w:eastAsiaTheme="minorEastAsia" w:cstheme="minorEastAsia"/>
          <w:color w:val="auto"/>
          <w:sz w:val="21"/>
          <w:szCs w:val="21"/>
          <w:highlight w:val="none"/>
        </w:rPr>
        <w:t>根据标准进行累计扣分并每月统计，作为月度考核的依据；周、月检查由甲方现场管理人员参加</w:t>
      </w:r>
      <w:r>
        <w:rPr>
          <w:rFonts w:hint="eastAsia" w:asciiTheme="minorEastAsia" w:hAnsiTheme="minorEastAsia" w:eastAsiaTheme="minorEastAsia" w:cstheme="minorEastAsia"/>
          <w:color w:val="auto"/>
          <w:sz w:val="21"/>
          <w:szCs w:val="21"/>
          <w:highlight w:val="none"/>
        </w:rPr>
        <w:t>。</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4.乙方信赖甲方的考核评价工作，同意无条件接受甲方的最终考评结果。</w:t>
      </w:r>
    </w:p>
    <w:p>
      <w:pPr>
        <w:spacing w:line="360" w:lineRule="auto"/>
        <w:ind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第四条 合同期限</w:t>
      </w:r>
    </w:p>
    <w:p>
      <w:pPr>
        <w:spacing w:line="360" w:lineRule="auto"/>
        <w:ind w:left="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本合同期限为：</w:t>
      </w:r>
      <w:r>
        <w:rPr>
          <w:rFonts w:hint="eastAsia" w:asciiTheme="minorEastAsia" w:hAnsiTheme="minorEastAsia" w:eastAsiaTheme="minorEastAsia" w:cstheme="minorEastAsia"/>
          <w:color w:val="auto"/>
          <w:sz w:val="21"/>
          <w:szCs w:val="21"/>
          <w:highlight w:val="none"/>
          <w:u w:val="single"/>
        </w:rPr>
        <w:t xml:space="preserve">  壹  </w:t>
      </w:r>
      <w:r>
        <w:rPr>
          <w:rFonts w:hint="eastAsia" w:asciiTheme="minorEastAsia" w:hAnsiTheme="minorEastAsia" w:eastAsiaTheme="minorEastAsia" w:cstheme="minorEastAsia"/>
          <w:color w:val="auto"/>
          <w:sz w:val="21"/>
          <w:szCs w:val="21"/>
          <w:highlight w:val="none"/>
        </w:rPr>
        <w:t>年，从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日起至</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日止。</w:t>
      </w:r>
    </w:p>
    <w:p>
      <w:pPr>
        <w:spacing w:line="360" w:lineRule="auto"/>
        <w:ind w:firstLine="48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第五条 保安服务费用、结算及付款方式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1.保安服务费用：</w:t>
      </w:r>
    </w:p>
    <w:p>
      <w:pPr>
        <w:ind w:firstLine="648"/>
        <w:jc w:val="left"/>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（1）服务费用标准根据岗位类别区分，具体分配如下：</w:t>
      </w:r>
    </w:p>
    <w:tbl>
      <w:tblPr>
        <w:tblStyle w:val="41"/>
        <w:tblW w:w="0" w:type="auto"/>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482"/>
        <w:gridCol w:w="800"/>
        <w:gridCol w:w="1564"/>
        <w:gridCol w:w="1336"/>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序号</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岗 位</w:t>
            </w: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人数</w:t>
            </w: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费用标准（元/月）</w:t>
            </w: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合  计（元/年）</w:t>
            </w:r>
          </w:p>
        </w:tc>
        <w:tc>
          <w:tcPr>
            <w:tcW w:w="3301"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岗位重点职责与标准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1</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jc w:val="left"/>
              <w:rPr>
                <w:rFonts w:hint="eastAsia" w:asciiTheme="minorEastAsia" w:hAnsiTheme="minorEastAsia" w:eastAsiaTheme="minorEastAsia" w:cstheme="minorEastAsia"/>
                <w:color w:val="auto"/>
                <w:kern w:val="0"/>
                <w:sz w:val="21"/>
                <w:szCs w:val="21"/>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2</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rPr>
                <w:rFonts w:hint="eastAsia" w:asciiTheme="minorEastAsia" w:hAnsiTheme="minorEastAsia" w:eastAsiaTheme="minorEastAsia" w:cstheme="minorEastAsia"/>
                <w:color w:val="auto"/>
                <w:kern w:val="0"/>
                <w:sz w:val="21"/>
                <w:szCs w:val="21"/>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3</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rPr>
                <w:rFonts w:hint="eastAsia" w:asciiTheme="minorEastAsia" w:hAnsiTheme="minorEastAsia" w:eastAsiaTheme="minorEastAsia" w:cstheme="minorEastAsia"/>
                <w:color w:val="auto"/>
                <w:kern w:val="0"/>
                <w:sz w:val="21"/>
                <w:szCs w:val="21"/>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4</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rPr>
                <w:rFonts w:hint="eastAsia" w:asciiTheme="minorEastAsia" w:hAnsiTheme="minorEastAsia" w:eastAsiaTheme="minorEastAsia" w:cstheme="minorEastAsia"/>
                <w:color w:val="auto"/>
                <w:kern w:val="0"/>
                <w:sz w:val="21"/>
                <w:szCs w:val="21"/>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5</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rPr>
                <w:rFonts w:hint="eastAsia" w:asciiTheme="minorEastAsia" w:hAnsiTheme="minorEastAsia" w:eastAsiaTheme="minorEastAsia" w:cstheme="minorEastAsia"/>
                <w:color w:val="auto"/>
                <w:kern w:val="0"/>
                <w:sz w:val="21"/>
                <w:szCs w:val="21"/>
                <w:highlight w:val="none"/>
                <w:shd w:val="clear" w:color="FFFFFF" w:fill="FFFFFF"/>
              </w:rPr>
            </w:pPr>
          </w:p>
        </w:tc>
      </w:tr>
    </w:tbl>
    <w:p>
      <w:pPr>
        <w:ind w:firstLine="648"/>
        <w:jc w:val="left"/>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 xml:space="preserve">合同总金额（含增值税）暂定为人民币¥ </w:t>
      </w:r>
      <w:r>
        <w:rPr>
          <w:rFonts w:hint="eastAsia" w:asciiTheme="minorEastAsia" w:hAnsiTheme="minorEastAsia" w:eastAsiaTheme="minorEastAsia" w:cstheme="minorEastAsia"/>
          <w:color w:val="auto"/>
          <w:kern w:val="0"/>
          <w:sz w:val="21"/>
          <w:szCs w:val="21"/>
          <w:highlight w:val="none"/>
          <w:u w:val="single"/>
          <w:shd w:val="clear" w:color="FFFFFF" w:fill="FFFFFF"/>
        </w:rPr>
        <w:t xml:space="preserve">   </w:t>
      </w:r>
      <w:r>
        <w:rPr>
          <w:rFonts w:hint="eastAsia" w:asciiTheme="minorEastAsia" w:hAnsiTheme="minorEastAsia" w:eastAsiaTheme="minorEastAsia" w:cstheme="minorEastAsia"/>
          <w:color w:val="auto"/>
          <w:kern w:val="0"/>
          <w:sz w:val="21"/>
          <w:szCs w:val="21"/>
          <w:highlight w:val="none"/>
          <w:shd w:val="clear" w:color="FFFFFF" w:fill="FFFFFF"/>
        </w:rPr>
        <w:t>元（保安服务人数按</w:t>
      </w:r>
      <w:r>
        <w:rPr>
          <w:rFonts w:hint="eastAsia" w:asciiTheme="minorEastAsia" w:hAnsiTheme="minorEastAsia" w:eastAsiaTheme="minorEastAsia" w:cstheme="minorEastAsia"/>
          <w:color w:val="auto"/>
          <w:kern w:val="0"/>
          <w:sz w:val="21"/>
          <w:szCs w:val="21"/>
          <w:highlight w:val="none"/>
          <w:u w:val="single"/>
          <w:shd w:val="clear" w:color="FFFFFF" w:fill="FFFFFF"/>
        </w:rPr>
        <w:t xml:space="preserve">   </w:t>
      </w:r>
      <w:r>
        <w:rPr>
          <w:rFonts w:hint="eastAsia" w:asciiTheme="minorEastAsia" w:hAnsiTheme="minorEastAsia" w:eastAsiaTheme="minorEastAsia" w:cstheme="minorEastAsia"/>
          <w:color w:val="auto"/>
          <w:kern w:val="0"/>
          <w:sz w:val="21"/>
          <w:szCs w:val="21"/>
          <w:highlight w:val="none"/>
          <w:shd w:val="clear" w:color="FFFFFF" w:fill="FFFFFF"/>
        </w:rPr>
        <w:t>人估计）,大写：</w:t>
      </w:r>
      <w:r>
        <w:rPr>
          <w:rFonts w:hint="eastAsia" w:asciiTheme="minorEastAsia" w:hAnsiTheme="minorEastAsia" w:eastAsiaTheme="minorEastAsia" w:cstheme="minorEastAsia"/>
          <w:color w:val="auto"/>
          <w:kern w:val="0"/>
          <w:sz w:val="21"/>
          <w:szCs w:val="21"/>
          <w:highlight w:val="none"/>
          <w:u w:val="single"/>
          <w:shd w:val="clear" w:color="FFFFFF" w:fill="FFFFFF"/>
        </w:rPr>
        <w:t xml:space="preserve">      元</w:t>
      </w:r>
      <w:r>
        <w:rPr>
          <w:rFonts w:hint="eastAsia" w:asciiTheme="minorEastAsia" w:hAnsiTheme="minorEastAsia" w:eastAsiaTheme="minorEastAsia" w:cstheme="minorEastAsia"/>
          <w:color w:val="auto"/>
          <w:kern w:val="0"/>
          <w:sz w:val="21"/>
          <w:szCs w:val="21"/>
          <w:highlight w:val="none"/>
          <w:shd w:val="clear" w:color="FFFFFF" w:fill="FFFFFF"/>
        </w:rPr>
        <w:t>整。实际发生服务费用根据甲方要求和乙方实际到岗人数计算。</w:t>
      </w:r>
    </w:p>
    <w:p>
      <w:pPr>
        <w:ind w:firstLine="648"/>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shd w:val="clear" w:color="FFFFFF" w:fill="FFFFFF"/>
        </w:rPr>
        <w:t>（2）该服务费用包括但不限于履行本合同所有服务内容所需的人员工资、工作服装、服务工具、设备耗材以及税费、利润、管理成本等费用。除非甲乙双方另有明确约定，甲方无需再向乙方或第三方支付任何其他费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2.结算方式：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（1）每月以实际到岗保安人数进行费用结算；</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（2）保安服务费以月为单位结算支付，非整月的月份以实际天数与当月天数比例核算（当月天数按26天计算，时间不足5天的，不结算服务费）。</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（3）乙方按本合同约定收取保安服务费用，并按本合同约定的服务内容和质量提供服务，盈余或亏损均由乙方享有或承担；乙方不得以亏损为由要求甲方增加费用、降低服务标准或减少服务人员。</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（4）合同生效后第二个月开始，甲方应根据</w:t>
      </w:r>
      <w:r>
        <w:rPr>
          <w:rFonts w:hint="eastAsia" w:asciiTheme="minorEastAsia" w:hAnsiTheme="minorEastAsia" w:eastAsiaTheme="minorEastAsia" w:cstheme="minorEastAsia"/>
          <w:bCs/>
          <w:color w:val="auto"/>
          <w:spacing w:val="11"/>
          <w:sz w:val="21"/>
          <w:szCs w:val="21"/>
          <w:highlight w:val="none"/>
        </w:rPr>
        <w:t>《外包服务合同服务质量及人员考核标准（保安类）》</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保安工作考核标准》检查结果向乙方出具上月《保安月度考核报告》，确定每月最终合同结算金额。</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合同期限内第一个月服务费暂不支付，作为履约保证金，待合同期结束后支付。</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3.付款方式</w:t>
      </w:r>
    </w:p>
    <w:p>
      <w:pPr>
        <w:spacing w:line="360" w:lineRule="auto"/>
        <w:ind w:firstLine="482"/>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highlight w:val="none"/>
        </w:rPr>
        <w:t>采取按月支付方式，由乙方向甲方报请支付，支付费用根据结算方式经甲方确认后，凭乙方开具的发票，</w:t>
      </w:r>
      <w:r>
        <w:rPr>
          <w:rFonts w:hint="eastAsia" w:ascii="宋体" w:hAnsi="宋体" w:cs="宋体"/>
          <w:bCs/>
          <w:color w:val="auto"/>
          <w:sz w:val="21"/>
          <w:szCs w:val="21"/>
          <w:highlight w:val="none"/>
          <w:lang w:val="en-US" w:eastAsia="zh-CN"/>
        </w:rPr>
        <w:t>每月前15个工作日内支付上个月服务费用</w:t>
      </w:r>
      <w:r>
        <w:rPr>
          <w:rFonts w:hint="eastAsia" w:asciiTheme="minorEastAsia" w:hAnsiTheme="minorEastAsia" w:eastAsiaTheme="minorEastAsia" w:cstheme="minorEastAsia"/>
          <w:bCs/>
          <w:color w:val="auto"/>
          <w:spacing w:val="11"/>
          <w:sz w:val="21"/>
          <w:szCs w:val="21"/>
          <w:highlight w:val="none"/>
        </w:rPr>
        <w:t>；因乙方自身原因逾期提供发票或票面信息错误导致付款延期的，所有责任由乙方自行承担。</w:t>
      </w:r>
    </w:p>
    <w:p>
      <w:pPr>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乙方账户信息：</w:t>
      </w:r>
    </w:p>
    <w:p>
      <w:pPr>
        <w:spacing w:line="360" w:lineRule="auto"/>
        <w:ind w:firstLine="482"/>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sz w:val="21"/>
          <w:szCs w:val="21"/>
          <w:highlight w:val="none"/>
        </w:rPr>
        <w:t>开 户 名：</w:t>
      </w:r>
      <w:r>
        <w:rPr>
          <w:rFonts w:hint="eastAsia" w:asciiTheme="minorEastAsia" w:hAnsiTheme="minorEastAsia" w:eastAsiaTheme="minorEastAsia" w:cstheme="minorEastAsia"/>
          <w:color w:val="auto"/>
          <w:kern w:val="0"/>
          <w:sz w:val="21"/>
          <w:szCs w:val="21"/>
          <w:highlight w:val="none"/>
          <w:u w:val="single"/>
        </w:rPr>
        <w:t xml:space="preserve">            </w:t>
      </w:r>
    </w:p>
    <w:p>
      <w:pPr>
        <w:spacing w:line="360" w:lineRule="auto"/>
        <w:ind w:firstLine="482"/>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银行账号：</w:t>
      </w:r>
      <w:r>
        <w:rPr>
          <w:rFonts w:hint="eastAsia" w:asciiTheme="minorEastAsia" w:hAnsiTheme="minorEastAsia" w:eastAsiaTheme="minorEastAsia" w:cstheme="minorEastAsia"/>
          <w:color w:val="auto"/>
          <w:kern w:val="0"/>
          <w:sz w:val="21"/>
          <w:szCs w:val="21"/>
          <w:highlight w:val="none"/>
          <w:u w:val="single"/>
        </w:rPr>
        <w:t xml:space="preserve">                </w:t>
      </w:r>
    </w:p>
    <w:p>
      <w:pPr>
        <w:spacing w:line="360" w:lineRule="auto"/>
        <w:ind w:firstLine="482"/>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开 户 行：</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ind w:firstLine="482"/>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u w:val="single"/>
        </w:rPr>
        <w:t>如有变更，乙方应立即书面通知甲方，否则，由乙方自行承担全部责任。</w:t>
      </w:r>
    </w:p>
    <w:p>
      <w:pPr>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第六条  双方的权利和义务</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1.甲方的权利和义务</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（1）审定乙方编制的年、月度保安工作计划和总结、保安管理制度、服务方案、人员编制、费用预算，明确保安服务质量目标，监督乙方保安服务工作。</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有权对乙方派驻的保安人员的工作进行监督检查，对乙方及其人员提供的保安服务的质量提出改进意见和建议，乙方及其派驻保安人员服务质量不达标的，有权要求乙方进行整改；如乙方未进行限期整改并造成甲方损失，甲方有权要求乙方赔偿损失。对表现不好的人员，甲方可直接向乙方提出退换调整的意见，乙方应及时做出调整。</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（3）遇紧急事件或重大活动时，甲方有权要求乙方根据甲方需求积极配合，且乙方工作人员应积极配合甲方现场管理人员的调度。</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（4）随时检查乙方人员的在岗情况与岗位配置情况，对缺岗和擅自调整岗位配置等情况按</w:t>
      </w:r>
      <w:r>
        <w:rPr>
          <w:rFonts w:hint="eastAsia" w:asciiTheme="minorEastAsia" w:hAnsiTheme="minorEastAsia" w:eastAsiaTheme="minorEastAsia" w:cstheme="minorEastAsia"/>
          <w:color w:val="auto"/>
          <w:sz w:val="21"/>
          <w:szCs w:val="21"/>
          <w:highlight w:val="none"/>
          <w:u w:val="single"/>
        </w:rPr>
        <w:t xml:space="preserve"> 200 </w:t>
      </w:r>
      <w:r>
        <w:rPr>
          <w:rFonts w:hint="eastAsia" w:asciiTheme="minorEastAsia" w:hAnsiTheme="minorEastAsia" w:eastAsiaTheme="minorEastAsia" w:cstheme="minorEastAsia"/>
          <w:color w:val="auto"/>
          <w:sz w:val="21"/>
          <w:szCs w:val="21"/>
          <w:highlight w:val="none"/>
        </w:rPr>
        <w:t>元/人/班次进行扣款，直接在每月考核后的服务费用中抵扣。因乙方人员缺岗和擅自调整岗位等原因造成甲方损失和或重大影响的，甲方可终止合同并要求乙方赔偿损失。</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甲方对乙方在本合同约定的保安服务范围内进行的一些重要岗位的设置、人员录用及管理，一些重要的管理提出服务要求。对于乙方拟派驻到甲方的工作人员，甲方可以对相关人员进行现场审核，确认是否符合甲方要求，如不符合要求的，可要求乙方予以更换决策有直接参与权与否决权。</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（6）按照合同约定向乙方支付保安服务费用。</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（7）法律法规规定的和合同约定的其他权利。</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2.乙方的权利和义务</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（1）根据有关法律法规及本合同的规定，制订安保管理方案，经甲方审定后按照本合同约定提供保安服务。</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（2）每年</w:t>
      </w:r>
      <w:r>
        <w:rPr>
          <w:rFonts w:hint="eastAsia" w:asciiTheme="minorEastAsia" w:hAnsiTheme="minorEastAsia" w:eastAsiaTheme="minorEastAsia" w:cstheme="minorEastAsia"/>
          <w:color w:val="auto"/>
          <w:sz w:val="21"/>
          <w:szCs w:val="21"/>
          <w:highlight w:val="none"/>
          <w:u w:val="single"/>
        </w:rPr>
        <w:t xml:space="preserve"> 12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25 </w:t>
      </w:r>
      <w:r>
        <w:rPr>
          <w:rFonts w:hint="eastAsia" w:asciiTheme="minorEastAsia" w:hAnsiTheme="minorEastAsia" w:eastAsiaTheme="minorEastAsia" w:cstheme="minorEastAsia"/>
          <w:color w:val="auto"/>
          <w:sz w:val="21"/>
          <w:szCs w:val="21"/>
          <w:highlight w:val="none"/>
        </w:rPr>
        <w:t>日前、每月</w:t>
      </w:r>
      <w:r>
        <w:rPr>
          <w:rFonts w:hint="eastAsia" w:asciiTheme="minorEastAsia" w:hAnsiTheme="minorEastAsia" w:eastAsiaTheme="minorEastAsia" w:cstheme="minorEastAsia"/>
          <w:color w:val="auto"/>
          <w:sz w:val="21"/>
          <w:szCs w:val="21"/>
          <w:highlight w:val="none"/>
          <w:u w:val="single"/>
        </w:rPr>
        <w:t xml:space="preserve"> 25  </w:t>
      </w:r>
      <w:r>
        <w:rPr>
          <w:rFonts w:hint="eastAsia" w:asciiTheme="minorEastAsia" w:hAnsiTheme="minorEastAsia" w:eastAsiaTheme="minorEastAsia" w:cstheme="minorEastAsia"/>
          <w:color w:val="auto"/>
          <w:sz w:val="21"/>
          <w:szCs w:val="21"/>
          <w:highlight w:val="none"/>
        </w:rPr>
        <w:t>日前提供本项目下年/月工作计划、培训计划以及本年/月工作总结给甲方审定。</w:t>
      </w:r>
    </w:p>
    <w:p>
      <w:pPr>
        <w:wordWrap w:val="0"/>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（3）乙方应派出1名项目管理人员负责本项目的保安管理工作，该管理人员的选聘提供服务前需经甲方现场审核、更换需事先征得甲方认可，乙方应及时将派出的管理人员的相关信息报甲方备案。</w:t>
      </w:r>
    </w:p>
    <w:p>
      <w:pPr>
        <w:wordWrap w:val="0"/>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（4）根据本合同约定对各岗位进行相应的人员配备，并将配备人员相关身份证复印件及岗位编制报甲方备案。乙方需调换原配人员时，应提前</w:t>
      </w:r>
      <w:r>
        <w:rPr>
          <w:rFonts w:hint="eastAsia" w:asciiTheme="minorEastAsia" w:hAnsiTheme="minorEastAsia" w:eastAsiaTheme="minorEastAsia" w:cstheme="minorEastAsia"/>
          <w:color w:val="auto"/>
          <w:sz w:val="21"/>
          <w:szCs w:val="21"/>
          <w:highlight w:val="none"/>
          <w:u w:val="single"/>
        </w:rPr>
        <w:t xml:space="preserve"> 15 </w:t>
      </w:r>
      <w:r>
        <w:rPr>
          <w:rFonts w:hint="eastAsia" w:asciiTheme="minorEastAsia" w:hAnsiTheme="minorEastAsia" w:eastAsiaTheme="minorEastAsia" w:cstheme="minorEastAsia"/>
          <w:color w:val="auto"/>
          <w:sz w:val="21"/>
          <w:szCs w:val="21"/>
          <w:highlight w:val="none"/>
        </w:rPr>
        <w:t>天书面通知甲方并征得甲方同意的方可更换。</w:t>
      </w:r>
    </w:p>
    <w:p>
      <w:pPr>
        <w:wordWrap w:val="0"/>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（5）乙方招聘员工工作人员年龄要求</w:t>
      </w:r>
      <w:r>
        <w:rPr>
          <w:rFonts w:hint="eastAsia" w:asciiTheme="minorEastAsia" w:hAnsiTheme="minorEastAsia" w:eastAsiaTheme="minorEastAsia" w:cstheme="minorEastAsia"/>
          <w:color w:val="auto"/>
          <w:sz w:val="21"/>
          <w:szCs w:val="21"/>
          <w:highlight w:val="none"/>
          <w:u w:val="single"/>
        </w:rPr>
        <w:t xml:space="preserve"> 20 </w:t>
      </w:r>
      <w:r>
        <w:rPr>
          <w:rFonts w:hint="eastAsia" w:asciiTheme="minorEastAsia" w:hAnsiTheme="minorEastAsia" w:eastAsiaTheme="minorEastAsia" w:cstheme="minorEastAsia"/>
          <w:color w:val="auto"/>
          <w:sz w:val="21"/>
          <w:szCs w:val="21"/>
          <w:highlight w:val="none"/>
        </w:rPr>
        <w:t>至</w:t>
      </w:r>
      <w:r>
        <w:rPr>
          <w:rFonts w:hint="eastAsia" w:asciiTheme="minorEastAsia" w:hAnsiTheme="minorEastAsia" w:eastAsiaTheme="minorEastAsia" w:cstheme="minorEastAsia"/>
          <w:color w:val="auto"/>
          <w:sz w:val="21"/>
          <w:szCs w:val="21"/>
          <w:highlight w:val="none"/>
          <w:u w:val="single"/>
        </w:rPr>
        <w:t xml:space="preserve"> 45 </w:t>
      </w:r>
      <w:r>
        <w:rPr>
          <w:rFonts w:hint="eastAsia" w:asciiTheme="minorEastAsia" w:hAnsiTheme="minorEastAsia" w:eastAsiaTheme="minorEastAsia" w:cstheme="minorEastAsia"/>
          <w:color w:val="auto"/>
          <w:sz w:val="21"/>
          <w:szCs w:val="21"/>
          <w:highlight w:val="none"/>
        </w:rPr>
        <w:t>周岁（含）以内，男性，身高</w:t>
      </w:r>
      <w:r>
        <w:rPr>
          <w:rFonts w:hint="eastAsia" w:asciiTheme="minorEastAsia" w:hAnsiTheme="minorEastAsia" w:eastAsiaTheme="minorEastAsia" w:cstheme="minorEastAsia"/>
          <w:color w:val="auto"/>
          <w:sz w:val="21"/>
          <w:szCs w:val="21"/>
          <w:highlight w:val="none"/>
          <w:u w:val="single"/>
        </w:rPr>
        <w:t xml:space="preserve"> 1.70</w:t>
      </w:r>
      <w:r>
        <w:rPr>
          <w:rFonts w:hint="eastAsia" w:asciiTheme="minorEastAsia" w:hAnsiTheme="minorEastAsia" w:eastAsiaTheme="minorEastAsia" w:cstheme="minorEastAsia"/>
          <w:color w:val="auto"/>
          <w:sz w:val="21"/>
          <w:szCs w:val="21"/>
          <w:highlight w:val="none"/>
        </w:rPr>
        <w:t>米以上且身体健康，具有</w:t>
      </w:r>
      <w:r>
        <w:rPr>
          <w:rFonts w:hint="eastAsia" w:asciiTheme="minorEastAsia" w:hAnsiTheme="minorEastAsia" w:eastAsiaTheme="minorEastAsia" w:cstheme="minorEastAsia"/>
          <w:color w:val="auto"/>
          <w:sz w:val="21"/>
          <w:szCs w:val="21"/>
          <w:highlight w:val="none"/>
          <w:u w:val="single"/>
        </w:rPr>
        <w:t xml:space="preserve"> 高中 </w:t>
      </w:r>
      <w:r>
        <w:rPr>
          <w:rFonts w:hint="eastAsia" w:asciiTheme="minorEastAsia" w:hAnsiTheme="minorEastAsia" w:eastAsiaTheme="minorEastAsia" w:cstheme="minorEastAsia"/>
          <w:color w:val="auto"/>
          <w:sz w:val="21"/>
          <w:szCs w:val="21"/>
          <w:highlight w:val="none"/>
        </w:rPr>
        <w:t>以上文化程度，未受过刑事处罚、劳教、行政拘留等。乙方用工应签订劳动协议，并依法办理劳动用工手续，按照规定为其员工购买各类社会保险。派驻员工须经乙方自行组织培训并考核验收合格，取得公安机关颁发的保安证方可上岗，所有派驻人员花名册、员工信息表、健康证明、无犯罪记录等需及时向甲方备案。</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（6）依照合同约定，对甲方委托乙方服务的项目履行管理、运行、维护等职责并承担由此产生的费用。根据本合同约定向甲方收取保安服务费用，并提供相应的符合甲方要求的增值税专用发票。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（7）接受甲方的考评和监督，接受区域城管部门及其他有关政府部门的监督、指导，听取甲方的意见和建议，及时改进并不断完善和提高服务质量。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乙方员工在工作期间给自己或他人造成损失，或发生一切（含疾病、工伤、交通等）安全事故，全部责任由乙方自行承担。在执行工作期间造成他人损害的，乙方应当按照相关法律对被侵害人承担损害赔偿责任并负责善后处理，甲方不承担任何赔偿责任。甲方因上述情形承担赔偿责任的，有权向乙方追偿，乙方应赔偿甲方因此支出的全部费用（包括但不限于律师费、诉讼费、保全费、鉴定费等）。</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（9）在本合同保安工作范围内，如因乙方保安工作未达到保安质量标准，被有关业主单位、客户、政府职能部门投诉处罚的，所造成的不良影响和罚款由乙方承担。</w:t>
      </w:r>
    </w:p>
    <w:p>
      <w:pPr>
        <w:pStyle w:val="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配合甲方做好应急或重大活动的保障工作，紧急或重大情况下服从甲方的统一工作安排，并根据甲方活动方案，详细制定保安方案报甲方审核同意。如甲方活动致乙方成本大幅增加，乙方应在保安方案中提出，并</w:t>
      </w:r>
      <w:r>
        <w:rPr>
          <w:rFonts w:hint="eastAsia" w:asciiTheme="minorEastAsia" w:hAnsiTheme="minorEastAsia" w:eastAsiaTheme="minorEastAsia" w:cstheme="minorEastAsia"/>
          <w:bCs/>
          <w:color w:val="auto"/>
          <w:spacing w:val="11"/>
          <w:sz w:val="21"/>
          <w:szCs w:val="21"/>
          <w:highlight w:val="none"/>
        </w:rPr>
        <w:t>提交相应材料</w:t>
      </w:r>
      <w:r>
        <w:rPr>
          <w:rFonts w:hint="eastAsia" w:asciiTheme="minorEastAsia" w:hAnsiTheme="minorEastAsia" w:eastAsiaTheme="minorEastAsia" w:cstheme="minorEastAsia"/>
          <w:color w:val="auto"/>
          <w:sz w:val="21"/>
          <w:szCs w:val="21"/>
          <w:highlight w:val="none"/>
        </w:rPr>
        <w:t>由甲方进行审核。未在保安方案中提出并经甲方审核同意的，甲方不予增加费用。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乙方有义务对管理和服务过程中发现或知悉的违法、违规行为及时采取批评、规劝、警告、制止等措施，对不听批评、规劝、警告、制止的或存在现实危险性等情节严重情形的立即提请甲方及公安机关等有关部门处理，不得隐情不报或拖延不报。</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（12）乙方保安人员必须遵守甲方的各项规章制度，认真履行合同规定的工作职责，在公安机关的指导下，协助甲方搞好治保安卫工作。</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（13）乙方不得擅自挪用、改变甲方公共设施和设备用途，如需完善配套项目，须经甲方同意方可实施。如乙方人员在使用各类设备设施过程中存在操作不当造成设施设备损坏的，乙方负责照价赔偿或修复。</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（14）乙方不得将本合同的权利和义务转包给第三人，否则视为根本违约，甲方可立即解除合同，并要求乙方承担因此造成的损失。</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（15）乙方应在合同终止时，向甲方移交各类保安服务档案、技术资料，完成公共区域、公共部位的设施设备、资产以及财务的交接等工作，保证其完好和正常使用。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（16）法律、法规及政策规定的由乙方承担的其它义务。</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（17）乙方直接负责保安人员的勤务指挥、人员调整。</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乙方有权拒绝合同约定范围之外的服务，有权拒绝甲方指定负责人以外人员的直接指挥。若甲方要求乙方提供合同约定范围之外的服务或接受指定负责人以外人员的指挥，造成对甲乙双方或第三方的相关损失，由甲方承担。</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（19）若甲方延迟支付保安服务费或双方协商好的其他费用，每延迟一日应按应付费用的</w:t>
      </w:r>
      <w:r>
        <w:rPr>
          <w:rFonts w:hint="eastAsia" w:asciiTheme="minorEastAsia" w:hAnsiTheme="minorEastAsia" w:eastAsiaTheme="minorEastAsia" w:cstheme="minorEastAsia"/>
          <w:color w:val="auto"/>
          <w:sz w:val="21"/>
          <w:szCs w:val="21"/>
          <w:highlight w:val="none"/>
          <w:u w:val="single"/>
        </w:rPr>
        <w:t xml:space="preserve"> 1 %</w:t>
      </w:r>
      <w:r>
        <w:rPr>
          <w:rFonts w:hint="eastAsia" w:asciiTheme="minorEastAsia" w:hAnsiTheme="minorEastAsia" w:eastAsiaTheme="minorEastAsia" w:cstheme="minorEastAsia"/>
          <w:color w:val="auto"/>
          <w:sz w:val="21"/>
          <w:szCs w:val="21"/>
          <w:highlight w:val="none"/>
        </w:rPr>
        <w:t>支付违约金，甲方延迟支付一个月及以上，甲方有权单方解除合同，并要求甲方支付违约金。</w:t>
      </w:r>
    </w:p>
    <w:p>
      <w:pPr>
        <w:spacing w:line="360" w:lineRule="auto"/>
        <w:ind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第七条  特别约定</w:t>
      </w:r>
    </w:p>
    <w:p>
      <w:pPr>
        <w:spacing w:line="360" w:lineRule="auto"/>
        <w:ind w:firstLine="5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拥有管理区域内包括场地出租、广告植入及经营性资产等的所有经营权；双方履行合同过程中产生的一切知识产权归甲方所有，包括但不限于乙方提供服务过程中经甲方审核制定的相关规范性文件、标识标志产生的商标权益（如有）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2.未经甲方书面同意乙方不得利用甲方项目对乙方单位进行品牌宣传、推广等；未经甲方书面同意不得邀请无关人员、单位进入项目区域参观、交流等。</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3.乙方在本合同保安工作范围提供服务时所需的标识标牌，包括但不限于其员工服装，所需工具、设施设备等，经甲方书面同意后方可制作并组织实施，</w:t>
      </w:r>
      <w:r>
        <w:rPr>
          <w:rFonts w:hint="eastAsia" w:asciiTheme="minorEastAsia" w:hAnsiTheme="minorEastAsia" w:eastAsiaTheme="minorEastAsia" w:cstheme="minorEastAsia"/>
          <w:bCs/>
          <w:color w:val="auto"/>
          <w:spacing w:val="11"/>
          <w:sz w:val="21"/>
          <w:szCs w:val="21"/>
          <w:highlight w:val="none"/>
        </w:rPr>
        <w:t>费用由乙方承担。</w:t>
      </w:r>
    </w:p>
    <w:p>
      <w:pPr>
        <w:spacing w:line="360" w:lineRule="auto"/>
        <w:ind w:firstLine="48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第八条  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1.乙方不履行本合同义务或履行义务不符合约定的，甲方有权要求乙方承担继续履行、赔偿损失或支付违约金等违约责任；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违反本合同约定，未能达到约定的管理目标，甲方有权要求乙方限期整改，在甲方通知后三日或甲方明确整改期限后逾期未整改的，甲方有权根据影响程度按照考核标准或其他甲方制定的管理办法扣除乙方的管理服务费用，甚至终止合同；造成甲方经济损失的，乙方应给予甲方经济赔偿。</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3.除本合同另有约定外，甲乙任何一方无正当理由提前终止合同的，应向对方支付合同总额的</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%作为违约金。</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4.乙方迟延履行合同义务，每逾期</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天，乙方应按照当年度保安服务费的</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%向甲方支付违约金；逾期超过</w:t>
      </w:r>
      <w:r>
        <w:rPr>
          <w:rFonts w:hint="eastAsia" w:asciiTheme="minorEastAsia" w:hAnsiTheme="minorEastAsia" w:eastAsiaTheme="minorEastAsia" w:cstheme="minorEastAsia"/>
          <w:color w:val="auto"/>
          <w:sz w:val="21"/>
          <w:szCs w:val="21"/>
          <w:highlight w:val="none"/>
          <w:u w:val="single"/>
        </w:rPr>
        <w:t xml:space="preserve">  15  </w:t>
      </w:r>
      <w:r>
        <w:rPr>
          <w:rFonts w:hint="eastAsia" w:asciiTheme="minorEastAsia" w:hAnsiTheme="minorEastAsia" w:eastAsiaTheme="minorEastAsia" w:cstheme="minorEastAsia"/>
          <w:color w:val="auto"/>
          <w:sz w:val="21"/>
          <w:szCs w:val="21"/>
          <w:highlight w:val="none"/>
        </w:rPr>
        <w:t>日的，甲方有权解除合同，乙方应当按照当年度保安服务费的</w:t>
      </w:r>
      <w:r>
        <w:rPr>
          <w:rFonts w:hint="eastAsia" w:asciiTheme="minorEastAsia" w:hAnsiTheme="minorEastAsia" w:eastAsiaTheme="minorEastAsia" w:cstheme="minorEastAsia"/>
          <w:color w:val="auto"/>
          <w:sz w:val="21"/>
          <w:szCs w:val="21"/>
          <w:highlight w:val="none"/>
          <w:u w:val="single"/>
        </w:rPr>
        <w:t xml:space="preserve">  10  </w:t>
      </w:r>
      <w:r>
        <w:rPr>
          <w:rFonts w:hint="eastAsia" w:asciiTheme="minorEastAsia" w:hAnsiTheme="minorEastAsia" w:eastAsiaTheme="minorEastAsia" w:cstheme="minorEastAsia"/>
          <w:color w:val="auto"/>
          <w:sz w:val="21"/>
          <w:szCs w:val="21"/>
          <w:highlight w:val="none"/>
        </w:rPr>
        <w:t>%向甲方支付违约金。</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5.乙方未经甲方同意，擅自将合同项下全部或部分保安服务工作转包或分包的，乙方应当按照当年度保安服务费的</w:t>
      </w:r>
      <w:r>
        <w:rPr>
          <w:rFonts w:hint="eastAsia" w:asciiTheme="minorEastAsia" w:hAnsiTheme="minorEastAsia" w:eastAsiaTheme="minorEastAsia" w:cstheme="minorEastAsia"/>
          <w:color w:val="auto"/>
          <w:sz w:val="21"/>
          <w:szCs w:val="21"/>
          <w:highlight w:val="none"/>
          <w:u w:val="single"/>
        </w:rPr>
        <w:t xml:space="preserve">  10  </w:t>
      </w:r>
      <w:r>
        <w:rPr>
          <w:rFonts w:hint="eastAsia" w:asciiTheme="minorEastAsia" w:hAnsiTheme="minorEastAsia" w:eastAsiaTheme="minorEastAsia" w:cstheme="minorEastAsia"/>
          <w:color w:val="auto"/>
          <w:sz w:val="21"/>
          <w:szCs w:val="21"/>
          <w:highlight w:val="none"/>
        </w:rPr>
        <w:t>%向甲方支付违约金，且甲方有权解除合同。</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6.因乙方履行义务不符合合同约定的，或因乙方提供保安服务瑕疵，或管理不善，造成甲方人员或第三方人身、财产损害的，乙方应承担全部法律责任，并按照当年度保安服务费的</w:t>
      </w:r>
      <w:r>
        <w:rPr>
          <w:rFonts w:hint="eastAsia" w:asciiTheme="minorEastAsia" w:hAnsiTheme="minorEastAsia" w:eastAsiaTheme="minorEastAsia" w:cstheme="minorEastAsia"/>
          <w:color w:val="auto"/>
          <w:sz w:val="21"/>
          <w:szCs w:val="21"/>
          <w:highlight w:val="none"/>
          <w:u w:val="single"/>
        </w:rPr>
        <w:t xml:space="preserve">  10  </w:t>
      </w:r>
      <w:r>
        <w:rPr>
          <w:rFonts w:hint="eastAsia" w:asciiTheme="minorEastAsia" w:hAnsiTheme="minorEastAsia" w:eastAsiaTheme="minorEastAsia" w:cstheme="minorEastAsia"/>
          <w:color w:val="auto"/>
          <w:sz w:val="21"/>
          <w:szCs w:val="21"/>
          <w:highlight w:val="none"/>
        </w:rPr>
        <w:t>%向甲方支付违约金。若甲方需先行向甲方人员或第三方承担赔偿责任的，甲方承担责任后有权向乙方追偿。</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7.乙方按合同约定应支付的违约金低于给甲方造成的损失的，应就差额部分向甲方进行赔偿，且乙方承担的赔偿金额不以乙方应得的保安服务费酬金为限。</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任何一方的违约行为给他方造成损失的，均应承担相应的赔偿责任以及另一方主张权利所产生的费用（包括律师费、诉讼费、保全费、公正费等）。除本合同另有约定外，甲乙双方可以结合具体情况对违约责任进行补充，并签订补充协议。</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9、其他违约责任见附件三《廉洁协议》。</w:t>
      </w:r>
    </w:p>
    <w:p>
      <w:pPr>
        <w:spacing w:line="360" w:lineRule="auto"/>
        <w:ind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第九条  合同变更、解除与终止</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bCs/>
          <w:color w:val="auto"/>
          <w:spacing w:val="11"/>
          <w:sz w:val="21"/>
          <w:szCs w:val="21"/>
          <w:highlight w:val="none"/>
        </w:rPr>
        <w:t>合同的变更须双方协商，并采用书面形式。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2.合同期限届满，双方于本合同项下约定的义务履行完毕后，双方不再续订合同的，本合同自然终止。</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3.本合同执行期间，</w:t>
      </w:r>
      <w:r>
        <w:rPr>
          <w:rFonts w:hint="eastAsia" w:asciiTheme="minorEastAsia" w:hAnsiTheme="minorEastAsia" w:eastAsiaTheme="minorEastAsia" w:cstheme="minorEastAsia"/>
          <w:bCs/>
          <w:color w:val="auto"/>
          <w:spacing w:val="11"/>
          <w:sz w:val="21"/>
          <w:szCs w:val="21"/>
          <w:highlight w:val="none"/>
        </w:rPr>
        <w:t>如因不可抗力事件的发生导致合同无法履行时，遇不可抗力的一方应立即将事故情况书面告知另一方，并应在</w:t>
      </w:r>
      <w:r>
        <w:rPr>
          <w:rFonts w:hint="eastAsia" w:asciiTheme="minorEastAsia" w:hAnsiTheme="minorEastAsia" w:eastAsiaTheme="minorEastAsia" w:cstheme="minorEastAsia"/>
          <w:bCs/>
          <w:color w:val="auto"/>
          <w:spacing w:val="11"/>
          <w:sz w:val="21"/>
          <w:szCs w:val="21"/>
          <w:highlight w:val="none"/>
          <w:u w:val="single"/>
        </w:rPr>
        <w:t xml:space="preserve"> 5  </w:t>
      </w:r>
      <w:r>
        <w:rPr>
          <w:rFonts w:hint="eastAsia" w:asciiTheme="minorEastAsia" w:hAnsiTheme="minorEastAsia" w:eastAsiaTheme="minorEastAsia" w:cstheme="minorEastAsia"/>
          <w:bCs/>
          <w:color w:val="auto"/>
          <w:spacing w:val="11"/>
          <w:sz w:val="21"/>
          <w:szCs w:val="21"/>
          <w:highlight w:val="none"/>
        </w:rPr>
        <w:t>天内，提供事故详情及合同不能履行或者需要延期履行的书面资料，双方认可后协商终止合同或暂时延迟合同的履行。</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rPr>
        <w:t>乙方委派的项目管理人员或项目保安服务人员不符合甲方要求且不予更换的，或乙方连续</w:t>
      </w:r>
      <w:r>
        <w:rPr>
          <w:rFonts w:hint="eastAsia" w:asciiTheme="minorEastAsia" w:hAnsiTheme="minorEastAsia" w:eastAsiaTheme="minorEastAsia" w:cstheme="minorEastAsia"/>
          <w:color w:val="auto"/>
          <w:sz w:val="21"/>
          <w:szCs w:val="21"/>
          <w:highlight w:val="none"/>
          <w:u w:val="single"/>
        </w:rPr>
        <w:t xml:space="preserve">  3  </w:t>
      </w:r>
      <w:r>
        <w:rPr>
          <w:rFonts w:hint="eastAsia" w:asciiTheme="minorEastAsia" w:hAnsiTheme="minorEastAsia" w:eastAsiaTheme="minorEastAsia" w:cstheme="minorEastAsia"/>
          <w:color w:val="auto"/>
          <w:sz w:val="21"/>
          <w:szCs w:val="21"/>
          <w:highlight w:val="none"/>
        </w:rPr>
        <w:t>次委派的项目管理人员或项目保安服务人员均不符合甲方要求的，甲方有权解除本合同,乙方需按照第八条第6款、第7款、第8款的约定承担违约责任。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5.除本合同另有约定外，乙方发生违约行为后，在收到甲方书面通知</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日内仍不能采取有效补救措施及行动，甲方有权解除本合同,乙方需按照第八条第6款、第7款、第8款的约定承担违约责任。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6.根据服务质量考核结果，乙方每年累计 3个月不合格或每年月度考核人员满编率累计2次低于80%或每年累计2个月的离职率超过20%，甲方有权无条件解除本合同,乙方需按照第八条第6款、第7款、第8款的约定承担违约责任。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7.本合同终止时，乙方须在终止前</w:t>
      </w:r>
      <w:r>
        <w:rPr>
          <w:rFonts w:hint="eastAsia" w:asciiTheme="minorEastAsia" w:hAnsiTheme="minorEastAsia" w:eastAsiaTheme="minorEastAsia" w:cstheme="minorEastAsia"/>
          <w:color w:val="auto"/>
          <w:sz w:val="21"/>
          <w:szCs w:val="21"/>
          <w:highlight w:val="none"/>
          <w:u w:val="single"/>
        </w:rPr>
        <w:t xml:space="preserve">  3  </w:t>
      </w:r>
      <w:r>
        <w:rPr>
          <w:rFonts w:hint="eastAsia" w:asciiTheme="minorEastAsia" w:hAnsiTheme="minorEastAsia" w:eastAsiaTheme="minorEastAsia" w:cstheme="minorEastAsia"/>
          <w:color w:val="auto"/>
          <w:sz w:val="21"/>
          <w:szCs w:val="21"/>
          <w:highlight w:val="none"/>
        </w:rPr>
        <w:t>天内向甲方移交项目全部管理区域（如管理用房、员工宿舍等）及管理的全部档案资料。否则，</w:t>
      </w:r>
      <w:r>
        <w:rPr>
          <w:rFonts w:hint="eastAsia" w:asciiTheme="minorEastAsia" w:hAnsiTheme="minorEastAsia" w:eastAsiaTheme="minorEastAsia" w:cstheme="minorEastAsia"/>
          <w:color w:val="auto"/>
          <w:sz w:val="21"/>
          <w:szCs w:val="21"/>
          <w:highlight w:val="none"/>
        </w:rPr>
        <w:t>需按照第八条第6款、第7款、第8款的约定承担违约责任</w:t>
      </w:r>
      <w:r>
        <w:rPr>
          <w:rFonts w:hint="eastAsia" w:asciiTheme="minorEastAsia" w:hAnsiTheme="minorEastAsia" w:eastAsiaTheme="minorEastAsia" w:cstheme="minorEastAsia"/>
          <w:color w:val="auto"/>
          <w:sz w:val="21"/>
          <w:szCs w:val="21"/>
          <w:highlight w:val="none"/>
        </w:rPr>
        <w:t>。</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8、其他合同解除情形见附件一，</w:t>
      </w:r>
      <w:r>
        <w:rPr>
          <w:rFonts w:hint="eastAsia" w:asciiTheme="minorEastAsia" w:hAnsiTheme="minorEastAsia" w:eastAsiaTheme="minorEastAsia" w:cstheme="minorEastAsia"/>
          <w:color w:val="auto"/>
          <w:sz w:val="21"/>
          <w:szCs w:val="21"/>
          <w:highlight w:val="none"/>
        </w:rPr>
        <w:t>按照第八条第6款、第7款、第8款的约定承担违约责任</w:t>
      </w:r>
      <w:r>
        <w:rPr>
          <w:rFonts w:hint="eastAsia" w:asciiTheme="minorEastAsia" w:hAnsiTheme="minorEastAsia" w:eastAsiaTheme="minorEastAsia" w:cstheme="minorEastAsia"/>
          <w:color w:val="auto"/>
          <w:sz w:val="21"/>
          <w:szCs w:val="21"/>
          <w:highlight w:val="none"/>
        </w:rPr>
        <w:t>。</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第十条  保密义务</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从甲方取得且无法自公开渠道获得的商业秘密和信息(技术信息、经营信息及其他商业秘密)应予以保密。未经该商业秘密和信息的原提供方同意，一方不得向任何第三方泄露该商业秘密的全部或部分内容。但法律、法规另有规定或双方另有约定的除外。保密期限为长期，不受本合同中止、解除及终止的影响。</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一方违反上述保密义务的，应承担支付合同预估总额的    %违约金的违约责任并赔偿由此造成的损失。</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第十一条  争议解决</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首先通过双方协商解决，协商解决不成，任何一方可向甲方所在地人民法院提起诉讼。</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第十二条  其他事项</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pacing w:val="11"/>
          <w:sz w:val="21"/>
          <w:szCs w:val="21"/>
          <w:highlight w:val="none"/>
        </w:rPr>
        <w:t>双方承诺在合同履行过程中保持廉洁自律的工作作风，防止各种不正当行为的发生，共同遵守《廉洁协议》（详见附件三）。</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2.本合同经双方法定代表人（负责人）或其授权人签署并加盖双方公章或合同专用章之日起生效。</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3.本</w:t>
      </w:r>
      <w:r>
        <w:rPr>
          <w:rFonts w:hint="eastAsia" w:asciiTheme="minorEastAsia" w:hAnsiTheme="minorEastAsia" w:eastAsiaTheme="minorEastAsia" w:cstheme="minorEastAsia"/>
          <w:bCs/>
          <w:color w:val="auto"/>
          <w:spacing w:val="11"/>
          <w:sz w:val="21"/>
          <w:szCs w:val="21"/>
          <w:highlight w:val="none"/>
        </w:rPr>
        <w:t>合同首部甲乙双方的通讯地址为双方联系的唯一固定通讯地址，若在履行本合同中双方有任何争议，甚至涉及诉讼时，该地址为双方法定地址。若其中一方通讯地址发生变化，应立即书面通知另一方，否则，造成双方联系障碍，由有过错的一方负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4.因保安服务工作需要乙方增补保安服务合同以外的人员的，双方以签订补充协议形式明确增补人员数量，费用标准按本合同约定执行。</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5.本合同未尽事宜，甲乙双方可签订书面补充协议，书面补充协议与本合同具有同等效力。</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bCs/>
          <w:color w:val="auto"/>
          <w:spacing w:val="11"/>
          <w:sz w:val="21"/>
          <w:szCs w:val="21"/>
          <w:highlight w:val="none"/>
        </w:rPr>
        <w:t>本合同附件作为主合同不可分割的部分，与本合同具有同等法律效力。</w:t>
      </w:r>
    </w:p>
    <w:p>
      <w:pPr>
        <w:spacing w:line="360" w:lineRule="auto"/>
        <w:ind w:firstLine="56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7.本合同一式</w:t>
      </w:r>
      <w:r>
        <w:rPr>
          <w:rFonts w:hint="eastAsia" w:asciiTheme="minorEastAsia" w:hAnsiTheme="minorEastAsia" w:eastAsiaTheme="minorEastAsia" w:cstheme="minorEastAsia"/>
          <w:color w:val="auto"/>
          <w:sz w:val="21"/>
          <w:szCs w:val="21"/>
          <w:highlight w:val="none"/>
          <w:u w:val="single"/>
        </w:rPr>
        <w:t xml:space="preserve"> 肆  </w:t>
      </w:r>
      <w:r>
        <w:rPr>
          <w:rFonts w:hint="eastAsia" w:asciiTheme="minorEastAsia" w:hAnsiTheme="minorEastAsia" w:eastAsiaTheme="minorEastAsia" w:cstheme="minorEastAsia"/>
          <w:color w:val="auto"/>
          <w:sz w:val="21"/>
          <w:szCs w:val="21"/>
          <w:highlight w:val="none"/>
        </w:rPr>
        <w:t>份，甲方</w:t>
      </w:r>
      <w:r>
        <w:rPr>
          <w:rFonts w:hint="eastAsia" w:asciiTheme="minorEastAsia" w:hAnsiTheme="minorEastAsia" w:eastAsiaTheme="minorEastAsia" w:cstheme="minorEastAsia"/>
          <w:color w:val="auto"/>
          <w:sz w:val="21"/>
          <w:szCs w:val="21"/>
          <w:highlight w:val="none"/>
          <w:u w:val="single"/>
        </w:rPr>
        <w:t xml:space="preserve">  叁  </w:t>
      </w:r>
      <w:r>
        <w:rPr>
          <w:rFonts w:hint="eastAsia" w:asciiTheme="minorEastAsia" w:hAnsiTheme="minorEastAsia" w:eastAsiaTheme="minorEastAsia" w:cstheme="minorEastAsia"/>
          <w:color w:val="auto"/>
          <w:sz w:val="21"/>
          <w:szCs w:val="21"/>
          <w:highlight w:val="none"/>
        </w:rPr>
        <w:t>份、乙方</w:t>
      </w:r>
      <w:r>
        <w:rPr>
          <w:rFonts w:hint="eastAsia" w:asciiTheme="minorEastAsia" w:hAnsiTheme="minorEastAsia" w:eastAsiaTheme="minorEastAsia" w:cstheme="minorEastAsia"/>
          <w:color w:val="auto"/>
          <w:sz w:val="21"/>
          <w:szCs w:val="21"/>
          <w:highlight w:val="none"/>
          <w:u w:val="single"/>
        </w:rPr>
        <w:t xml:space="preserve">  壹  </w:t>
      </w:r>
      <w:r>
        <w:rPr>
          <w:rFonts w:hint="eastAsia" w:asciiTheme="minorEastAsia" w:hAnsiTheme="minorEastAsia" w:eastAsiaTheme="minorEastAsia" w:cstheme="minorEastAsia"/>
          <w:color w:val="auto"/>
          <w:sz w:val="21"/>
          <w:szCs w:val="21"/>
          <w:highlight w:val="none"/>
        </w:rPr>
        <w:t>份，具有同等法律效力。</w:t>
      </w:r>
    </w:p>
    <w:p>
      <w:pPr>
        <w:spacing w:line="360" w:lineRule="auto"/>
        <w:ind w:firstLine="480"/>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甲方：（签章）                       乙方：（签章）</w:t>
      </w: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法定代表人（委托代理人）：          法定代表人（委托代理人）：</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sectPr>
          <w:footerReference r:id="rId13" w:type="default"/>
          <w:headerReference r:id="rId12" w:type="even"/>
          <w:footerReference r:id="rId14" w:type="even"/>
          <w:pgSz w:w="11906" w:h="16838"/>
          <w:pgMar w:top="1440" w:right="1474" w:bottom="1440" w:left="1474" w:header="851" w:footer="964" w:gutter="0"/>
          <w:pgNumType w:fmt="decimal"/>
          <w:cols w:space="720" w:num="1"/>
          <w:docGrid w:type="lines" w:linePitch="312" w:charSpace="0"/>
        </w:sectPr>
      </w:pPr>
      <w:r>
        <w:rPr>
          <w:rFonts w:hint="eastAsia" w:asciiTheme="minorEastAsia" w:hAnsiTheme="minorEastAsia" w:eastAsiaTheme="minorEastAsia" w:cstheme="minorEastAsia"/>
          <w:color w:val="auto"/>
          <w:sz w:val="21"/>
          <w:szCs w:val="21"/>
          <w:highlight w:val="none"/>
        </w:rPr>
        <w:t xml:space="preserve">年   月   日                       年   月   日    </w:t>
      </w:r>
    </w:p>
    <w:p>
      <w:pPr>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附件一：</w:t>
      </w:r>
      <w:r>
        <w:rPr>
          <w:rFonts w:hint="eastAsia" w:asciiTheme="minorEastAsia" w:hAnsiTheme="minorEastAsia" w:eastAsiaTheme="minorEastAsia" w:cstheme="minorEastAsia"/>
          <w:b/>
          <w:bCs/>
          <w:color w:val="auto"/>
          <w:sz w:val="24"/>
          <w:szCs w:val="24"/>
          <w:highlight w:val="none"/>
        </w:rPr>
        <w:t>外包服务合同服务质量及人员考核标准（保安类）</w:t>
      </w:r>
    </w:p>
    <w:tbl>
      <w:tblPr>
        <w:tblStyle w:val="41"/>
        <w:tblpPr w:leftFromText="180" w:rightFromText="180" w:vertAnchor="page" w:horzAnchor="margin" w:tblpY="2378"/>
        <w:tblW w:w="15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614"/>
        <w:gridCol w:w="1178"/>
        <w:gridCol w:w="1183"/>
        <w:gridCol w:w="1130"/>
        <w:gridCol w:w="1083"/>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931" w:type="dxa"/>
            <w:vMerge w:val="restart"/>
            <w:vAlign w:val="center"/>
          </w:tcPr>
          <w:p>
            <w:pPr>
              <w:spacing w:line="240" w:lineRule="auto"/>
              <w:jc w:val="center"/>
              <w:rPr>
                <w:rFonts w:ascii="宋体" w:hAnsi="宋体" w:cs="宋体"/>
                <w:color w:val="auto"/>
                <w:sz w:val="21"/>
                <w:szCs w:val="21"/>
                <w:highlight w:val="none"/>
              </w:rPr>
            </w:pP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6188" w:type="dxa"/>
            <w:gridSpan w:val="5"/>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服务质量考核标准</w:t>
            </w:r>
          </w:p>
        </w:tc>
        <w:tc>
          <w:tcPr>
            <w:tcW w:w="8200"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931" w:type="dxa"/>
            <w:vMerge w:val="continue"/>
            <w:vAlign w:val="center"/>
          </w:tcPr>
          <w:p>
            <w:pPr>
              <w:spacing w:line="240" w:lineRule="auto"/>
              <w:jc w:val="center"/>
              <w:rPr>
                <w:rFonts w:ascii="宋体" w:hAnsi="宋体" w:cs="宋体"/>
                <w:color w:val="auto"/>
                <w:sz w:val="21"/>
                <w:szCs w:val="21"/>
                <w:highlight w:val="none"/>
              </w:rPr>
            </w:pPr>
          </w:p>
        </w:tc>
        <w:tc>
          <w:tcPr>
            <w:tcW w:w="1614"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rPr>
              <w:t>a级）</w:t>
            </w:r>
          </w:p>
        </w:tc>
        <w:tc>
          <w:tcPr>
            <w:tcW w:w="4574" w:type="dxa"/>
            <w:gridSpan w:val="4"/>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8200"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人员到岗及时性\人员稳定性\缺编考核标准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1" w:type="dxa"/>
            <w:vMerge w:val="continue"/>
            <w:vAlign w:val="center"/>
          </w:tcPr>
          <w:p>
            <w:pPr>
              <w:spacing w:line="240" w:lineRule="auto"/>
              <w:jc w:val="center"/>
              <w:rPr>
                <w:rFonts w:ascii="宋体" w:hAnsi="宋体" w:cs="宋体"/>
                <w:color w:val="auto"/>
                <w:sz w:val="21"/>
                <w:szCs w:val="21"/>
                <w:highlight w:val="none"/>
              </w:rPr>
            </w:pPr>
          </w:p>
        </w:tc>
        <w:tc>
          <w:tcPr>
            <w:tcW w:w="1614" w:type="dxa"/>
            <w:vMerge w:val="continue"/>
            <w:vAlign w:val="center"/>
          </w:tcPr>
          <w:p>
            <w:pPr>
              <w:spacing w:line="240" w:lineRule="auto"/>
              <w:jc w:val="center"/>
              <w:rPr>
                <w:rFonts w:ascii="宋体" w:hAnsi="宋体" w:cs="宋体"/>
                <w:color w:val="auto"/>
                <w:sz w:val="21"/>
                <w:szCs w:val="21"/>
                <w:highlight w:val="none"/>
              </w:rPr>
            </w:pPr>
          </w:p>
        </w:tc>
        <w:tc>
          <w:tcPr>
            <w:tcW w:w="1178"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183"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80分以上85分（含）以下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1130"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80分以下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083"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年累计不合格两次</w:t>
            </w:r>
          </w:p>
        </w:tc>
        <w:tc>
          <w:tcPr>
            <w:tcW w:w="8200" w:type="dxa"/>
            <w:vMerge w:val="continue"/>
            <w:vAlign w:val="center"/>
          </w:tcPr>
          <w:p>
            <w:pPr>
              <w:spacing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1" w:type="dxa"/>
            <w:vMerge w:val="continue"/>
            <w:vAlign w:val="center"/>
          </w:tcPr>
          <w:p>
            <w:pPr>
              <w:spacing w:line="240" w:lineRule="auto"/>
              <w:jc w:val="center"/>
              <w:rPr>
                <w:rFonts w:ascii="宋体" w:hAnsi="宋体" w:cs="宋体"/>
                <w:color w:val="auto"/>
                <w:sz w:val="21"/>
                <w:szCs w:val="21"/>
                <w:highlight w:val="none"/>
              </w:rPr>
            </w:pPr>
          </w:p>
        </w:tc>
        <w:tc>
          <w:tcPr>
            <w:tcW w:w="1614" w:type="dxa"/>
            <w:vMerge w:val="continue"/>
            <w:vAlign w:val="center"/>
          </w:tcPr>
          <w:p>
            <w:pPr>
              <w:spacing w:line="240" w:lineRule="auto"/>
              <w:jc w:val="center"/>
              <w:rPr>
                <w:rFonts w:ascii="宋体" w:hAnsi="宋体" w:cs="宋体"/>
                <w:color w:val="auto"/>
                <w:sz w:val="21"/>
                <w:szCs w:val="21"/>
                <w:highlight w:val="none"/>
              </w:rPr>
            </w:pPr>
          </w:p>
        </w:tc>
        <w:tc>
          <w:tcPr>
            <w:tcW w:w="1178" w:type="dxa"/>
            <w:vMerge w:val="continue"/>
            <w:vAlign w:val="center"/>
          </w:tcPr>
          <w:p>
            <w:pPr>
              <w:spacing w:line="240" w:lineRule="auto"/>
              <w:jc w:val="center"/>
              <w:rPr>
                <w:rFonts w:ascii="宋体" w:hAnsi="宋体" w:cs="宋体"/>
                <w:color w:val="auto"/>
                <w:sz w:val="21"/>
                <w:szCs w:val="21"/>
                <w:highlight w:val="none"/>
              </w:rPr>
            </w:pPr>
          </w:p>
        </w:tc>
        <w:tc>
          <w:tcPr>
            <w:tcW w:w="1183" w:type="dxa"/>
            <w:vMerge w:val="continue"/>
            <w:vAlign w:val="center"/>
          </w:tcPr>
          <w:p>
            <w:pPr>
              <w:spacing w:line="240" w:lineRule="auto"/>
              <w:jc w:val="center"/>
              <w:rPr>
                <w:rFonts w:ascii="宋体" w:hAnsi="宋体" w:cs="宋体"/>
                <w:color w:val="auto"/>
                <w:sz w:val="21"/>
                <w:szCs w:val="21"/>
                <w:highlight w:val="none"/>
              </w:rPr>
            </w:pPr>
          </w:p>
        </w:tc>
        <w:tc>
          <w:tcPr>
            <w:tcW w:w="1130" w:type="dxa"/>
            <w:vMerge w:val="continue"/>
            <w:vAlign w:val="center"/>
          </w:tcPr>
          <w:p>
            <w:pPr>
              <w:spacing w:line="240" w:lineRule="auto"/>
              <w:jc w:val="center"/>
              <w:rPr>
                <w:rFonts w:ascii="宋体" w:hAnsi="宋体" w:cs="宋体"/>
                <w:color w:val="auto"/>
                <w:sz w:val="21"/>
                <w:szCs w:val="21"/>
                <w:highlight w:val="none"/>
              </w:rPr>
            </w:pPr>
          </w:p>
        </w:tc>
        <w:tc>
          <w:tcPr>
            <w:tcW w:w="1083" w:type="dxa"/>
            <w:vMerge w:val="continue"/>
            <w:vAlign w:val="center"/>
          </w:tcPr>
          <w:p>
            <w:pPr>
              <w:spacing w:line="240" w:lineRule="auto"/>
              <w:jc w:val="center"/>
              <w:rPr>
                <w:rFonts w:ascii="宋体" w:hAnsi="宋体" w:cs="宋体"/>
                <w:color w:val="auto"/>
                <w:sz w:val="21"/>
                <w:szCs w:val="21"/>
                <w:highlight w:val="none"/>
              </w:rPr>
            </w:pPr>
          </w:p>
        </w:tc>
        <w:tc>
          <w:tcPr>
            <w:tcW w:w="8200" w:type="dxa"/>
            <w:vMerge w:val="restart"/>
            <w:vAlign w:val="center"/>
          </w:tcPr>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3.若当月服务质量考核标准达到合格（a级）分数线，且人员满编率达到于100%，按实结算。</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4.若当月服务质量考核标准达到合格（a级）分数线，人员满编率在90%以上（含）-100%以下，月度实付款总额=月度应付款总额-人员满编率扣除费用*100%。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w:t>
            </w:r>
            <m:oMath>
              <m:r>
                <m:rPr>
                  <m:sty m:val="p"/>
                </m:rPr>
                <w:rPr>
                  <w:rFonts w:hint="eastAsia" w:ascii="Cambria Math" w:hAnsi="Cambria Math" w:eastAsia="仿宋_GB2312"/>
                  <w:color w:val="auto"/>
                  <w:sz w:val="18"/>
                  <w:szCs w:val="18"/>
                  <w:highlight w:val="none"/>
                </w:rPr>
                <m:t>人员满编率</m:t>
              </m:r>
              <m:r>
                <m:rPr>
                  <m:sty m:val="p"/>
                </m:rPr>
                <w:rPr>
                  <w:rFonts w:ascii="Cambria Math" w:hAnsi="Cambria Math" w:eastAsia="仿宋_GB2312"/>
                  <w:color w:val="auto"/>
                  <w:sz w:val="18"/>
                  <w:szCs w:val="18"/>
                  <w:highlight w:val="none"/>
                </w:rPr>
                <m:t>扣除费用=缺编人数</m:t>
              </m:r>
              <m:r>
                <m:rPr>
                  <m:sty m:val="p"/>
                </m:rPr>
                <w:rPr>
                  <w:rFonts w:hint="eastAsia" w:ascii="仿宋_GB2312" w:hAnsi="仿宋" w:eastAsia="仿宋_GB2312"/>
                  <w:color w:val="auto"/>
                  <w:sz w:val="18"/>
                  <w:szCs w:val="18"/>
                  <w:highlight w:val="none"/>
                </w:rPr>
                <m:t>∗</m:t>
              </m:r>
              <m:r>
                <m:rPr>
                  <m:sty m:val="p"/>
                </m:rPr>
                <w:rPr>
                  <w:rFonts w:ascii="Cambria Math" w:hAnsi="仿宋" w:eastAsia="仿宋_GB2312"/>
                  <w:color w:val="auto"/>
                  <w:sz w:val="18"/>
                  <w:szCs w:val="18"/>
                  <w:highlight w:val="none"/>
                </w:rPr>
                <m:t>缺编</m:t>
              </m:r>
              <m:r>
                <m:rPr>
                  <m:sty m:val="p"/>
                </m:rPr>
                <w:rPr>
                  <w:rFonts w:hint="eastAsia" w:ascii="Cambria Math" w:hAnsi="Cambria Math" w:eastAsia="仿宋_GB2312"/>
                  <w:color w:val="auto"/>
                  <w:sz w:val="18"/>
                  <w:szCs w:val="18"/>
                  <w:highlight w:val="none"/>
                </w:rPr>
                <m:t>天</m:t>
              </m:r>
              <m:r>
                <m:rPr>
                  <m:sty m:val="p"/>
                </m:rPr>
                <w:rPr>
                  <w:rFonts w:ascii="Cambria Math" w:hAnsi="Cambria Math" w:eastAsia="仿宋_GB2312"/>
                  <w:color w:val="auto"/>
                  <w:sz w:val="18"/>
                  <w:szCs w:val="18"/>
                  <w:highlight w:val="none"/>
                </w:rPr>
                <m:t>数</m:t>
              </m:r>
              <m:r>
                <m:rPr>
                  <m:sty m:val="p"/>
                </m:rPr>
                <w:rPr>
                  <w:rFonts w:hint="eastAsia" w:ascii="仿宋_GB2312" w:hAnsi="仿宋" w:eastAsia="仿宋_GB2312"/>
                  <w:color w:val="auto"/>
                  <w:sz w:val="18"/>
                  <w:szCs w:val="18"/>
                  <w:highlight w:val="none"/>
                </w:rPr>
                <m:t>∗</m:t>
              </m:r>
              <m:f>
                <m:fPr>
                  <m:ctrlPr>
                    <w:rPr>
                      <w:rFonts w:ascii="Cambria Math" w:hAnsi="Cambria Math" w:eastAsia="仿宋_GB2312"/>
                      <w:color w:val="auto"/>
                      <w:sz w:val="18"/>
                      <w:szCs w:val="18"/>
                      <w:highlight w:val="none"/>
                    </w:rPr>
                  </m:ctrlPr>
                </m:fPr>
                <m:num>
                  <m:r>
                    <m:rPr>
                      <m:sty m:val="p"/>
                    </m:rPr>
                    <w:rPr>
                      <w:rFonts w:ascii="Cambria Math" w:hAnsi="Cambria Math" w:eastAsia="仿宋_GB2312"/>
                      <w:color w:val="auto"/>
                      <w:sz w:val="18"/>
                      <w:szCs w:val="18"/>
                      <w:highlight w:val="none"/>
                    </w:rPr>
                    <m:t>人员单价</m:t>
                  </m:r>
                  <m:ctrlPr>
                    <w:rPr>
                      <w:rFonts w:ascii="Cambria Math" w:hAnsi="Cambria Math" w:eastAsia="仿宋_GB2312"/>
                      <w:color w:val="auto"/>
                      <w:sz w:val="18"/>
                      <w:szCs w:val="18"/>
                      <w:highlight w:val="none"/>
                    </w:rPr>
                  </m:ctrlPr>
                </m:num>
                <m:den>
                  <m:r>
                    <m:rPr>
                      <m:sty m:val="p"/>
                    </m:rPr>
                    <w:rPr>
                      <w:rFonts w:hint="eastAsia" w:ascii="Cambria Math" w:hAnsi="Cambria Math" w:eastAsia="仿宋_GB2312"/>
                      <w:color w:val="auto"/>
                      <w:sz w:val="18"/>
                      <w:szCs w:val="18"/>
                      <w:highlight w:val="none"/>
                    </w:rPr>
                    <m:t>26天</m:t>
                  </m:r>
                  <m:ctrlPr>
                    <w:rPr>
                      <w:rFonts w:ascii="Cambria Math" w:hAnsi="Cambria Math" w:eastAsia="仿宋_GB2312"/>
                      <w:color w:val="auto"/>
                      <w:sz w:val="18"/>
                      <w:szCs w:val="18"/>
                      <w:highlight w:val="none"/>
                    </w:rPr>
                  </m:ctrlPr>
                </m:den>
              </m:f>
            </m:oMath>
            <w:r>
              <w:rPr>
                <w:rFonts w:hint="eastAsia" w:ascii="宋体" w:hAnsi="宋体" w:cs="宋体"/>
                <w:color w:val="auto"/>
                <w:sz w:val="21"/>
                <w:szCs w:val="21"/>
                <w:highlight w:val="none"/>
              </w:rPr>
              <w:t xml:space="preserve"> ，下同)</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5.当月服务质量考核标准达到合格（a级）分数线，人员满编率在90%以下，月度实付款总额=月度应付款总额-人员满编率扣除费用*200%。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6.当月服务质量考核标准为不合格（b、c、d级）分数线，人员满编率90%以上（含）-100%以下，月度实付款总额=月度应付款总额-服务质量考核扣除费用-人员满编率扣除费用*200%。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7.当月服务质量考核标准为不合格（b、c、d级）分数线，人员满编率90%以下，月度实付款总额=月度应付款总额-服务质量考核扣除费用-人员满编率扣除费用*300%。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31"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住宅类</w:t>
            </w:r>
          </w:p>
        </w:tc>
        <w:tc>
          <w:tcPr>
            <w:tcW w:w="1614" w:type="dxa"/>
            <w:vAlign w:val="center"/>
          </w:tcPr>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90分（含）以上（业主单位对甲方有考核要求的，以业主单位考核分值为准）</w:t>
            </w:r>
          </w:p>
        </w:tc>
        <w:tc>
          <w:tcPr>
            <w:tcW w:w="1178"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1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1130"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0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8200" w:type="dxa"/>
            <w:vMerge w:val="continue"/>
            <w:vAlign w:val="center"/>
          </w:tcPr>
          <w:p>
            <w:pPr>
              <w:spacing w:line="240" w:lineRule="auto"/>
              <w:ind w:firstLine="420" w:firstLineChars="200"/>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931"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1614"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rPr>
              <w:t>a级）</w:t>
            </w:r>
          </w:p>
        </w:tc>
        <w:tc>
          <w:tcPr>
            <w:tcW w:w="4574" w:type="dxa"/>
            <w:gridSpan w:val="4"/>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8200" w:type="dxa"/>
            <w:vMerge w:val="continue"/>
            <w:vAlign w:val="center"/>
          </w:tcPr>
          <w:p>
            <w:pPr>
              <w:spacing w:line="240" w:lineRule="auto"/>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Merge w:val="continue"/>
            <w:vAlign w:val="center"/>
          </w:tcPr>
          <w:p>
            <w:pPr>
              <w:spacing w:line="240" w:lineRule="auto"/>
              <w:jc w:val="center"/>
              <w:rPr>
                <w:rFonts w:ascii="宋体" w:hAnsi="宋体" w:cs="宋体"/>
                <w:color w:val="auto"/>
                <w:sz w:val="21"/>
                <w:szCs w:val="21"/>
                <w:highlight w:val="none"/>
              </w:rPr>
            </w:pPr>
          </w:p>
        </w:tc>
        <w:tc>
          <w:tcPr>
            <w:tcW w:w="1614" w:type="dxa"/>
            <w:vMerge w:val="continue"/>
            <w:vAlign w:val="center"/>
          </w:tcPr>
          <w:p>
            <w:pPr>
              <w:spacing w:line="240" w:lineRule="auto"/>
              <w:jc w:val="center"/>
              <w:rPr>
                <w:rFonts w:ascii="宋体" w:hAnsi="宋体" w:cs="宋体"/>
                <w:color w:val="auto"/>
                <w:sz w:val="21"/>
                <w:szCs w:val="21"/>
                <w:highlight w:val="none"/>
              </w:rPr>
            </w:pPr>
          </w:p>
        </w:tc>
        <w:tc>
          <w:tcPr>
            <w:tcW w:w="1178"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90分以上95分以下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1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85分以上90分（含）以下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1130"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85分以下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0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年累计不合格两次</w:t>
            </w:r>
          </w:p>
        </w:tc>
        <w:tc>
          <w:tcPr>
            <w:tcW w:w="8200" w:type="dxa"/>
            <w:vMerge w:val="continue"/>
            <w:vAlign w:val="center"/>
          </w:tcPr>
          <w:p>
            <w:pPr>
              <w:spacing w:line="240" w:lineRule="auto"/>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31"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景区/场馆/市政道路/写字楼/其他类</w:t>
            </w:r>
          </w:p>
        </w:tc>
        <w:tc>
          <w:tcPr>
            <w:tcW w:w="1614" w:type="dxa"/>
            <w:vAlign w:val="center"/>
          </w:tcPr>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95分（含）以上（业主单位对甲方有考核要求的，以业主单位考核分值为准）</w:t>
            </w:r>
          </w:p>
        </w:tc>
        <w:tc>
          <w:tcPr>
            <w:tcW w:w="1178"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1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1130"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0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8200" w:type="dxa"/>
            <w:vMerge w:val="continue"/>
            <w:vAlign w:val="center"/>
          </w:tcPr>
          <w:p>
            <w:pPr>
              <w:spacing w:line="240" w:lineRule="auto"/>
              <w:jc w:val="left"/>
              <w:rPr>
                <w:rFonts w:ascii="宋体" w:hAnsi="宋体" w:cs="宋体"/>
                <w:color w:val="auto"/>
                <w:sz w:val="21"/>
                <w:szCs w:val="21"/>
                <w:highlight w:val="none"/>
              </w:rPr>
            </w:pPr>
          </w:p>
        </w:tc>
      </w:tr>
    </w:tbl>
    <w:p>
      <w:pPr>
        <w:spacing w:line="560" w:lineRule="exact"/>
        <w:rPr>
          <w:rFonts w:ascii="仿宋" w:hAnsi="仿宋" w:eastAsia="仿宋"/>
          <w:color w:val="auto"/>
          <w:szCs w:val="28"/>
          <w:highlight w:val="none"/>
        </w:rPr>
        <w:sectPr>
          <w:pgSz w:w="16838" w:h="11906" w:orient="landscape"/>
          <w:pgMar w:top="1474" w:right="1440" w:bottom="1474" w:left="1440" w:header="851" w:footer="964" w:gutter="0"/>
          <w:pgNumType w:fmt="decimal"/>
          <w:cols w:space="720" w:num="1"/>
          <w:docGrid w:type="lines" w:linePitch="312" w:charSpace="0"/>
        </w:sectPr>
      </w:pPr>
    </w:p>
    <w:p>
      <w:pPr>
        <w:pStyle w:val="2"/>
        <w:spacing w:before="120" w:beforeLines="50"/>
        <w:jc w:val="center"/>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附件二：保安服务考核标准</w:t>
      </w:r>
    </w:p>
    <w:tbl>
      <w:tblPr>
        <w:tblStyle w:val="41"/>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820"/>
        <w:gridCol w:w="253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993"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区域</w:t>
            </w:r>
          </w:p>
        </w:tc>
        <w:tc>
          <w:tcPr>
            <w:tcW w:w="4820" w:type="dxa"/>
            <w:shd w:val="clear" w:color="000000" w:fill="D7D7D7"/>
            <w:vAlign w:val="center"/>
          </w:tcPr>
          <w:p>
            <w:pPr>
              <w:widowControl/>
              <w:ind w:left="369" w:hanging="369" w:hangingChars="175"/>
              <w:jc w:val="center"/>
              <w:textAlignment w:val="center"/>
              <w:rPr>
                <w:rFonts w:ascii="宋体" w:hAnsi="宋体" w:cs="宋体"/>
                <w:color w:val="auto"/>
                <w:kern w:val="0"/>
                <w:sz w:val="21"/>
                <w:szCs w:val="21"/>
                <w:highlight w:val="none"/>
                <w:lang w:bidi="ar"/>
              </w:rPr>
            </w:pPr>
            <w:r>
              <w:rPr>
                <w:rFonts w:hint="eastAsia" w:ascii="宋体" w:hAnsi="宋体" w:cs="宋体"/>
                <w:b/>
                <w:bCs/>
                <w:color w:val="auto"/>
                <w:kern w:val="0"/>
                <w:sz w:val="21"/>
                <w:szCs w:val="21"/>
                <w:highlight w:val="none"/>
                <w:lang w:bidi="ar"/>
              </w:rPr>
              <w:t>质量要求</w:t>
            </w:r>
          </w:p>
        </w:tc>
        <w:tc>
          <w:tcPr>
            <w:tcW w:w="2531"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考核标准</w:t>
            </w:r>
          </w:p>
        </w:tc>
        <w:tc>
          <w:tcPr>
            <w:tcW w:w="1902"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仪容</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仪表</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a)上班期间统一着工装，佩戴工牌，仪态自然，精神状态饱满（女性不得披头散发，男性不得留长胡须，头发前不过眉，发脚侧不过耳）</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按要求着装、佩戴工牌、精神状态饱满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b)站岗时着装整齐，腰板挺直，严格按照管理部规定时间站立于规定的位置，切忌歪歪斜斜，损坏公司形象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值班时没有按规定站立，存在有损形象的姿态</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c)按规定携带保安器材，装备无线电对讲机，并保持联络畅通</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未按要求携带保安器材</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d)保持各岗位办公环境整洁干净，符合甲方5S办公管理要求</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岗位办公环境不符合5S要求</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行为</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举止</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a)不以任何理由与客户发生争吵、打架；即使面对无理取闹的客户，亦不可恶言相向，应耐心的解释原因。若有必要时应转达上级处理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存在与客户发生争吵、打架且没有向上级汇报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b)值班期间需坐姿端正，不倚背、不伸腿，不在工作场所大声喧哗，不趴在工作台上休息，不打瞌睡或串岗聊天、吃零食；不可在上班期间抽烟和吃零食，更不可咬着香烟或食物和客户讲话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值班时存在大声喧哗、吃零食等的有损公司形象的形为，且以不礼貌地姿态跟客户讲话</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r>
              <w:rPr>
                <w:rFonts w:hint="eastAsia" w:ascii="宋体" w:hAnsi="宋体" w:cs="宋体"/>
                <w:color w:val="auto"/>
                <w:sz w:val="21"/>
                <w:szCs w:val="21"/>
                <w:highlight w:val="none"/>
              </w:rPr>
              <w:t>（打瞌睡另行再扣200元/人/次）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c)严禁向客户索取任何形式的赏赐，即使客户主动提出，亦应尽量礼貌的做出拒绝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有违反规定的行为和现象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每发现一次扣5分，</w:t>
            </w:r>
            <w:r>
              <w:rPr>
                <w:rFonts w:hint="eastAsia" w:ascii="宋体" w:hAnsi="宋体" w:cs="宋体"/>
                <w:color w:val="auto"/>
                <w:sz w:val="21"/>
                <w:szCs w:val="21"/>
                <w:highlight w:val="none"/>
              </w:rPr>
              <w:t>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d)礼貌待人，微笑服务，不讲脏话、粗话；客户需要帮助时，请主动及时提供服务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有讲粗话、脏话现象且不主动替客户提供服务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e)严禁用对讲机闲聊、骂人、讲粗话。</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出现用对讲机闲聊、骂人、讲粗话的现象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f)严禁上班期间会客、闲谈、不做与本职工作无关的事。</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上班期间会客、闲谈、做与本职工作无关的事</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g)严禁随地吐痰、乱丢果皮纸屑。</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随地吐痰、乱丢果皮纸屑</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h)严禁执勤时剔牙齿、脱鞋袜、剪指甲。</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执勤时剪指甲、剔牙齿、脱鞋袜</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i)执勤期间不得发生吵架、打架行为。</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执勤期间发生吵架、打架行为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交接</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a)建立24小时值班制度</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未按要求设立24小时值班制度</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b)值班电话接听规范，按要求处理客户诉求，并留存记录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接听电话不规范且不按要求处理客户诉求并留存记录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c)值班记录填写规范准确详细，</w:t>
            </w:r>
            <w:r>
              <w:rPr>
                <w:rFonts w:hint="eastAsia" w:ascii="宋体" w:hAnsi="宋体" w:cs="宋体"/>
                <w:color w:val="auto"/>
                <w:sz w:val="21"/>
                <w:szCs w:val="21"/>
                <w:highlight w:val="none"/>
              </w:rPr>
              <w:t>无乱写乱画现象，包括值班工作记录交接，管理范围内物品状态记录等，有交接班时间和内容要求，有交接班记录，并有上级检查签字</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值班记录记录规范、无遗漏且字迹清晰，有上级检查签字</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 xml:space="preserve">d)对岗位发生的情况了解并进行汇总，如遇突发性事件及急性案件，应设法采取应急措施，制止事态的扩大，并注意保护现象留存记录 </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发生突发/急性事件没有制止事态扩大的措施并留存记录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业务知</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识及培</w:t>
            </w:r>
          </w:p>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训</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a)掌握本项目及各自岗位应知应会情况</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对项目及各自岗位应知应会情况不熟悉</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b)了解并收集租户入住、装修情况并做好记录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未对租户、装修情况进行登记</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c)每月向甲方上交岗位培训计划，并认真落实，每月岗位培训不得低于3次并留存记录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未制订并上交培训计划且未按要求组织实施并留存记录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每缺少一次培训记录扣0.5分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门岗</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kern w:val="0"/>
                <w:sz w:val="21"/>
                <w:szCs w:val="21"/>
                <w:highlight w:val="none"/>
                <w:lang w:bidi="ar"/>
              </w:rPr>
              <w:t>a)立岗时，严格按照管理处相关规定时间站立于规定的位置，</w:t>
            </w:r>
            <w:r>
              <w:rPr>
                <w:rFonts w:hint="eastAsia" w:ascii="宋体" w:hAnsi="宋体" w:cs="宋体"/>
                <w:color w:val="auto"/>
                <w:sz w:val="21"/>
                <w:szCs w:val="21"/>
                <w:highlight w:val="none"/>
              </w:rPr>
              <w:t>姿态要端正，不得弯腰曲背，形同依倚状。严禁背靠门柱或墙角、伞柱。</w:t>
            </w: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立正时双手下垂，手指自然并拢，双手中指贴在裤的齐缝中间，不可将手插进衣袋或裤袋内</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值班期间，未按规定时间及位置立岗，</w:t>
            </w:r>
            <w:r>
              <w:rPr>
                <w:rFonts w:hint="eastAsia" w:ascii="宋体" w:hAnsi="宋体" w:cs="宋体"/>
                <w:color w:val="auto"/>
                <w:sz w:val="21"/>
                <w:szCs w:val="21"/>
                <w:highlight w:val="none"/>
              </w:rPr>
              <w:t>出现站姿不端正，弯腰曲背、背靠门柱、墙角、伞柱，手插进衣袋或裤袋内或不站在指定岗位上的现象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b)礼貌引导访客，做好访客登记工作，并记录在《人员进出登记表》中</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对访客未进行登记并留存记录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c)维持车辆停放、进出秩序，确保车辆正确停放于指定的停车位，无乱停乱放，阻碍交通及消防通道现象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未对进出车辆进行引导，存在阻碍及堵塞消防通道现象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d)对所有非工作时间段进出车辆及外来车辆进行登记，货车需进行开厢检查，并留存相关记录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非工作时间未对车辆进行控制、检查并留存记录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e)配合做好项目垃圾清运管理，对垃圾清运车辆运载情况进行核查登记（含车辆进出日期、时间、车号等）</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未对垃圾清运车辆进行核查登记，且核查登记存在虚假情况</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f)对运出项目的大件物品及可疑物品，应礼貌地要求客户出具有效的《物品出门单》，并请客户配合查验物品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按规定要求对运出项目的物品进行核查登记并留存记录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g)二次装修及其他工程施工人员进入项目，要检查其是否有本管理处签发的有效《临时出入证》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按规定要求对外来人员进行核实登记并留存记录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h)送餐人员进入项目，需要求其出示《临时出入证》，确认送餐人员是否按要求回收空（剩）饭盒，发现违反规定要求的人员，应及时向甲方相关负责人汇报</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未对送餐人员进行身份核实并确认其饭盒回收情况导致垃圾乱堆乱放</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i)严禁拾荒、小摊贩、推销人员、携带宠物及家禽家畜人员进入项目，对衣冠不整者应谢绝其进入</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没有发现或及时劝阻此类人员进入项目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j)配合做好门岗内部及周边1M范围内的清洁卫生工作</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门岗内物品摆放凌乱，配套设施积尘，绿化带有明显白色垃圾</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k)有VIP标识的车辆进入项目，要敬礼示意，做好停车的引导工作，并在必要时提供帮助</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熟悉重要领导及客户的车牌号，做到服务不遗漏、姿势规范并主动提供帮助</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巡逻岗</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a)严格按甲方指定的路线和时间进行巡逻，有制订安全防范措施；做好巡视人员签到及巡视工作记录，发现建筑物设施、行人、车辆安全等存在异常情况时，应及时处理或报告</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在巡逻中未按规定时间、路线巡逻并做好记录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b)收到消防或监控中心发出的指令后，巡查人员需及时到达现场确认情况并采取应急措施，并将处理情况及时反馈给发出指令方及甲方相关负责人</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收到消防/监控中心指令，未在15分钟内到达现场并采取应急措施并进行反馈</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c)巡查中发现异常情况，应立即通知相关部门拍照取证并在现场采取措施尽量减少损失，协助保护现场，随时准备启动相关应急预案</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巡查中不能发现异常情况，且发现异常情况未采取应急措施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d)白天楼内巡逻不得少于3次，夜间巡逻不得少于4次，重点部位和部分时段有特殊情况时，应每2小时巡查1次，工作应有记录、存档</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按规定频次进行巡逻并留存记录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每缺少一次扣0.5分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e)巡视所有消防器材（灭火器、消火栓）等是否齐全，是否处于正常状态，并做好书面记录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不发生遗漏，检查后有记录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f)巡视各设备房门是否关闭，是否处于完好状态等并做好记录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没有及时发现设备房门未关闭且对现场情况未进行记录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g)巡视各通道以及外围区域的灯光是否足够或需要调换，并做好记录，及时通知维修人员进行维修或更换</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未及时发现灯光不亮现象，未做好记录并通知维修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h)巡逻时，留意设施设备运行情况，如发现设施设备损坏，应及时报告管理人员，并书面记录于《保安巡逻记录表》中</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i)巡逻时，留意建筑物本体、道路、停车场地、绿化等的损坏和清洁情况，发现问题，做好记录并及时通知相关人员进行处理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j)巡视空置房的门窗是否关闭，如发现异常情况须及时报告现场管理人员</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未对空置房进行巡查并对异常情况进行记录并上报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k)巡视楼层/各通道，禁止任何人在公共区域及消防通道处堆放任何物品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发现有在公共区域/消防通道堆放杂物需及时制止，未发现现场人员应积极进行调查，并记录上报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l)检查每一处死角细节，关闭各处门窗及设施电源，检查非工作时间的人员滞留情况，予以记录并做好跟进工作；在客户非工作时间内发现客户单元门未锁好的，应立即向领班汇报，并按管理处相关要求进行处理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在巡逻中没有做好这些工作，或者发现问题未及时记录或上报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m)巡逻中发现可疑人员时应予以询问或监视，必要时应及时报告当值保安领班安排支援力量以应不测</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未能对可疑人员进行跟进盘查询问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n)阻止无关人员在项目管理区域闲逛、推销、派发传单广告或从事其他骚扰性活动</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未及时劝阻这些人员在物业管理区域内的活动</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o)巡逻时，发现破坏绿化、环境的行为应予以阻止</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未及时予以阻止</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p)巡逻时，如接获投诉，应仔细礼貌听取，并做好记录且立即汇报领班处理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未耐心听取客户投诉意见，未对反映的问题进行记录且未予以上报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q)巡逻时，发现水管破裂、漏水、电线绝缘层破损等情况，须及时报管理处，并在现场等候维修人员到达现场维修，方可离开，并做好记录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巡查时未及时发现这些隐患，并记录和采取应急措施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r)发现窨井盖未盖好的，将其盖好；有缺失的，需做好登记并及时上报管理处处理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没有及时发现和采取应急措施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s)车场无偷盗、刮擦、碰撞、车祸等事件发生。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车场出现偷盗、刮擦、碰撞、车祸等事件</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发生一起扣10分，并承担相应经济责任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t)车辆停放有序，一车一位，无乱停乱放、出入口堵塞等情况发生。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出现乱停乱放、出入口堵塞、一车多位等情况</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消防</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安全</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a)掌握管理区域内消防设施设备分布状况，建立消防管理制度及消防责任制，成立消防应急处理小组，每半年需组织开展1次消防演习并留存记录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熟悉消防设施设备分布情况，成立了消防应急处理小组，有按要求组织消防演习并留存记录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未成立应急处理小组扣5分，未按要求组织消防演习并留存记录扣10分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b)掌握管理区域内消防设施设备的正确使用，每月对项目消防设施进行一次全面排查，确保消防设施配备完整、有效并做好记录，存在缺失、毁损、故障情况需及时予以上报整改</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未按要求对消防设施进行排查并留存记录，未对存在的问题予以上报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c)消防监控中心值班人员需持《消防操作员》证上岗，需熟悉报警及联动设备的操作，对报警点需做好记录并通知就近岗位现场确认排除故障</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监控室人员未能掌握监控到设备操作规范化流程，未对报警点进行记录并通知相关岗位排除故障</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d)对公共区域乱堆乱放行为进行宣传引导及制止，排除火灾安全隐患</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对公共区域乱堆放行为未及时进行劝阻</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e)发生消防安全事故。</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发生消防安全事故</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10分;情况严重的，视事故损失和影响而定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f)按方案要求巡查消防安全的重点区域，并做好巡查情况记录，发现火灾或火灾隐患立即汇报并组织抢救或消除。每月对消防器材进行检查，确保正常使用。建立消防档案，资料存放完整、清晰</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消防隐患排查、检查不到位；未形成相关记录；未建立消防档案；</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g)开展节假日节前安全检查，需提前做好策划、人员安排合理到位，检查要有结果和问题汇总、整改措施及后续整改跟进。</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节假日前安全检查不到位，存在人员、工作等安排不到位，检查情况记录、整改不到位等</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中心</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a)值班人员在甲方前台人员下班期间，需履行前台岗位职责，认真接听电话做好客户诉求记录，对于影响业租户、业主单位生活的诉求（如：停水、停电及电梯困人）需及时安排相关人员处理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按要求接听客户电话并记录诉求，突 发事件有及时安排人中处理并留存记录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b)值班人员需熟练操作监控设备，了解重点监控部位，能切换画面，能调取录像</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能熟练操作监控设备，能切换画面，能调取录像</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c)监控中心需重点监视外来闲杂人员，派发广告、电梯困人情况及其他嫌疑人员，发现问题需及时协调人员处理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对闲杂无关人员有进行重点监控，协调处理并留存记录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d)监控记录需至少保存15天以上，监控设备发生故障需及时上报处理；客户因突发情况需调取监控，需进行报警处理后配合警方调取，特殊情况需及时上报.</w:t>
            </w:r>
            <w:r>
              <w:rPr>
                <w:rFonts w:hint="eastAsia" w:ascii="宋体" w:hAnsi="宋体" w:cs="宋体"/>
                <w:color w:val="auto"/>
                <w:sz w:val="21"/>
                <w:szCs w:val="21"/>
                <w:highlight w:val="none"/>
              </w:rPr>
              <w:t xml:space="preserve"> 严禁将监控录像进行拷贝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监控录像按规定时间留存，设备出现故障有及时上报处理。调取监控按规定程序报批并留存记录, 无擅自拷贝录像现象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blHeader/>
          <w:jc w:val="center"/>
        </w:trPr>
        <w:tc>
          <w:tcPr>
            <w:tcW w:w="993"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夜班管理</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a)夜班查岗现场管理人员每月不少于2次、领班/队长每周不少于1次，按要求填写《夜班查岗登记表》，每周对夜班查岗情况进行汇总通报和公示。</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查岗次数不达标；查岗情况未汇总通报、公示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查岗次数不达标，每次扣0.5分。未进行查岗汇总通报扣0.5分，未公示扣0.5分。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工作纪律</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a)严禁在工作期间睡岗、脱岗、当班前和当班时饮酒。工作时间赌博或进行任何有关赌博的游戏</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出现睡岗、脱岗、饮酒、赌博或进行任何有关赌博的游戏等现象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工作期间出现喝酒扣200元/起；脱岗、睡岗500元/起；赌博或进行任何有关赌博的游戏，</w:t>
            </w:r>
            <w:r>
              <w:rPr>
                <w:rFonts w:hint="eastAsia" w:ascii="宋体" w:hAnsi="宋体" w:cs="宋体"/>
                <w:color w:val="auto"/>
                <w:kern w:val="0"/>
                <w:sz w:val="21"/>
                <w:szCs w:val="21"/>
                <w:highlight w:val="none"/>
                <w:lang w:bidi="ar"/>
              </w:rPr>
              <w:t>每发现一起扣10分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b)按规定时间上下班</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存在迟到、早退、未打卡现象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c)严禁将公共物品占为己有、捡拾物品隐瞒不报</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出现将公共物品据为己有，或捡拾物品隐瞒不报现象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d)泄露甲方信息，使其利益受损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存在泄漏甲方信息行为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扣5分，并追究相关责任。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e)严格按工作制度执行任务</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出现在岗玩手机、不服从安排、培训/训练迟到或无故缺席</w:t>
            </w:r>
          </w:p>
        </w:tc>
        <w:tc>
          <w:tcPr>
            <w:tcW w:w="1902" w:type="dxa"/>
            <w:vAlign w:val="center"/>
          </w:tcPr>
          <w:p>
            <w:pP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公共秩序管理</w:t>
            </w:r>
          </w:p>
        </w:tc>
        <w:tc>
          <w:tcPr>
            <w:tcW w:w="4820" w:type="dxa"/>
            <w:vAlign w:val="center"/>
          </w:tcPr>
          <w:p>
            <w:pPr>
              <w:tabs>
                <w:tab w:val="left" w:pos="1152"/>
              </w:tabs>
              <w:jc w:val="left"/>
              <w:rPr>
                <w:rFonts w:ascii="宋体" w:hAnsi="宋体" w:cs="宋体"/>
                <w:color w:val="auto"/>
                <w:sz w:val="21"/>
                <w:szCs w:val="21"/>
                <w:highlight w:val="none"/>
              </w:rPr>
            </w:pPr>
            <w:r>
              <w:rPr>
                <w:rFonts w:hint="eastAsia" w:ascii="宋体" w:hAnsi="宋体" w:cs="宋体"/>
                <w:color w:val="auto"/>
                <w:sz w:val="21"/>
                <w:szCs w:val="21"/>
                <w:highlight w:val="none"/>
              </w:rPr>
              <w:t>a)严禁未经许可批准进行摆摊设点等经营活动，发现有违规行为必须文明劝阻，不听劝阻的进行拍照交相关部门处理，同时做好记录。</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存在违规现象，且无工作人员进行劝阻，事件没有完好记录</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b)建立健全火灾、治安、公共卫生等突发事件应急预案。</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未建立健全火灾、治安、公共卫生等突发事件应急预案</w:t>
            </w:r>
          </w:p>
        </w:tc>
        <w:tc>
          <w:tcPr>
            <w:tcW w:w="1902" w:type="dxa"/>
            <w:vAlign w:val="center"/>
          </w:tcPr>
          <w:p>
            <w:pPr>
              <w:widowControl/>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c)突发事件和预案操作培训所有人必须考核通过。</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未按要求进行培训，存在人员考核未通过现象。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扣1.5分/次</w:t>
            </w:r>
          </w:p>
          <w:p>
            <w:pPr>
              <w:rPr>
                <w:rFonts w:ascii="宋体" w:hAnsi="宋体" w:cs="宋体"/>
                <w:color w:val="auto"/>
                <w:sz w:val="21"/>
                <w:szCs w:val="21"/>
                <w:highlight w:val="none"/>
              </w:rPr>
            </w:pPr>
            <w:r>
              <w:rPr>
                <w:rFonts w:hint="eastAsia" w:ascii="宋体" w:hAnsi="宋体" w:cs="宋体"/>
                <w:color w:val="auto"/>
                <w:sz w:val="21"/>
                <w:szCs w:val="21"/>
                <w:highlight w:val="none"/>
              </w:rPr>
              <w:t>未考核通过的，扣0.5分/人/次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d)发生突发事件，未及时处理或处置不当。</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突发事件未及时处理，处置不当，造成事件升级或影响扩大</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扣10分（视事件扩大或影响升级而定）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e)对擅自在项目内外开挖地面、施工、装修、乱堆乱放、乱搭、乱建等情况不管不问并不及时报告。</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对擅自在项目内外开挖地面、施工、装修、乱堆乱放、乱搭、乱建等情况不管不问并不及时报告</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资料管理</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a)按要求做好交接班记录、巡查记录等值班记录。建立岗位值班记录、重点区域巡查等记录</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交接班、重点区域、值班时间巡查记录不完整，不及时等；</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b)各类文件资料及日常记录，按时收集分类归档、清晰可查、规范管理。</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文件资料未收集齐全，存在未归档、不清晰等现象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c)各类总结、计划、方案等文件按规定时间上交。</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存在总结、计划、方案漏交，提交不及时等现象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restart"/>
            <w:vAlign w:val="center"/>
          </w:tcPr>
          <w:p>
            <w:pPr>
              <w:widowControl/>
              <w:ind w:firstLine="105" w:firstLineChars="50"/>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其他</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(附加）</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 遇雨、雪等恶劣天气应立即安排人员在入口处及关键位置放置温馨提示牌</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按要求设置标识标牌</w:t>
            </w:r>
          </w:p>
        </w:tc>
        <w:tc>
          <w:tcPr>
            <w:tcW w:w="1902" w:type="dxa"/>
          </w:tcPr>
          <w:p>
            <w:pPr>
              <w:rPr>
                <w:rFonts w:ascii="宋体" w:hAnsi="宋体" w:cs="宋体"/>
                <w:color w:val="auto"/>
                <w:kern w:val="0"/>
                <w:sz w:val="21"/>
                <w:szCs w:val="21"/>
                <w:highlight w:val="none"/>
                <w:lang w:bidi="ar"/>
              </w:rPr>
            </w:pPr>
          </w:p>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b)协助做好客户、业主单位快递代收工作，并及时通知客户、业主单位领取留存相关记录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按要求代收快递并通知客户及时领取0，留存相关记录</w:t>
            </w:r>
          </w:p>
        </w:tc>
        <w:tc>
          <w:tcPr>
            <w:tcW w:w="1902" w:type="dxa"/>
            <w:vAlign w:val="center"/>
          </w:tcPr>
          <w:p>
            <w:pPr>
              <w:widowControl/>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bl>
    <w:p>
      <w:pPr>
        <w:rPr>
          <w:rFonts w:ascii="宋体" w:hAnsi="宋体"/>
          <w:color w:val="auto"/>
          <w:szCs w:val="28"/>
          <w:highlight w:val="none"/>
        </w:rPr>
      </w:pPr>
      <w:r>
        <w:rPr>
          <w:rFonts w:ascii="宋体" w:hAnsi="宋体"/>
          <w:color w:val="auto"/>
          <w:szCs w:val="28"/>
          <w:highlight w:val="none"/>
        </w:rPr>
        <w:br w:type="page"/>
      </w:r>
    </w:p>
    <w:p>
      <w:pPr>
        <w:spacing w:line="360" w:lineRule="auto"/>
        <w:rPr>
          <w:rFonts w:ascii="宋体" w:hAnsi="宋体"/>
          <w:color w:val="auto"/>
          <w:sz w:val="24"/>
          <w:szCs w:val="24"/>
          <w:highlight w:val="none"/>
        </w:rPr>
      </w:pPr>
      <w:r>
        <w:rPr>
          <w:rFonts w:ascii="宋体" w:hAnsi="宋体"/>
          <w:color w:val="auto"/>
          <w:sz w:val="24"/>
          <w:szCs w:val="24"/>
          <w:highlight w:val="none"/>
        </w:rPr>
        <w:t>附件</w:t>
      </w:r>
      <w:r>
        <w:rPr>
          <w:rFonts w:hint="eastAsia" w:ascii="宋体" w:hAnsi="宋体"/>
          <w:color w:val="auto"/>
          <w:sz w:val="24"/>
          <w:szCs w:val="24"/>
          <w:highlight w:val="none"/>
        </w:rPr>
        <w:t>三</w:t>
      </w:r>
    </w:p>
    <w:p>
      <w:pPr>
        <w:tabs>
          <w:tab w:val="left" w:pos="900"/>
        </w:tabs>
        <w:snapToGrid w:val="0"/>
        <w:spacing w:line="440" w:lineRule="exact"/>
        <w:ind w:firstLine="357"/>
        <w:jc w:val="center"/>
        <w:rPr>
          <w:rFonts w:ascii="宋体" w:hAnsi="宋体" w:cs="黑体"/>
          <w:b/>
          <w:color w:val="auto"/>
          <w:sz w:val="24"/>
          <w:szCs w:val="24"/>
          <w:highlight w:val="none"/>
        </w:rPr>
      </w:pPr>
      <w:r>
        <w:rPr>
          <w:rFonts w:hint="eastAsia" w:ascii="宋体" w:hAnsi="宋体" w:cs="黑体"/>
          <w:b/>
          <w:color w:val="auto"/>
          <w:sz w:val="24"/>
          <w:szCs w:val="24"/>
          <w:highlight w:val="none"/>
        </w:rPr>
        <w:t>廉洁协议</w:t>
      </w:r>
    </w:p>
    <w:p>
      <w:pPr>
        <w:tabs>
          <w:tab w:val="left" w:pos="900"/>
        </w:tabs>
        <w:snapToGrid w:val="0"/>
        <w:spacing w:line="340" w:lineRule="exact"/>
        <w:ind w:firstLine="357"/>
        <w:rPr>
          <w:rFonts w:ascii="宋体" w:hAnsi="宋体"/>
          <w:color w:val="auto"/>
          <w:sz w:val="24"/>
          <w:highlight w:val="none"/>
        </w:rPr>
      </w:pP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合同编号：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    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乙    方：</w:t>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为了保证甲、乙双方合作的公平和公正，在合同履行过程中保持廉洁自律的工作作风，防止各种不正当行为的发生，确保甲、乙双方的合法利益不受侵害，经协商一致，在签订</w:t>
      </w:r>
      <w:r>
        <w:rPr>
          <w:rFonts w:hint="eastAsia" w:asciiTheme="minorEastAsia" w:hAnsiTheme="minorEastAsia" w:eastAsiaTheme="minorEastAsia" w:cstheme="minorEastAsia"/>
          <w:color w:val="auto"/>
          <w:sz w:val="21"/>
          <w:szCs w:val="21"/>
          <w:highlight w:val="none"/>
          <w:u w:val="single"/>
        </w:rPr>
        <w:t>保安服务合同</w:t>
      </w:r>
      <w:r>
        <w:rPr>
          <w:rFonts w:hint="eastAsia" w:asciiTheme="minorEastAsia" w:hAnsiTheme="minorEastAsia" w:eastAsiaTheme="minorEastAsia" w:cstheme="minorEastAsia"/>
          <w:color w:val="auto"/>
          <w:sz w:val="21"/>
          <w:szCs w:val="21"/>
          <w:highlight w:val="none"/>
        </w:rPr>
        <w:t xml:space="preserve">（以下简称“主合同”）的基础上，根据有关法律法规并参照党风廉政建设责任制规定，特订立本协议如下： </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一、廉洁责任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（一）甲方责任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1.在签订主合同前，甲方有义务向乙方介绍本单位有关廉洁管理各项制度规定。</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2.甲方工作人员不得以任何形式向乙方索要和收受回扣等好处费。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3.甲方工作人员不得接受乙方的礼金、有价证券、贵重物品，不得在乙方工作人员处报销任何应由个人支付的费用。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4.甲方工作人员不得参加可能对履行责任、义务有影响的宴请和娱乐活动。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5.甲方工作人员不得要求乙方或者接受乙方为其住房装修、婚丧嫁娶、家属和子女的工作安排等提供方便。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6.甲方有权对乙方在主合同实施过程中执行廉洁情况实行监督。</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（二）乙方责任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1.乙方应了解甲方单位有关廉洁管理各项制度规定，并遵照执行。</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2.乙方工作人员不得以任何形式向甲方工作人员及其家属赠送现金、有价证券和物品等。</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3.乙方工作人员不得为甲方人员报销应由个人支付的开支费用。</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4.乙方工作人员不得以任何名义邀请甲方人员外出旅游或出入营业性高档娱乐场所。</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5.乙方工作人员要积极主动配合甲方单位对主合同实施过程中执行廉洁情况的监督检查工作，并根据甲方单位提出的要求整改落实到位。</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6.甲乙双方如发现对方工作人员有违反上述协议的，应及时向对方领导或者对方上级单位举报，双方不得因此以任何理由对对方进行打击报复。 </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二、违约责任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1.甲方工作人员违反廉洁责任，经调查属实，甲方将依据有关规定对当事人进行严肃处理，对涉嫌犯罪人员移送司法机关。</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2.乙方工作人员违反廉洁责任，经调查属实，甲方根据具体情节和造成的后果一次性扣罚与其签订合同暂定总价款的</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%，直至终止合同执行，并将乙方列入不合格供应商，由此造成的经济损失由乙方承担。</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3.乙方有存在向甲方人员及家属赠送现金、有价证券和物品等行为的，一经查实，甲方有权立即解除主合同，停止一切合作，并由乙方承担解约的全部损失。</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应支付违约金的，甲方有权在主合同款项中扣除，乙方获取的不正当利益能够返还的，应返还甲方，造成损失的，乙方除支付违约金外还应赔偿甲方损失，触犯法律的，交由司法机关追究法律责任，且甲方有权解除主合同。</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三、协议的生效</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(一)本协议在双方签字盖章后即生效。</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(二)本协议一式陆份,甲方执肆份，乙方执贰份。</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(三)本协议在主合同授予、履行的全过程有效，并作为主合同的附件。</w:t>
      </w:r>
    </w:p>
    <w:p>
      <w:pPr>
        <w:tabs>
          <w:tab w:val="left" w:pos="900"/>
          <w:tab w:val="left" w:pos="4962"/>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  方：                              乙  方：</w:t>
      </w:r>
    </w:p>
    <w:p>
      <w:pPr>
        <w:tabs>
          <w:tab w:val="left" w:pos="900"/>
          <w:tab w:val="left" w:pos="4962"/>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法定代表人（或授权代表）：          法定代表人（或授权代表）： </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签署日期：                            签署日期：</w:t>
      </w:r>
    </w:p>
    <w:p>
      <w:pPr>
        <w:spacing w:line="360" w:lineRule="auto"/>
        <w:ind w:right="600"/>
        <w:jc w:val="center"/>
        <w:rPr>
          <w:rFonts w:hint="eastAsia" w:ascii="宋体" w:hAnsi="宋体" w:cs="仿宋_GB2312"/>
          <w:b/>
          <w:color w:val="auto"/>
          <w:sz w:val="21"/>
          <w:szCs w:val="21"/>
          <w:highlight w:val="none"/>
        </w:rPr>
      </w:pPr>
      <w:r>
        <w:rPr>
          <w:rFonts w:hint="eastAsia" w:ascii="宋体" w:hAnsi="宋体"/>
          <w:b/>
          <w:bCs/>
          <w:color w:val="auto"/>
          <w:szCs w:val="28"/>
          <w:highlight w:val="none"/>
        </w:rPr>
        <w:br w:type="page"/>
      </w:r>
      <w:r>
        <w:rPr>
          <w:rFonts w:hint="eastAsia" w:ascii="宋体" w:hAnsi="宋体"/>
          <w:b/>
          <w:bCs/>
          <w:color w:val="auto"/>
          <w:szCs w:val="28"/>
          <w:highlight w:val="none"/>
        </w:rPr>
        <w:t xml:space="preserve">第四章 </w:t>
      </w:r>
      <w:r>
        <w:rPr>
          <w:rFonts w:hint="eastAsia" w:ascii="宋体" w:hAnsi="宋体" w:cs="宋体"/>
          <w:b/>
          <w:color w:val="auto"/>
          <w:szCs w:val="28"/>
          <w:highlight w:val="none"/>
        </w:rPr>
        <w:t>采购需求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1"/>
          <w:szCs w:val="21"/>
          <w:highlight w:val="none"/>
        </w:rPr>
      </w:pPr>
      <w:r>
        <w:rPr>
          <w:rFonts w:hint="eastAsia" w:ascii="宋体" w:hAnsi="宋体" w:cs="宋体"/>
          <w:b/>
          <w:bCs/>
          <w:color w:val="auto"/>
          <w:sz w:val="21"/>
          <w:szCs w:val="21"/>
          <w:highlight w:val="none"/>
        </w:rPr>
        <w:t>一、项目名称：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w:t>
      </w:r>
      <w:r>
        <w:rPr>
          <w:rFonts w:hint="eastAsia" w:ascii="宋体" w:hAnsi="宋体" w:cs="宋体"/>
          <w:bCs/>
          <w:color w:val="auto"/>
          <w:sz w:val="21"/>
          <w:szCs w:val="21"/>
          <w:highlight w:val="none"/>
        </w:rPr>
        <w:t>项目名称：</w:t>
      </w:r>
      <w:r>
        <w:rPr>
          <w:rFonts w:hint="eastAsia" w:ascii="宋体" w:hAnsi="宋体" w:cs="宋体"/>
          <w:bCs/>
          <w:color w:val="auto"/>
          <w:sz w:val="21"/>
          <w:szCs w:val="21"/>
          <w:highlight w:val="none"/>
          <w:lang w:eastAsia="zh-CN"/>
        </w:rPr>
        <w:t>湖南省检验检测特色产业园2023-2024年度保安服务采购项目</w:t>
      </w:r>
    </w:p>
    <w:p>
      <w:pPr>
        <w:pStyle w:val="4"/>
        <w:pageBreakBefore w:val="0"/>
        <w:widowControl w:val="0"/>
        <w:kinsoku/>
        <w:wordWrap/>
        <w:overflowPunct/>
        <w:topLinePunct w:val="0"/>
        <w:autoSpaceDE/>
        <w:autoSpaceDN/>
        <w:bidi w:val="0"/>
        <w:adjustRightInd/>
        <w:snapToGrid/>
        <w:jc w:val="left"/>
        <w:textAlignment w:val="auto"/>
        <w:rPr>
          <w:rFonts w:hint="eastAsia" w:ascii="宋体" w:hAnsi="宋体" w:cs="宋体"/>
          <w:color w:val="auto"/>
          <w:sz w:val="21"/>
          <w:szCs w:val="21"/>
          <w:highlight w:val="none"/>
        </w:rPr>
      </w:pPr>
      <w:bookmarkStart w:id="0" w:name="_Toc276981149"/>
      <w:bookmarkStart w:id="1" w:name="_Toc31791"/>
      <w:r>
        <w:rPr>
          <w:rFonts w:hint="eastAsia" w:ascii="宋体" w:hAnsi="宋体" w:cs="宋体"/>
          <w:color w:val="auto"/>
          <w:sz w:val="21"/>
          <w:szCs w:val="21"/>
          <w:highlight w:val="none"/>
        </w:rPr>
        <w:t>二、</w:t>
      </w:r>
      <w:bookmarkEnd w:id="0"/>
      <w:bookmarkEnd w:id="1"/>
      <w:r>
        <w:rPr>
          <w:rFonts w:hint="eastAsia" w:ascii="宋体" w:hAnsi="宋体" w:cs="宋体"/>
          <w:color w:val="auto"/>
          <w:sz w:val="21"/>
          <w:szCs w:val="21"/>
          <w:highlight w:val="none"/>
        </w:rPr>
        <w:t>项目概况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bookmarkStart w:id="2" w:name="_Toc27265"/>
      <w:bookmarkStart w:id="3" w:name="_Toc276981150"/>
      <w:r>
        <w:rPr>
          <w:rFonts w:hint="eastAsia" w:ascii="宋体" w:hAnsi="宋体" w:cs="宋体"/>
          <w:bCs/>
          <w:color w:val="auto"/>
          <w:sz w:val="21"/>
          <w:szCs w:val="21"/>
          <w:highlight w:val="none"/>
        </w:rPr>
        <w:t>为保障检验检测园日常物业管理工作的高标准、高品质，提高管理效率，为保证外包单位服务质量，根据项目实际情况，对本项目做出以下简要要求：</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rPr>
        <w:t>1、合同采用</w:t>
      </w:r>
      <w:r>
        <w:rPr>
          <w:rFonts w:hint="eastAsia" w:ascii="宋体" w:hAnsi="宋体" w:cs="宋体"/>
          <w:bCs/>
          <w:color w:val="auto"/>
          <w:sz w:val="21"/>
          <w:szCs w:val="21"/>
          <w:highlight w:val="none"/>
          <w:lang w:val="en-US" w:eastAsia="zh-CN"/>
        </w:rPr>
        <w:t>固定单价合同</w:t>
      </w:r>
      <w:r>
        <w:rPr>
          <w:rFonts w:hint="eastAsia" w:ascii="宋体" w:hAnsi="宋体" w:cs="宋体"/>
          <w:bCs/>
          <w:color w:val="auto"/>
          <w:sz w:val="21"/>
          <w:szCs w:val="21"/>
          <w:highlight w:val="none"/>
        </w:rPr>
        <w:t>，包括人员（初中文化以上，20-</w:t>
      </w:r>
      <w:r>
        <w:rPr>
          <w:rFonts w:hint="eastAsia" w:ascii="宋体" w:hAnsi="宋体" w:cs="宋体"/>
          <w:bCs/>
          <w:color w:val="auto"/>
          <w:sz w:val="21"/>
          <w:szCs w:val="21"/>
          <w:highlight w:val="none"/>
          <w:lang w:val="en-US" w:eastAsia="zh-CN"/>
        </w:rPr>
        <w:t>35</w:t>
      </w:r>
      <w:r>
        <w:rPr>
          <w:rFonts w:hint="eastAsia" w:ascii="宋体" w:hAnsi="宋体" w:cs="宋体"/>
          <w:bCs/>
          <w:color w:val="auto"/>
          <w:sz w:val="21"/>
          <w:szCs w:val="21"/>
          <w:highlight w:val="none"/>
        </w:rPr>
        <w:t>岁以内，</w:t>
      </w:r>
      <w:r>
        <w:rPr>
          <w:rFonts w:hint="eastAsia" w:ascii="宋体" w:hAnsi="宋体" w:cs="宋体"/>
          <w:bCs/>
          <w:color w:val="auto"/>
          <w:sz w:val="21"/>
          <w:szCs w:val="21"/>
          <w:highlight w:val="none"/>
        </w:rPr>
        <w:t>身高不低于17</w:t>
      </w:r>
      <w:r>
        <w:rPr>
          <w:rFonts w:hint="eastAsia" w:ascii="宋体" w:hAnsi="宋体" w:cs="宋体"/>
          <w:bCs/>
          <w:color w:val="auto"/>
          <w:sz w:val="21"/>
          <w:szCs w:val="21"/>
          <w:highlight w:val="none"/>
          <w:lang w:val="en-US" w:eastAsia="zh-CN"/>
        </w:rPr>
        <w:t>0</w:t>
      </w:r>
      <w:r>
        <w:rPr>
          <w:rFonts w:hint="eastAsia" w:ascii="宋体" w:hAnsi="宋体" w:cs="宋体"/>
          <w:bCs/>
          <w:color w:val="auto"/>
          <w:sz w:val="21"/>
          <w:szCs w:val="21"/>
          <w:highlight w:val="none"/>
        </w:rPr>
        <w:t>cm</w:t>
      </w:r>
      <w:r>
        <w:rPr>
          <w:rFonts w:hint="eastAsia" w:ascii="宋体" w:hAnsi="宋体" w:cs="宋体"/>
          <w:bCs/>
          <w:color w:val="auto"/>
          <w:sz w:val="21"/>
          <w:szCs w:val="21"/>
          <w:highlight w:val="none"/>
        </w:rPr>
        <w:t>，身体健康，从事过安全保卫工作</w:t>
      </w:r>
      <w:r>
        <w:rPr>
          <w:rFonts w:hint="eastAsia" w:ascii="宋体" w:hAnsi="宋体" w:cs="宋体"/>
          <w:bCs/>
          <w:color w:val="auto"/>
          <w:sz w:val="21"/>
          <w:szCs w:val="21"/>
          <w:highlight w:val="none"/>
          <w:lang w:val="en-US" w:eastAsia="zh-CN"/>
        </w:rPr>
        <w:t>2</w:t>
      </w:r>
      <w:r>
        <w:rPr>
          <w:rFonts w:hint="eastAsia" w:ascii="宋体" w:hAnsi="宋体" w:cs="宋体"/>
          <w:bCs/>
          <w:color w:val="auto"/>
          <w:sz w:val="21"/>
          <w:szCs w:val="21"/>
          <w:highlight w:val="none"/>
        </w:rPr>
        <w:t>年以上，基本掌握一般性突发性治安事件的处理技巧。基本掌握消防设备设施的管理和使用知识，具有一定的沟通协调能力，以及文字和语言工作能力。责任心强，服从管理。具有退伍证或安全员上岗证。工具（强光手电筒、电警棍及其他器械均由外包公司自理）、保险、税费、管理成本等所有费用上限价为5200元/月/人（</w:t>
      </w:r>
      <w:r>
        <w:rPr>
          <w:rFonts w:hint="eastAsia" w:ascii="宋体" w:hAnsi="宋体" w:cs="宋体"/>
          <w:bCs/>
          <w:color w:val="auto"/>
          <w:sz w:val="21"/>
          <w:szCs w:val="21"/>
          <w:highlight w:val="none"/>
          <w:lang w:val="en-US" w:eastAsia="zh-CN"/>
        </w:rPr>
        <w:t>人员工资</w:t>
      </w:r>
      <w:r>
        <w:rPr>
          <w:rFonts w:hint="eastAsia" w:ascii="宋体" w:hAnsi="宋体" w:cs="宋体"/>
          <w:bCs/>
          <w:color w:val="auto"/>
          <w:sz w:val="21"/>
          <w:szCs w:val="21"/>
          <w:highlight w:val="none"/>
        </w:rPr>
        <w:t>包干制</w:t>
      </w:r>
      <w:r>
        <w:rPr>
          <w:rFonts w:hint="eastAsia" w:ascii="宋体" w:hAnsi="宋体" w:cs="宋体"/>
          <w:bCs/>
          <w:color w:val="auto"/>
          <w:sz w:val="21"/>
          <w:szCs w:val="21"/>
          <w:highlight w:val="none"/>
        </w:rPr>
        <w:t>，12小时制两班倒）。</w:t>
      </w:r>
      <w:r>
        <w:rPr>
          <w:rFonts w:hint="eastAsia" w:ascii="宋体" w:hAnsi="宋体" w:cs="宋体"/>
          <w:bCs/>
          <w:color w:val="auto"/>
          <w:sz w:val="21"/>
          <w:szCs w:val="21"/>
          <w:highlight w:val="none"/>
          <w:lang w:val="en-US" w:eastAsia="zh-CN"/>
        </w:rPr>
        <w:t>投标人</w:t>
      </w:r>
      <w:r>
        <w:rPr>
          <w:rFonts w:hint="eastAsia" w:ascii="宋体" w:hAnsi="宋体" w:eastAsia="宋体" w:cs="宋体"/>
          <w:color w:val="auto"/>
          <w:spacing w:val="0"/>
          <w:position w:val="0"/>
          <w:sz w:val="21"/>
          <w:szCs w:val="21"/>
        </w:rPr>
        <w:t>负责其派出</w:t>
      </w:r>
      <w:r>
        <w:rPr>
          <w:rFonts w:hint="eastAsia" w:ascii="宋体" w:hAnsi="宋体" w:cs="宋体"/>
          <w:color w:val="auto"/>
          <w:spacing w:val="0"/>
          <w:position w:val="0"/>
          <w:sz w:val="21"/>
          <w:szCs w:val="21"/>
          <w:lang w:val="en-US" w:eastAsia="zh-CN"/>
        </w:rPr>
        <w:t>服务人员</w:t>
      </w:r>
      <w:r>
        <w:rPr>
          <w:rFonts w:hint="eastAsia" w:ascii="宋体" w:hAnsi="宋体" w:eastAsia="宋体" w:cs="宋体"/>
          <w:color w:val="auto"/>
          <w:spacing w:val="0"/>
          <w:position w:val="0"/>
          <w:sz w:val="21"/>
          <w:szCs w:val="21"/>
        </w:rPr>
        <w:t>的人身意外保险</w:t>
      </w:r>
      <w:r>
        <w:rPr>
          <w:rFonts w:hint="eastAsia" w:ascii="宋体" w:hAnsi="宋体" w:cs="宋体"/>
          <w:color w:val="auto"/>
          <w:spacing w:val="0"/>
          <w:position w:val="0"/>
          <w:sz w:val="21"/>
          <w:szCs w:val="21"/>
          <w:lang w:eastAsia="zh-CN"/>
        </w:rPr>
        <w:t>，</w:t>
      </w:r>
      <w:r>
        <w:rPr>
          <w:rFonts w:hint="eastAsia" w:ascii="宋体" w:hAnsi="宋体" w:cs="宋体"/>
          <w:color w:val="auto"/>
          <w:spacing w:val="0"/>
          <w:position w:val="0"/>
          <w:sz w:val="21"/>
          <w:szCs w:val="21"/>
          <w:lang w:val="en-US" w:eastAsia="zh-CN"/>
        </w:rPr>
        <w:t>出现相关意外事故由投标人自行承担相关责任，</w:t>
      </w:r>
      <w:r>
        <w:rPr>
          <w:rFonts w:hint="eastAsia" w:ascii="宋体" w:hAnsi="宋体" w:eastAsia="宋体" w:cs="宋体"/>
          <w:bCs/>
          <w:color w:val="auto"/>
          <w:sz w:val="21"/>
          <w:szCs w:val="21"/>
        </w:rPr>
        <w:t>承担用工风险并负责处理用工纠纷</w:t>
      </w:r>
      <w:r>
        <w:rPr>
          <w:rFonts w:hint="eastAsia" w:ascii="宋体" w:hAnsi="宋体" w:cs="宋体"/>
          <w:color w:val="auto"/>
          <w:spacing w:val="0"/>
          <w:position w:val="0"/>
          <w:sz w:val="21"/>
          <w:szCs w:val="21"/>
          <w:lang w:val="en-US" w:eastAsia="zh-CN"/>
        </w:rPr>
        <w:t>。</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w:t>
      </w:r>
      <w:r>
        <w:rPr>
          <w:rFonts w:hint="eastAsia" w:ascii="宋体" w:hAnsi="宋体" w:cs="宋体"/>
          <w:bCs/>
          <w:color w:val="auto"/>
          <w:sz w:val="21"/>
          <w:szCs w:val="21"/>
          <w:highlight w:val="none"/>
        </w:rPr>
        <w:t>合同签订期限为合同签订之日起一年，合同人数</w:t>
      </w:r>
      <w:r>
        <w:rPr>
          <w:rFonts w:hint="eastAsia" w:ascii="宋体" w:hAnsi="宋体" w:cs="宋体"/>
          <w:bCs/>
          <w:color w:val="auto"/>
          <w:sz w:val="21"/>
          <w:szCs w:val="21"/>
          <w:highlight w:val="none"/>
          <w:lang w:eastAsia="zh-CN"/>
        </w:rPr>
        <w:t>暂定</w:t>
      </w:r>
      <w:r>
        <w:rPr>
          <w:rFonts w:hint="eastAsia" w:ascii="宋体" w:hAnsi="宋体" w:cs="宋体"/>
          <w:bCs/>
          <w:color w:val="auto"/>
          <w:sz w:val="21"/>
          <w:szCs w:val="21"/>
          <w:highlight w:val="none"/>
        </w:rPr>
        <w:t>为</w:t>
      </w:r>
      <w:r>
        <w:rPr>
          <w:rFonts w:hint="eastAsia" w:ascii="宋体" w:hAnsi="宋体" w:cs="宋体"/>
          <w:bCs/>
          <w:color w:val="auto"/>
          <w:sz w:val="21"/>
          <w:szCs w:val="21"/>
          <w:highlight w:val="none"/>
          <w:lang w:val="en-US" w:eastAsia="zh-CN"/>
        </w:rPr>
        <w:t>30</w:t>
      </w:r>
      <w:r>
        <w:rPr>
          <w:rFonts w:hint="eastAsia" w:ascii="宋体" w:hAnsi="宋体" w:cs="宋体"/>
          <w:bCs/>
          <w:color w:val="auto"/>
          <w:sz w:val="21"/>
          <w:szCs w:val="21"/>
          <w:highlight w:val="none"/>
        </w:rPr>
        <w:t>，具体人数根据项目需求以及实际到岗人数为准。</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3、服务上限费用预计：</w:t>
      </w:r>
      <w:r>
        <w:rPr>
          <w:rFonts w:hint="eastAsia" w:ascii="宋体" w:hAnsi="宋体" w:cs="宋体"/>
          <w:bCs/>
          <w:color w:val="auto"/>
          <w:sz w:val="21"/>
          <w:szCs w:val="21"/>
          <w:highlight w:val="none"/>
          <w:lang w:val="en-US" w:eastAsia="zh-CN"/>
        </w:rPr>
        <w:t>30</w:t>
      </w:r>
      <w:r>
        <w:rPr>
          <w:rFonts w:hint="eastAsia" w:ascii="宋体" w:hAnsi="宋体" w:cs="宋体"/>
          <w:bCs/>
          <w:color w:val="auto"/>
          <w:sz w:val="21"/>
          <w:szCs w:val="21"/>
          <w:highlight w:val="none"/>
        </w:rPr>
        <w:t>人*12个月*5200元/人=</w:t>
      </w:r>
      <w:r>
        <w:rPr>
          <w:rFonts w:hint="eastAsia" w:ascii="宋体" w:hAnsi="宋体" w:cs="宋体"/>
          <w:bCs/>
          <w:color w:val="auto"/>
          <w:sz w:val="21"/>
          <w:szCs w:val="21"/>
          <w:highlight w:val="none"/>
          <w:lang w:val="en-US" w:eastAsia="zh-CN"/>
        </w:rPr>
        <w:t>1872000</w:t>
      </w:r>
      <w:r>
        <w:rPr>
          <w:rFonts w:hint="eastAsia" w:ascii="宋体" w:hAnsi="宋体" w:cs="宋体"/>
          <w:bCs/>
          <w:color w:val="auto"/>
          <w:sz w:val="21"/>
          <w:szCs w:val="21"/>
          <w:highlight w:val="none"/>
        </w:rPr>
        <w:t>元。</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费用说明： </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（1）预算为包干制，该费用包括但不限于所需的人员薪资福利、工作服装、服务工具、设施设备以及税金、利润、管理成本等费用；</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w:t>
      </w:r>
      <w:r>
        <w:rPr>
          <w:rFonts w:hint="eastAsia" w:ascii="宋体" w:hAnsi="宋体" w:cs="宋体"/>
          <w:bCs/>
          <w:color w:val="auto"/>
          <w:sz w:val="21"/>
          <w:szCs w:val="21"/>
          <w:highlight w:val="none"/>
        </w:rPr>
        <w:t>外包服务费用根据实际到岗人数，由项目服务中心每月根据服务质量考核标准，综合评估后按月支付。考核标准详见第三点，“项目具体实施要求”。</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（3）</w:t>
      </w:r>
      <w:r>
        <w:rPr>
          <w:rFonts w:hint="eastAsia" w:ascii="宋体" w:hAnsi="宋体" w:cs="宋体"/>
          <w:b w:val="0"/>
          <w:bCs/>
          <w:color w:val="auto"/>
          <w:sz w:val="21"/>
          <w:szCs w:val="21"/>
          <w:highlight w:val="none"/>
          <w:lang w:eastAsia="zh-CN"/>
        </w:rPr>
        <w:t>保安人员当月工作</w:t>
      </w:r>
      <w:r>
        <w:rPr>
          <w:rFonts w:hint="eastAsia" w:ascii="宋体" w:hAnsi="宋体" w:cs="宋体"/>
          <w:b w:val="0"/>
          <w:bCs/>
          <w:color w:val="auto"/>
          <w:sz w:val="21"/>
          <w:szCs w:val="21"/>
          <w:highlight w:val="none"/>
        </w:rPr>
        <w:t>时间不足</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天的，不结算工资；</w:t>
      </w:r>
      <w:r>
        <w:rPr>
          <w:rFonts w:hint="eastAsia" w:ascii="宋体" w:hAnsi="宋体" w:cs="宋体"/>
          <w:b w:val="0"/>
          <w:bCs/>
          <w:color w:val="auto"/>
          <w:sz w:val="21"/>
          <w:szCs w:val="21"/>
          <w:highlight w:val="none"/>
          <w:lang w:eastAsia="zh-CN"/>
        </w:rPr>
        <w:t>工作</w:t>
      </w:r>
      <w:r>
        <w:rPr>
          <w:rFonts w:hint="eastAsia" w:ascii="宋体" w:hAnsi="宋体" w:cs="宋体"/>
          <w:b w:val="0"/>
          <w:bCs/>
          <w:color w:val="auto"/>
          <w:sz w:val="21"/>
          <w:szCs w:val="21"/>
          <w:highlight w:val="none"/>
        </w:rPr>
        <w:t>时间</w:t>
      </w:r>
      <w:r>
        <w:rPr>
          <w:rFonts w:hint="eastAsia" w:ascii="宋体" w:hAnsi="宋体" w:cs="宋体"/>
          <w:b w:val="0"/>
          <w:bCs/>
          <w:color w:val="auto"/>
          <w:sz w:val="21"/>
          <w:szCs w:val="21"/>
          <w:highlight w:val="none"/>
          <w:lang w:eastAsia="zh-CN"/>
        </w:rPr>
        <w:t>大于</w:t>
      </w:r>
      <w:r>
        <w:rPr>
          <w:rFonts w:hint="eastAsia" w:ascii="宋体" w:hAnsi="宋体" w:cs="宋体"/>
          <w:b w:val="0"/>
          <w:bCs/>
          <w:color w:val="auto"/>
          <w:sz w:val="21"/>
          <w:szCs w:val="21"/>
          <w:highlight w:val="none"/>
          <w:lang w:val="en-US" w:eastAsia="zh-CN"/>
        </w:rPr>
        <w:t>3天</w:t>
      </w:r>
      <w:r>
        <w:rPr>
          <w:rFonts w:hint="eastAsia" w:ascii="宋体" w:hAnsi="宋体" w:cs="宋体"/>
          <w:b w:val="0"/>
          <w:bCs/>
          <w:color w:val="auto"/>
          <w:sz w:val="21"/>
          <w:szCs w:val="21"/>
          <w:highlight w:val="none"/>
        </w:rPr>
        <w:t>不足一月</w:t>
      </w:r>
      <w:r>
        <w:rPr>
          <w:rFonts w:hint="eastAsia" w:ascii="宋体" w:hAnsi="宋体" w:cs="宋体"/>
          <w:b w:val="0"/>
          <w:bCs/>
          <w:color w:val="auto"/>
          <w:sz w:val="21"/>
          <w:szCs w:val="21"/>
          <w:highlight w:val="none"/>
          <w:lang w:eastAsia="zh-CN"/>
        </w:rPr>
        <w:t>时</w:t>
      </w:r>
      <w:r>
        <w:rPr>
          <w:rFonts w:hint="eastAsia" w:ascii="宋体" w:hAnsi="宋体" w:cs="宋体"/>
          <w:b w:val="0"/>
          <w:bCs/>
          <w:color w:val="auto"/>
          <w:sz w:val="21"/>
          <w:szCs w:val="21"/>
          <w:highlight w:val="none"/>
        </w:rPr>
        <w:t>，按日平均工资折算计费</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每月工作日为26日</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rPr>
        <w:t>。</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eastAsia="zh-CN"/>
        </w:rPr>
        <w:t>）</w:t>
      </w:r>
      <w:r>
        <w:rPr>
          <w:rFonts w:hint="eastAsia" w:ascii="宋体" w:hAnsi="宋体" w:cs="宋体"/>
          <w:bCs/>
          <w:color w:val="auto"/>
          <w:sz w:val="21"/>
          <w:szCs w:val="21"/>
          <w:highlight w:val="none"/>
        </w:rPr>
        <w:t>合同期限内</w:t>
      </w:r>
      <w:r>
        <w:rPr>
          <w:rFonts w:hint="eastAsia" w:ascii="宋体" w:hAnsi="宋体" w:cs="宋体"/>
          <w:bCs/>
          <w:color w:val="auto"/>
          <w:sz w:val="21"/>
          <w:szCs w:val="21"/>
          <w:highlight w:val="none"/>
          <w:lang w:val="en-US" w:eastAsia="zh-CN"/>
        </w:rPr>
        <w:t>每月前15个工作日内支付上个月服务费用</w:t>
      </w:r>
      <w:r>
        <w:rPr>
          <w:rFonts w:hint="eastAsia" w:ascii="宋体" w:hAnsi="宋体" w:cs="宋体"/>
          <w:bCs/>
          <w:color w:val="auto"/>
          <w:sz w:val="21"/>
          <w:szCs w:val="21"/>
          <w:highlight w:val="none"/>
        </w:rPr>
        <w:t>。</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4、技术要求</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（1）保安服务总费用组成明细表（人员薪资福利、服装、工具、设备设施、管理费、利润、税金等）；</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（2）岗位职责和岗位要求；</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（3）人力资源管理、人员招聘计划、年度培训计划表；</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（4）团队稳定具体措施、品质服务标准；</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（5）项目管理者、现场负责人、持消防员上岗证、保安员证、安全员证等主要人员的简介；</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（6）安全秩序管理服务的项目、标准、承诺指标及采取措施；</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（7）本项目重大活动和节假日安全秩序维护管理方案；</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（8）突发事件应急预案、演习方案（防汛、消防及其他）；</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（9）未达到服务质量标准愿意接受的经济惩罚；</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（10）本项目安全管理服务进驻和撤出计划实施方案。</w:t>
      </w:r>
    </w:p>
    <w:bookmarkEnd w:id="2"/>
    <w:bookmarkEnd w:id="3"/>
    <w:p>
      <w:pPr>
        <w:pStyle w:val="2"/>
        <w:jc w:val="center"/>
        <w:rPr>
          <w:rFonts w:hint="eastAsia" w:ascii="宋体" w:hAnsi="宋体" w:cs="宋体"/>
          <w:b/>
          <w:color w:val="auto"/>
          <w:sz w:val="21"/>
          <w:szCs w:val="21"/>
          <w:highlight w:val="none"/>
        </w:rPr>
      </w:pPr>
    </w:p>
    <w:p>
      <w:pPr>
        <w:rPr>
          <w:rFonts w:hint="eastAsia" w:ascii="宋体" w:hAnsi="宋体"/>
          <w:b/>
          <w:color w:val="auto"/>
          <w:sz w:val="21"/>
          <w:szCs w:val="21"/>
          <w:highlight w:val="none"/>
        </w:rPr>
      </w:pPr>
      <w:r>
        <w:rPr>
          <w:rFonts w:hint="eastAsia" w:ascii="宋体" w:hAnsi="宋体"/>
          <w:b/>
          <w:color w:val="auto"/>
          <w:sz w:val="21"/>
          <w:szCs w:val="21"/>
          <w:highlight w:val="none"/>
        </w:rPr>
        <w:br w:type="page"/>
      </w:r>
    </w:p>
    <w:p>
      <w:pPr>
        <w:rPr>
          <w:rFonts w:hint="eastAsia" w:ascii="宋体" w:hAnsi="宋体"/>
          <w:b/>
          <w:color w:val="auto"/>
          <w:sz w:val="21"/>
          <w:szCs w:val="21"/>
          <w:highlight w:val="none"/>
        </w:rPr>
        <w:sectPr>
          <w:headerReference r:id="rId15" w:type="default"/>
          <w:footerReference r:id="rId16" w:type="default"/>
          <w:pgSz w:w="11906" w:h="16838"/>
          <w:pgMar w:top="726" w:right="1247" w:bottom="1077" w:left="1247" w:header="851" w:footer="907" w:gutter="0"/>
          <w:pgNumType w:fmt="decimal"/>
          <w:cols w:space="720" w:num="1"/>
          <w:docGrid w:linePitch="312" w:charSpace="0"/>
        </w:sectPr>
      </w:pPr>
    </w:p>
    <w:p>
      <w:pPr>
        <w:numPr>
          <w:ilvl w:val="0"/>
          <w:numId w:val="4"/>
        </w:numPr>
        <w:jc w:val="both"/>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项目具体实施要求</w:t>
      </w:r>
    </w:p>
    <w:p>
      <w:pPr>
        <w:numPr>
          <w:ilvl w:val="0"/>
          <w:numId w:val="0"/>
        </w:numPr>
        <w:ind w:firstLine="5060" w:firstLineChars="2400"/>
        <w:jc w:val="both"/>
        <w:rPr>
          <w:rFonts w:ascii="宋体" w:hAnsi="宋体" w:cs="宋体"/>
          <w:color w:val="auto"/>
          <w:sz w:val="21"/>
          <w:szCs w:val="21"/>
          <w:highlight w:val="none"/>
        </w:rPr>
      </w:pPr>
      <w:r>
        <w:rPr>
          <w:rFonts w:hint="eastAsia" w:ascii="宋体" w:hAnsi="宋体" w:eastAsia="宋体" w:cs="宋体"/>
          <w:b/>
          <w:bCs/>
          <w:color w:val="auto"/>
          <w:sz w:val="21"/>
          <w:szCs w:val="21"/>
          <w:highlight w:val="none"/>
        </w:rPr>
        <w:t>外包服务合同服务质量及人员考核标准（保安类）</w:t>
      </w:r>
    </w:p>
    <w:tbl>
      <w:tblPr>
        <w:tblStyle w:val="41"/>
        <w:tblpPr w:leftFromText="180" w:rightFromText="180" w:vertAnchor="page" w:horzAnchor="margin" w:tblpY="2378"/>
        <w:tblW w:w="15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440"/>
        <w:gridCol w:w="1215"/>
        <w:gridCol w:w="1230"/>
        <w:gridCol w:w="1155"/>
        <w:gridCol w:w="1005"/>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8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6045" w:type="dxa"/>
            <w:gridSpan w:val="5"/>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服务质量考核标准</w:t>
            </w:r>
          </w:p>
        </w:tc>
        <w:tc>
          <w:tcPr>
            <w:tcW w:w="856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5" w:type="dxa"/>
            <w:vMerge w:val="continue"/>
            <w:vAlign w:val="center"/>
          </w:tcPr>
          <w:p>
            <w:pPr>
              <w:jc w:val="center"/>
              <w:rPr>
                <w:rFonts w:ascii="宋体" w:hAnsi="宋体" w:cs="宋体"/>
                <w:color w:val="auto"/>
                <w:sz w:val="21"/>
                <w:szCs w:val="21"/>
                <w:highlight w:val="none"/>
              </w:rPr>
            </w:pPr>
          </w:p>
        </w:tc>
        <w:tc>
          <w:tcPr>
            <w:tcW w:w="1440"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rPr>
              <w:t>a级）</w:t>
            </w:r>
          </w:p>
        </w:tc>
        <w:tc>
          <w:tcPr>
            <w:tcW w:w="4605" w:type="dxa"/>
            <w:gridSpan w:val="4"/>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856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人员到岗及时性\人员稳定性\缺编考核标准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5" w:type="dxa"/>
            <w:vMerge w:val="continue"/>
            <w:vAlign w:val="center"/>
          </w:tcPr>
          <w:p>
            <w:pPr>
              <w:jc w:val="center"/>
              <w:rPr>
                <w:rFonts w:ascii="宋体" w:hAnsi="宋体" w:cs="宋体"/>
                <w:color w:val="auto"/>
                <w:sz w:val="21"/>
                <w:szCs w:val="21"/>
                <w:highlight w:val="none"/>
              </w:rPr>
            </w:pPr>
          </w:p>
        </w:tc>
        <w:tc>
          <w:tcPr>
            <w:tcW w:w="1440" w:type="dxa"/>
            <w:vMerge w:val="continue"/>
            <w:vAlign w:val="center"/>
          </w:tcPr>
          <w:p>
            <w:pPr>
              <w:jc w:val="center"/>
              <w:rPr>
                <w:rFonts w:ascii="宋体" w:hAnsi="宋体" w:cs="宋体"/>
                <w:color w:val="auto"/>
                <w:sz w:val="21"/>
                <w:szCs w:val="21"/>
                <w:highlight w:val="none"/>
              </w:rPr>
            </w:pPr>
          </w:p>
        </w:tc>
        <w:tc>
          <w:tcPr>
            <w:tcW w:w="121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30"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80分以上85分（含）以下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115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00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年累计不合格两次</w:t>
            </w:r>
          </w:p>
        </w:tc>
        <w:tc>
          <w:tcPr>
            <w:tcW w:w="8565" w:type="dxa"/>
            <w:vMerge w:val="continue"/>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85" w:type="dxa"/>
            <w:vMerge w:val="continue"/>
            <w:vAlign w:val="center"/>
          </w:tcPr>
          <w:p>
            <w:pPr>
              <w:jc w:val="center"/>
              <w:rPr>
                <w:rFonts w:ascii="宋体" w:hAnsi="宋体" w:cs="宋体"/>
                <w:color w:val="auto"/>
                <w:sz w:val="21"/>
                <w:szCs w:val="21"/>
                <w:highlight w:val="none"/>
              </w:rPr>
            </w:pPr>
          </w:p>
        </w:tc>
        <w:tc>
          <w:tcPr>
            <w:tcW w:w="1440" w:type="dxa"/>
            <w:vMerge w:val="continue"/>
            <w:vAlign w:val="center"/>
          </w:tcPr>
          <w:p>
            <w:pPr>
              <w:jc w:val="center"/>
              <w:rPr>
                <w:rFonts w:ascii="宋体" w:hAnsi="宋体" w:cs="宋体"/>
                <w:color w:val="auto"/>
                <w:sz w:val="21"/>
                <w:szCs w:val="21"/>
                <w:highlight w:val="none"/>
              </w:rPr>
            </w:pPr>
          </w:p>
        </w:tc>
        <w:tc>
          <w:tcPr>
            <w:tcW w:w="1215" w:type="dxa"/>
            <w:vMerge w:val="continue"/>
            <w:vAlign w:val="center"/>
          </w:tcPr>
          <w:p>
            <w:pPr>
              <w:jc w:val="center"/>
              <w:rPr>
                <w:rFonts w:ascii="宋体" w:hAnsi="宋体" w:cs="宋体"/>
                <w:color w:val="auto"/>
                <w:sz w:val="21"/>
                <w:szCs w:val="21"/>
                <w:highlight w:val="none"/>
              </w:rPr>
            </w:pPr>
          </w:p>
        </w:tc>
        <w:tc>
          <w:tcPr>
            <w:tcW w:w="1230" w:type="dxa"/>
            <w:vMerge w:val="continue"/>
            <w:vAlign w:val="center"/>
          </w:tcPr>
          <w:p>
            <w:pPr>
              <w:jc w:val="center"/>
              <w:rPr>
                <w:rFonts w:ascii="宋体" w:hAnsi="宋体" w:cs="宋体"/>
                <w:color w:val="auto"/>
                <w:sz w:val="21"/>
                <w:szCs w:val="21"/>
                <w:highlight w:val="none"/>
              </w:rPr>
            </w:pPr>
          </w:p>
        </w:tc>
        <w:tc>
          <w:tcPr>
            <w:tcW w:w="1155" w:type="dxa"/>
            <w:vMerge w:val="continue"/>
            <w:vAlign w:val="center"/>
          </w:tcPr>
          <w:p>
            <w:pPr>
              <w:jc w:val="center"/>
              <w:rPr>
                <w:rFonts w:ascii="宋体" w:hAnsi="宋体" w:cs="宋体"/>
                <w:color w:val="auto"/>
                <w:sz w:val="21"/>
                <w:szCs w:val="21"/>
                <w:highlight w:val="none"/>
              </w:rPr>
            </w:pPr>
          </w:p>
        </w:tc>
        <w:tc>
          <w:tcPr>
            <w:tcW w:w="1005" w:type="dxa"/>
            <w:vMerge w:val="continue"/>
            <w:vAlign w:val="center"/>
          </w:tcPr>
          <w:p>
            <w:pPr>
              <w:jc w:val="center"/>
              <w:rPr>
                <w:rFonts w:ascii="宋体" w:hAnsi="宋体" w:cs="宋体"/>
                <w:color w:val="auto"/>
                <w:sz w:val="21"/>
                <w:szCs w:val="21"/>
                <w:highlight w:val="none"/>
              </w:rPr>
            </w:pPr>
          </w:p>
        </w:tc>
        <w:tc>
          <w:tcPr>
            <w:tcW w:w="8565" w:type="dxa"/>
            <w:vMerge w:val="restart"/>
            <w:vAlign w:val="center"/>
          </w:tcPr>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ind w:firstLine="315" w:firstLineChars="150"/>
              <w:jc w:val="left"/>
              <w:rPr>
                <w:rFonts w:ascii="宋体" w:hAnsi="宋体" w:cs="宋体"/>
                <w:color w:val="auto"/>
                <w:sz w:val="21"/>
                <w:szCs w:val="21"/>
                <w:highlight w:val="none"/>
              </w:rPr>
            </w:pPr>
            <w:r>
              <w:rPr>
                <w:rFonts w:hint="eastAsia" w:ascii="宋体" w:hAnsi="宋体" w:cs="宋体"/>
                <w:color w:val="auto"/>
                <w:sz w:val="21"/>
                <w:szCs w:val="21"/>
                <w:highlight w:val="none"/>
              </w:rPr>
              <w:t>3.若当月服务质量考核标准达到合格（a级）分数线，且人员满编率达到于100%，按实结算。</w:t>
            </w:r>
          </w:p>
          <w:p>
            <w:pPr>
              <w:ind w:firstLine="315" w:firstLineChars="150"/>
              <w:jc w:val="left"/>
              <w:rPr>
                <w:rFonts w:ascii="宋体" w:hAnsi="宋体" w:cs="宋体"/>
                <w:color w:val="auto"/>
                <w:sz w:val="21"/>
                <w:szCs w:val="21"/>
                <w:highlight w:val="none"/>
              </w:rPr>
            </w:pPr>
            <w:r>
              <w:rPr>
                <w:rFonts w:hint="eastAsia" w:ascii="宋体" w:hAnsi="宋体" w:cs="宋体"/>
                <w:color w:val="auto"/>
                <w:sz w:val="21"/>
                <w:szCs w:val="21"/>
                <w:highlight w:val="none"/>
              </w:rPr>
              <w:t>4.若当月服务质量考核标准达到合格（a级）分数线，人员满编率在90%以上（含）-100%以下，月度实付款总额=月度应付款总额-人员满编率扣除费用*100%。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w:t>
            </w:r>
            <m:oMath>
              <m:r>
                <m:rPr>
                  <m:sty m:val="p"/>
                </m:rPr>
                <w:rPr>
                  <w:rFonts w:hint="eastAsia" w:ascii="Cambria Math" w:hAnsi="Cambria Math" w:eastAsia="仿宋_GB2312"/>
                  <w:color w:val="auto"/>
                  <w:sz w:val="18"/>
                  <w:szCs w:val="18"/>
                  <w:highlight w:val="none"/>
                </w:rPr>
                <m:t>人员满编率</m:t>
              </m:r>
              <m:r>
                <m:rPr>
                  <m:sty m:val="p"/>
                </m:rPr>
                <w:rPr>
                  <w:rFonts w:ascii="Cambria Math" w:hAnsi="Cambria Math" w:eastAsia="仿宋_GB2312"/>
                  <w:color w:val="auto"/>
                  <w:sz w:val="18"/>
                  <w:szCs w:val="18"/>
                  <w:highlight w:val="none"/>
                </w:rPr>
                <m:t>扣除费用=缺编人数</m:t>
              </m:r>
              <m:r>
                <m:rPr>
                  <m:sty m:val="p"/>
                </m:rPr>
                <w:rPr>
                  <w:rFonts w:hint="eastAsia" w:ascii="仿宋_GB2312" w:hAnsi="仿宋" w:eastAsia="仿宋_GB2312"/>
                  <w:color w:val="auto"/>
                  <w:sz w:val="18"/>
                  <w:szCs w:val="18"/>
                  <w:highlight w:val="none"/>
                </w:rPr>
                <m:t>∗</m:t>
              </m:r>
              <m:r>
                <m:rPr>
                  <m:sty m:val="p"/>
                </m:rPr>
                <w:rPr>
                  <w:rFonts w:ascii="Cambria Math" w:hAnsi="仿宋" w:eastAsia="仿宋_GB2312"/>
                  <w:color w:val="auto"/>
                  <w:sz w:val="18"/>
                  <w:szCs w:val="18"/>
                  <w:highlight w:val="none"/>
                </w:rPr>
                <m:t>缺编</m:t>
              </m:r>
              <m:r>
                <m:rPr>
                  <m:sty m:val="p"/>
                </m:rPr>
                <w:rPr>
                  <w:rFonts w:hint="eastAsia" w:ascii="Cambria Math" w:hAnsi="Cambria Math" w:eastAsia="仿宋_GB2312"/>
                  <w:color w:val="auto"/>
                  <w:sz w:val="18"/>
                  <w:szCs w:val="18"/>
                  <w:highlight w:val="none"/>
                </w:rPr>
                <m:t>天</m:t>
              </m:r>
              <m:r>
                <m:rPr>
                  <m:sty m:val="p"/>
                </m:rPr>
                <w:rPr>
                  <w:rFonts w:ascii="Cambria Math" w:hAnsi="Cambria Math" w:eastAsia="仿宋_GB2312"/>
                  <w:color w:val="auto"/>
                  <w:sz w:val="18"/>
                  <w:szCs w:val="18"/>
                  <w:highlight w:val="none"/>
                </w:rPr>
                <m:t>数</m:t>
              </m:r>
              <m:r>
                <m:rPr>
                  <m:sty m:val="p"/>
                </m:rPr>
                <w:rPr>
                  <w:rFonts w:hint="eastAsia" w:ascii="仿宋_GB2312" w:hAnsi="仿宋" w:eastAsia="仿宋_GB2312"/>
                  <w:color w:val="auto"/>
                  <w:sz w:val="18"/>
                  <w:szCs w:val="18"/>
                  <w:highlight w:val="none"/>
                </w:rPr>
                <m:t>∗</m:t>
              </m:r>
              <m:f>
                <m:fPr>
                  <m:ctrlPr>
                    <w:rPr>
                      <w:rFonts w:ascii="Cambria Math" w:hAnsi="Cambria Math" w:eastAsia="仿宋_GB2312"/>
                      <w:color w:val="auto"/>
                      <w:sz w:val="18"/>
                      <w:szCs w:val="18"/>
                      <w:highlight w:val="none"/>
                    </w:rPr>
                  </m:ctrlPr>
                </m:fPr>
                <m:num>
                  <m:r>
                    <m:rPr>
                      <m:sty m:val="p"/>
                    </m:rPr>
                    <w:rPr>
                      <w:rFonts w:ascii="Cambria Math" w:hAnsi="Cambria Math" w:eastAsia="仿宋_GB2312"/>
                      <w:color w:val="auto"/>
                      <w:sz w:val="18"/>
                      <w:szCs w:val="18"/>
                      <w:highlight w:val="none"/>
                    </w:rPr>
                    <m:t>人员单价</m:t>
                  </m:r>
                  <m:ctrlPr>
                    <w:rPr>
                      <w:rFonts w:ascii="Cambria Math" w:hAnsi="Cambria Math" w:eastAsia="仿宋_GB2312"/>
                      <w:color w:val="auto"/>
                      <w:sz w:val="18"/>
                      <w:szCs w:val="18"/>
                      <w:highlight w:val="none"/>
                    </w:rPr>
                  </m:ctrlPr>
                </m:num>
                <m:den>
                  <m:r>
                    <m:rPr>
                      <m:sty m:val="p"/>
                    </m:rPr>
                    <w:rPr>
                      <w:rFonts w:hint="eastAsia" w:ascii="Cambria Math" w:hAnsi="Cambria Math" w:eastAsia="仿宋_GB2312"/>
                      <w:color w:val="auto"/>
                      <w:sz w:val="18"/>
                      <w:szCs w:val="18"/>
                      <w:highlight w:val="none"/>
                    </w:rPr>
                    <m:t>26天</m:t>
                  </m:r>
                  <m:ctrlPr>
                    <w:rPr>
                      <w:rFonts w:ascii="Cambria Math" w:hAnsi="Cambria Math" w:eastAsia="仿宋_GB2312"/>
                      <w:color w:val="auto"/>
                      <w:sz w:val="18"/>
                      <w:szCs w:val="18"/>
                      <w:highlight w:val="none"/>
                    </w:rPr>
                  </m:ctrlPr>
                </m:den>
              </m:f>
            </m:oMath>
            <w:r>
              <w:rPr>
                <w:rFonts w:hint="eastAsia" w:ascii="宋体" w:hAnsi="宋体" w:cs="宋体"/>
                <w:color w:val="auto"/>
                <w:sz w:val="21"/>
                <w:szCs w:val="21"/>
                <w:highlight w:val="none"/>
              </w:rPr>
              <w:t xml:space="preserve"> ，下同)</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5.当月服务质量考核标准达到合格（a级）分数线，人员满编率在90%以下，月度实付款总额=月度应付款总额-人员满编率扣除费用*200%。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6.当月服务质量考核标准为不合格（b、c、d级）分数线，人员满编率90%以上（含）-100%以下，月度实付款总额=月度应付款总额-服务质量考核扣除费用-人员满编率扣除费用*200%。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7.当月服务质量考核标准为不合格（b、c、d级）分数线，人员满编率90%以下，月度实付款总额=月度应付款总额-服务质量考核扣除费用-人员满编率扣除费用*300%。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18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住宅类</w:t>
            </w:r>
          </w:p>
        </w:tc>
        <w:tc>
          <w:tcPr>
            <w:tcW w:w="144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90分（含）以上（业主单位对甲方有考核要求的，以业主单位考核分值为准）</w:t>
            </w:r>
          </w:p>
        </w:tc>
        <w:tc>
          <w:tcPr>
            <w:tcW w:w="121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30"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115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00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8565" w:type="dxa"/>
            <w:vMerge w:val="continue"/>
            <w:vAlign w:val="center"/>
          </w:tcPr>
          <w:p>
            <w:pPr>
              <w:ind w:firstLine="420" w:firstLineChars="200"/>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8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1440"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rPr>
              <w:t>a级）</w:t>
            </w:r>
          </w:p>
        </w:tc>
        <w:tc>
          <w:tcPr>
            <w:tcW w:w="4605" w:type="dxa"/>
            <w:gridSpan w:val="4"/>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8565" w:type="dxa"/>
            <w:vMerge w:val="continue"/>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185" w:type="dxa"/>
            <w:vMerge w:val="continue"/>
            <w:vAlign w:val="center"/>
          </w:tcPr>
          <w:p>
            <w:pPr>
              <w:jc w:val="center"/>
              <w:rPr>
                <w:rFonts w:ascii="宋体" w:hAnsi="宋体" w:cs="宋体"/>
                <w:color w:val="auto"/>
                <w:sz w:val="21"/>
                <w:szCs w:val="21"/>
                <w:highlight w:val="none"/>
              </w:rPr>
            </w:pPr>
          </w:p>
        </w:tc>
        <w:tc>
          <w:tcPr>
            <w:tcW w:w="1440" w:type="dxa"/>
            <w:vMerge w:val="continue"/>
            <w:vAlign w:val="center"/>
          </w:tcPr>
          <w:p>
            <w:pPr>
              <w:jc w:val="center"/>
              <w:rPr>
                <w:rFonts w:ascii="宋体" w:hAnsi="宋体" w:cs="宋体"/>
                <w:color w:val="auto"/>
                <w:sz w:val="21"/>
                <w:szCs w:val="21"/>
                <w:highlight w:val="none"/>
              </w:rPr>
            </w:pPr>
          </w:p>
        </w:tc>
        <w:tc>
          <w:tcPr>
            <w:tcW w:w="121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90分以上95分以下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30"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115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00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年累计不合格两次</w:t>
            </w:r>
          </w:p>
        </w:tc>
        <w:tc>
          <w:tcPr>
            <w:tcW w:w="8565" w:type="dxa"/>
            <w:vMerge w:val="continue"/>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18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景区/场馆/市政道路/写字楼/其他类</w:t>
            </w:r>
          </w:p>
        </w:tc>
        <w:tc>
          <w:tcPr>
            <w:tcW w:w="144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95分（含）以上（业主单位对甲方有考核要求的，以业主单位考核分值为准）</w:t>
            </w:r>
          </w:p>
        </w:tc>
        <w:tc>
          <w:tcPr>
            <w:tcW w:w="121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30"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115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00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8565" w:type="dxa"/>
            <w:vMerge w:val="continue"/>
            <w:vAlign w:val="center"/>
          </w:tcPr>
          <w:p>
            <w:pPr>
              <w:jc w:val="left"/>
              <w:rPr>
                <w:rFonts w:ascii="宋体" w:hAnsi="宋体" w:cs="宋体"/>
                <w:color w:val="auto"/>
                <w:sz w:val="21"/>
                <w:szCs w:val="21"/>
                <w:highlight w:val="none"/>
              </w:rPr>
            </w:pPr>
          </w:p>
        </w:tc>
      </w:tr>
    </w:tbl>
    <w:p>
      <w:pPr>
        <w:pStyle w:val="40"/>
        <w:ind w:left="560"/>
        <w:rPr>
          <w:color w:val="auto"/>
          <w:highlight w:val="none"/>
        </w:rPr>
      </w:pPr>
    </w:p>
    <w:p>
      <w:pPr>
        <w:pStyle w:val="40"/>
        <w:ind w:left="560"/>
        <w:rPr>
          <w:color w:val="auto"/>
          <w:highlight w:val="none"/>
        </w:rPr>
        <w:sectPr>
          <w:pgSz w:w="16838" w:h="11906" w:orient="landscape"/>
          <w:pgMar w:top="1247" w:right="1077" w:bottom="1247" w:left="726" w:header="851" w:footer="907" w:gutter="0"/>
          <w:pgNumType w:fmt="decimal"/>
          <w:cols w:space="720" w:num="1"/>
          <w:docGrid w:linePitch="312" w:charSpace="0"/>
        </w:sectPr>
      </w:pPr>
    </w:p>
    <w:p>
      <w:pPr>
        <w:pStyle w:val="2"/>
        <w:spacing w:before="120" w:beforeLines="50"/>
        <w:jc w:val="center"/>
        <w:rPr>
          <w:rFonts w:ascii="宋体" w:hAnsi="宋体" w:cs="宋体"/>
          <w:b/>
          <w:color w:val="auto"/>
          <w:sz w:val="24"/>
          <w:highlight w:val="none"/>
        </w:rPr>
      </w:pPr>
      <w:r>
        <w:rPr>
          <w:rFonts w:hint="eastAsia" w:ascii="宋体" w:hAnsi="宋体" w:cs="宋体"/>
          <w:b/>
          <w:color w:val="auto"/>
          <w:sz w:val="24"/>
          <w:highlight w:val="none"/>
        </w:rPr>
        <w:t>保安服务考核标准</w:t>
      </w:r>
    </w:p>
    <w:tbl>
      <w:tblPr>
        <w:tblStyle w:val="41"/>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820"/>
        <w:gridCol w:w="253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993"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bookmarkStart w:id="4" w:name="_Toc4488"/>
            <w:bookmarkStart w:id="5" w:name="_Toc276981151"/>
            <w:r>
              <w:rPr>
                <w:rFonts w:hint="eastAsia" w:ascii="宋体" w:hAnsi="宋体" w:cs="宋体"/>
                <w:b/>
                <w:color w:val="auto"/>
                <w:kern w:val="0"/>
                <w:sz w:val="21"/>
                <w:szCs w:val="21"/>
                <w:highlight w:val="none"/>
                <w:lang w:bidi="ar"/>
              </w:rPr>
              <w:t>区域</w:t>
            </w:r>
          </w:p>
        </w:tc>
        <w:tc>
          <w:tcPr>
            <w:tcW w:w="4820" w:type="dxa"/>
            <w:shd w:val="clear" w:color="000000" w:fill="D7D7D7"/>
            <w:vAlign w:val="center"/>
          </w:tcPr>
          <w:p>
            <w:pPr>
              <w:widowControl/>
              <w:ind w:left="369" w:hanging="369" w:hangingChars="175"/>
              <w:jc w:val="center"/>
              <w:textAlignment w:val="center"/>
              <w:rPr>
                <w:rFonts w:ascii="宋体" w:hAnsi="宋体" w:cs="宋体"/>
                <w:color w:val="auto"/>
                <w:kern w:val="0"/>
                <w:sz w:val="21"/>
                <w:szCs w:val="21"/>
                <w:highlight w:val="none"/>
                <w:lang w:bidi="ar"/>
              </w:rPr>
            </w:pPr>
            <w:r>
              <w:rPr>
                <w:rFonts w:hint="eastAsia" w:ascii="宋体" w:hAnsi="宋体" w:cs="宋体"/>
                <w:b/>
                <w:bCs/>
                <w:color w:val="auto"/>
                <w:kern w:val="0"/>
                <w:sz w:val="21"/>
                <w:szCs w:val="21"/>
                <w:highlight w:val="none"/>
                <w:lang w:bidi="ar"/>
              </w:rPr>
              <w:t>质量要求</w:t>
            </w:r>
          </w:p>
        </w:tc>
        <w:tc>
          <w:tcPr>
            <w:tcW w:w="2531"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考核标准</w:t>
            </w:r>
          </w:p>
        </w:tc>
        <w:tc>
          <w:tcPr>
            <w:tcW w:w="1902"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仪容</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仪表</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a)上班期间统一着工装，佩戴工牌，仪态自然，精神状态饱满（女性不得披头散发，男性不得留长胡须，头发前不过眉，发脚侧不过耳）</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按要求着装、佩戴工牌、精神状态饱满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b)站岗时着装整齐，腰板挺直，严格按照管理部规定时间站立于规定的位置，切忌歪歪斜斜，损坏公司形象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值班时没有按规定站立，存在有损形象的姿态</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c)按规定携带保安器材，装备无线电对讲机，并保持联络畅通</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未按要求携带保安器材</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d)保持各岗位办公环境整洁干净，符合甲方5S办公管理要求</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岗位办公环境不符合5S要求</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行为</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举止</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a)不以任何理由与客户发生争吵、打架；即使面对无理取闹的客户，亦不可恶言相向，应耐心的解释原因。若有必要时应转达上级处理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存在与客户发生争吵、打架且没有向上级汇报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b)值班期间需坐姿端正，不倚背、不伸腿，不在工作场所大声喧哗，不趴在工作台上休息，不打瞌睡或串岗聊天、吃零食；不可在上班期间抽烟和吃零食，更不可咬着香烟或食物和客户讲话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值班时存在大声喧哗、吃零食等的有损公司形象的形为，且以不礼貌地姿态跟客户讲话</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r>
              <w:rPr>
                <w:rFonts w:hint="eastAsia" w:ascii="宋体" w:hAnsi="宋体" w:cs="宋体"/>
                <w:color w:val="auto"/>
                <w:sz w:val="21"/>
                <w:szCs w:val="21"/>
                <w:highlight w:val="none"/>
              </w:rPr>
              <w:t>（打瞌睡另行再扣200元/人/次）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c)严禁向客户索取任何形式的赏赐，即使客户主动提出，亦应尽量礼貌的做出拒绝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有违反规定的行为和现象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每发现一次扣5分，</w:t>
            </w:r>
            <w:r>
              <w:rPr>
                <w:rFonts w:hint="eastAsia" w:ascii="宋体" w:hAnsi="宋体" w:cs="宋体"/>
                <w:color w:val="auto"/>
                <w:sz w:val="21"/>
                <w:szCs w:val="21"/>
                <w:highlight w:val="none"/>
              </w:rPr>
              <w:t>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d)礼貌待人，微笑服务，不讲脏话、粗话；客户需要帮助时，请主动及时提供服务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有讲粗话、脏话现象且不主动替客户提供服务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e)严禁用对讲机闲聊、骂人、讲粗话。</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出现用对讲机闲聊、骂人、讲粗话的现象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f)严禁上班期间会客、闲谈、不做与本职工作无关的事。</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上班期间会客、闲谈、做与本职工作无关的事</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g)严禁随地吐痰、乱丢果皮纸屑。</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随地吐痰、乱丢果皮纸屑</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h)严禁执勤时剔牙齿、脱鞋袜、剪指甲。</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执勤时剪指甲、剔牙齿、脱鞋袜</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i)执勤期间不得发生吵架、打架行为。</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执勤期间发生吵架、打架行为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交接</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a)建立24小时值班制度</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未按要求设立24小时值班制度</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b)值班电话接听规范，按要求处理客户诉求，并留存记录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接听电话不规范且不按要求处理客户诉求并留存记录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c)值班记录填写规范准确详细，</w:t>
            </w:r>
            <w:r>
              <w:rPr>
                <w:rFonts w:hint="eastAsia" w:ascii="宋体" w:hAnsi="宋体" w:cs="宋体"/>
                <w:color w:val="auto"/>
                <w:sz w:val="21"/>
                <w:szCs w:val="21"/>
                <w:highlight w:val="none"/>
              </w:rPr>
              <w:t>无乱写乱画现象，包括值班工作记录交接，管理范围内物品状态记录等，有交接班时间和内容要求，有交接班记录，并有上级检查签字</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值班记录记录规范、无遗漏且字迹清晰，有上级检查签字</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 xml:space="preserve">d)对岗位发生的情况了解并进行汇总，如遇突发性事件及急性案件，应设法采取应急措施，制止事态的扩大，并注意保护现象留存记录 </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发生突发/急性事件没有制止事态扩大的措施并留存记录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业务知</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识及培</w:t>
            </w:r>
          </w:p>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训</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a)掌握本项目及各自岗位应知应会情况</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对项目及各自岗位应知应会情况不熟悉</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b)了解并收集租户入住、装修情况并做好记录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未对租户、装修情况进行登记</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c)每月向甲方上交岗位培训计划，并认真落实，每月岗位培训不得低于3次并留存记录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未制订并上交培训计划且未按要求组织实施并留存记录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每缺少一次培训记录扣0.5分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门岗</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kern w:val="0"/>
                <w:sz w:val="21"/>
                <w:szCs w:val="21"/>
                <w:highlight w:val="none"/>
                <w:lang w:bidi="ar"/>
              </w:rPr>
              <w:t>a)立岗时，严格按照管理处相关规定时间站立于规定的位置，</w:t>
            </w:r>
            <w:r>
              <w:rPr>
                <w:rFonts w:hint="eastAsia" w:ascii="宋体" w:hAnsi="宋体" w:cs="宋体"/>
                <w:color w:val="auto"/>
                <w:sz w:val="21"/>
                <w:szCs w:val="21"/>
                <w:highlight w:val="none"/>
              </w:rPr>
              <w:t>姿态要端正，不得弯腰曲背，形同依倚状。严禁背靠门柱或墙角、伞柱。</w:t>
            </w: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立正时双手下垂，手指自然并拢，双手中指贴在裤的齐缝中间，不可将手插进衣袋或裤袋内</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值班期间，未按规定时间及位置立岗，</w:t>
            </w:r>
            <w:r>
              <w:rPr>
                <w:rFonts w:hint="eastAsia" w:ascii="宋体" w:hAnsi="宋体" w:cs="宋体"/>
                <w:color w:val="auto"/>
                <w:sz w:val="21"/>
                <w:szCs w:val="21"/>
                <w:highlight w:val="none"/>
              </w:rPr>
              <w:t>出现站姿不端正，弯腰曲背、背靠门柱、墙角、伞柱，手插进衣袋或裤袋内或不站在指定岗位上的现象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b)礼貌引导访客，做好访客登记工作，并记录在《人员进出登记表》中</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对访客未进行登记并留存记录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c)维持车辆停放、进出秩序，确保车辆正确停放于指定的停车位，无乱停乱放，阻碍交通及消防通道现象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未对进出车辆进行引导，存在阻碍及堵塞消防通道现象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d)对所有非工作时间段进出车辆及外来车辆进行登记，货车需进行开厢检查，并留存相关记录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非工作时间未对车辆进行控制、检查并留存记录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e)配合做好项目垃圾清运管理，对垃圾清运车辆运载情况进行核查登记（含车辆进出日期、时间、车号等）</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未对垃圾清运车辆进行核查登记，且核查登记存在虚假情况</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f)对运出项目的大件物品及可疑物品，应礼貌地要求客户出具有效的《物品出门单》，并请客户配合查验物品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按规定要求对运出项目的物品进行核查登记并留存记录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g)二次装修及其他工程施工人员进入项目，要检查其是否有本管理处签发的有效《临时出入证》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按规定要求对外来人员进行核实登记并留存记录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h)送餐人员进入项目，需要求其出示《临时出入证》，确认送餐人员是否按要求回收空（剩）饭盒，发现违反规定要求的人员，应及时向甲方相关负责人汇报</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未对送餐人员进行身份核实并确认其饭盒回收情况导致垃圾乱堆乱放</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i)严禁拾荒、小摊贩、推销人员、携带宠物及家禽家畜人员进入项目，对衣冠不整者应谢绝其进入</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没有发现或及时劝阻此类人员进入项目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j)配合做好门岗内部及周边1M范围内的清洁卫生工作</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门岗内物品摆放凌乱，配套设施积尘，绿化带有明显白色垃圾</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k)有VIP标识的车辆进入项目，要敬礼示意，做好停车的引导工作，并在必要时提供帮助</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熟悉重要领导及客户的车牌号，做到服务不遗漏、姿势规范并主动提供帮助</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巡逻岗</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a)严格按甲方指定的路线和时间进行巡逻，有制订安全防范措施；做好巡视人员签到及巡视工作记录，发现建筑物设施、行人、车辆安全等存在异常情况时，应及时处理或报告</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在巡逻中未按规定时间、路线巡逻并做好记录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b)收到消防或监控中心发出的指令后，巡查人员需及时到达现场确认情况并采取应急措施，并将处理情况及时反馈给发出指令方及甲方相关负责人</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收到消防/监控中心指令，未在15分钟内到达现场并采取应急措施并进行反馈</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c)巡查中发现异常情况，应立即通知相关部门拍照取证并在现场采取措施尽量减少损失，协助保护现场，随时准备启动相关应急预案</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巡查中不能发现异常情况，且发现异常情况未采取应急措施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d)白天楼内巡逻不得少于3次，夜间巡逻不得少于4次，重点部位和部分时段有特殊情况时，应每2小时巡查1次，工作应有记录、存档</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按规定频次进行巡逻并留存记录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每缺少一次扣0.5分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e)巡视所有消防器材（灭火器、消火栓）等是否齐全，是否处于正常状态，并做好书面记录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不发生遗漏，检查后有记录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f)巡视各设备房门是否关闭，是否处于完好状态等并做好记录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没有及时发现设备房门未关闭且对现场情况未进行记录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g)巡视各通道以及外围区域的灯光是否足够或需要调换，并做好记录，及时通知维修人员进行维修或更换</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未及时发现灯光不亮现象，未做好记录并通知维修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h)巡逻时，留意设施设备运行情况，如发现设施设备损坏，应及时报告管理人员，并书面记录于《保安巡逻记录表》中</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i)巡逻时，留意建筑物本体、道路、停车场地、绿化等的损坏和清洁情况，发现问题，做好记录并及时通知相关人员进行处理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j)巡视空置房的门窗是否关闭，如发现异常情况须及时报告现场管理人员</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未对空置房进行巡查并对异常情况进行记录并上报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k)巡视楼层/各通道，禁止任何人在公共区域及消防通道处堆放任何物品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发现有在公共区域/消防通道堆放杂物需及时制止，未发现现场人员应积极进行调查，并记录上报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l)检查每一处死角细节，关闭各处门窗及设施电源，检查非工作时间的人员滞留情况，予以记录并做好跟进工作；在客户非工作时间内发现客户单元门未锁好的，应立即向领班汇报，并按管理处相关要求进行处理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在巡逻中没有做好这些工作，或者发现问题未及时记录或上报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m)巡逻中发现可疑人员时应予以询问或监视，必要时应及时报告当值保安领班安排支援力量以应不测</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未能对可疑人员进行跟进盘查询问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n)阻止无关人员在项目管理区域闲逛、推销、派发传单广告或从事其他骚扰性活动</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未及时劝阻这些人员在物业管理区域内的活动</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o)巡逻时，发现破坏绿化、环境的行为应予以阻止</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未及时予以阻止</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p)巡逻时，如接获投诉，应仔细礼貌听取，并做好记录且立即汇报领班处理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未耐心听取客户投诉意见，未对反映的问题进行记录且未予以上报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q)巡逻时，发现水管破裂、漏水、电线绝缘层破损等情况，须及时报管理处，并在现场等候维修人员到达现场维修，方可离开，并做好记录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巡查时未及时发现这些隐患，并记录和采取应急措施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r)发现窨井盖未盖好的，将其盖好；有缺失的，需做好登记并及时上报管理处处理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没有及时发现和采取应急措施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s)车场无偷盗、刮擦、碰撞、车祸等事件发生。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车场出现偷盗、刮擦、碰撞、车祸等事件</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发生一起扣10分，并承担相应经济责任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t)车辆停放有序，一车一位，无乱停乱放、出入口堵塞等情况发生。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出现乱停乱放、出入口堵塞、一车多位等情况</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消防</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安全</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a)掌握管理区域内消防设施设备分布状况，建立消防管理制度及消防责任制，成立消防应急处理小组，每半年需组织开展1次消防演习并留存记录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熟悉消防设施设备分布情况，成立了消防应急处理小组，有按要求组织消防演习并留存记录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未成立应急处理小组扣5分，未按要求组织消防演习并留存记录扣10分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b)掌握管理区域内消防设施设备的正确使用，每月对项目消防设施进行一次全面排查，确保消防设施配备完整、有效并做好记录，存在缺失、毁损、故障情况需及时予以上报整改</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未按要求对消防设施进行排查并留存记录，未对存在的问题予以上报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c)消防监控中心值班人员需持《消防操作员》证上岗，需熟悉报警及联动设备的操作，对报警点需做好记录并通知就近岗位现场确认排除故障</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监控室人员未能掌握监控到设备操作规范化流程，未对报警点进行记录并通知相关岗位排除故障</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d)对公共区域乱堆乱放行为进行宣传引导及制止，排除火灾安全隐患</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对公共区域乱堆放行为未及时进行劝阻</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e)发生消防安全事故。</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发生消防安全事故</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10分;情况严重的，视事故损失和影响而定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f)按方案要求巡查消防安全的重点区域，并做好巡查情况记录，发现火灾或火灾隐患立即汇报并组织抢救或消除。每月对消防器材进行检查，确保正常使用。建立消防档案，资料存放完整、清晰</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消防隐患排查、检查不到位；未形成相关记录；未建立消防档案；</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g)开展节假日节前安全检查，需提前做好策划、人员安排合理到位，检查要有结果和问题汇总、整改措施及后续整改跟进。</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节假日前安全检查不到位，存在人员、工作等安排不到位，检查情况记录、整改不到位等</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中心</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a)值班人员在甲方前台人员下班期间，需履行前台岗位职责，认真接听电话做好客户诉求记录，对于影响业租户、业主单位生活的诉求（如：停水、停电及电梯困人）需及时安排相关人员处理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按要求接听客户电话并记录诉求，突 发事件有及时安排人中处理并留存记录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b)值班人员需熟练操作监控设备，了解重点监控部位，能切换画面，能调取录像</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能熟练操作监控设备，能切换画面，能调取录像</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c)监控中心需重点监视外来闲杂人员，派发广告、电梯困人情况及其他嫌疑人员，发现问题需及时协调人员处理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对闲杂无关人员有进行重点监控，协调处理并留存记录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d)监控记录需至少保存15天以上，监控设备发生故障需及时上报处理；客户因突发情况需调取监控，需进行报警处理后配合警方调取，特殊情况需及时上报.</w:t>
            </w:r>
            <w:r>
              <w:rPr>
                <w:rFonts w:hint="eastAsia" w:ascii="宋体" w:hAnsi="宋体" w:cs="宋体"/>
                <w:color w:val="auto"/>
                <w:sz w:val="21"/>
                <w:szCs w:val="21"/>
                <w:highlight w:val="none"/>
              </w:rPr>
              <w:t xml:space="preserve"> 严禁将监控录像进行拷贝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监控录像按规定时间留存，设备出现故障有及时上报处理。调取监控按规定程序报批并留存记录, 无擅自拷贝录像现象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blHeader/>
          <w:jc w:val="center"/>
        </w:trPr>
        <w:tc>
          <w:tcPr>
            <w:tcW w:w="993"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夜班管理</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a)夜班查岗现场管理人员每月不少于2次、领班/队长每周不少于1次，按要求填写《夜班查岗登记表》，每周对夜班查岗情况进行汇总通报和公示。</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查岗次数不达标；查岗情况未汇总通报、公示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查岗次数不达标，每次扣0.5分。未进行查岗汇总通报扣0.5分，未公示扣0.5分。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工作纪律</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a)严禁在工作期间睡岗、脱岗、当班前和当班时饮酒。工作时间赌博或进行任何有关赌博的游戏</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出现睡岗、脱岗、饮酒、赌博或进行任何有关赌博的游戏等现象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工作期间出现喝酒扣200元/起；脱岗、睡岗500元/起；赌博或进行任何有关赌博的游戏，</w:t>
            </w:r>
            <w:r>
              <w:rPr>
                <w:rFonts w:hint="eastAsia" w:ascii="宋体" w:hAnsi="宋体" w:cs="宋体"/>
                <w:color w:val="auto"/>
                <w:kern w:val="0"/>
                <w:sz w:val="21"/>
                <w:szCs w:val="21"/>
                <w:highlight w:val="none"/>
                <w:lang w:bidi="ar"/>
              </w:rPr>
              <w:t>每发现一起扣10分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b)按规定时间上下班</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存在迟到、早退、未打卡现象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c)严禁将公共物品占为己有、捡拾物品隐瞒不报</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出现将公共物品据为己有，或捡拾物品隐瞒不报现象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d)泄露甲方信息，使其利益受损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存在泄漏甲方信息行为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扣5分，并追究相关责任。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e)严格按工作制度执行任务</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出现在岗玩手机、不服从安排、培训/训练迟到或无故缺席</w:t>
            </w:r>
          </w:p>
        </w:tc>
        <w:tc>
          <w:tcPr>
            <w:tcW w:w="1902" w:type="dxa"/>
            <w:vAlign w:val="center"/>
          </w:tcPr>
          <w:p>
            <w:pP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公共秩序管理</w:t>
            </w:r>
          </w:p>
        </w:tc>
        <w:tc>
          <w:tcPr>
            <w:tcW w:w="4820" w:type="dxa"/>
            <w:vAlign w:val="center"/>
          </w:tcPr>
          <w:p>
            <w:pPr>
              <w:tabs>
                <w:tab w:val="left" w:pos="1152"/>
              </w:tabs>
              <w:jc w:val="left"/>
              <w:rPr>
                <w:rFonts w:ascii="宋体" w:hAnsi="宋体" w:cs="宋体"/>
                <w:color w:val="auto"/>
                <w:sz w:val="21"/>
                <w:szCs w:val="21"/>
                <w:highlight w:val="none"/>
              </w:rPr>
            </w:pPr>
            <w:r>
              <w:rPr>
                <w:rFonts w:hint="eastAsia" w:ascii="宋体" w:hAnsi="宋体" w:cs="宋体"/>
                <w:color w:val="auto"/>
                <w:sz w:val="21"/>
                <w:szCs w:val="21"/>
                <w:highlight w:val="none"/>
              </w:rPr>
              <w:t>a)严禁未经许可批准进行摆摊设点等经营活动，发现有违规行为必须文明劝阻，不听劝阻的进行拍照交相关部门处理，同时做好记录。</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存在违规现象，且无工作人员进行劝阻，事件没有完好记录</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b)建立健全火灾、治安、公共卫生等突发事件应急预案。</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未建立健全火灾、治安、公共卫生等突发事件应急预案</w:t>
            </w:r>
          </w:p>
        </w:tc>
        <w:tc>
          <w:tcPr>
            <w:tcW w:w="1902" w:type="dxa"/>
            <w:vAlign w:val="center"/>
          </w:tcPr>
          <w:p>
            <w:pPr>
              <w:widowControl/>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c)突发事件和预案操作培训所有人必须考核通过。</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未按要求进行培训，存在人员考核未通过现象。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扣1.5分/次</w:t>
            </w:r>
          </w:p>
          <w:p>
            <w:pPr>
              <w:rPr>
                <w:rFonts w:ascii="宋体" w:hAnsi="宋体" w:cs="宋体"/>
                <w:color w:val="auto"/>
                <w:sz w:val="21"/>
                <w:szCs w:val="21"/>
                <w:highlight w:val="none"/>
              </w:rPr>
            </w:pPr>
            <w:r>
              <w:rPr>
                <w:rFonts w:hint="eastAsia" w:ascii="宋体" w:hAnsi="宋体" w:cs="宋体"/>
                <w:color w:val="auto"/>
                <w:sz w:val="21"/>
                <w:szCs w:val="21"/>
                <w:highlight w:val="none"/>
              </w:rPr>
              <w:t>未考核通过的，扣0.5分/人/次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d)发生突发事件，未及时处理或处置不当。</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突发事件未及时处理，处置不当，造成事件升级或影响扩大</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扣10分（视事件扩大或影响升级而定）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e)对擅自在项目内外开挖地面、施工、装修、乱堆乱放、乱搭、乱建等情况不管不问并不及时报告。</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对擅自在项目内外开挖地面、施工、装修、乱堆乱放、乱搭、乱建等情况不管不问并不及时报告</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资料管理</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a)按要求做好交接班记录、巡查记录等值班记录。建立岗位值班记录、重点区域巡查等记录</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交接班、重点区域、值班时间巡查记录不完整，不及时等；</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b)各类文件资料及日常记录，按时收集分类归档、清晰可查、规范管理。</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文件资料未收集齐全，存在未归档、不清晰等现象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c)各类总结、计划、方案等文件按规定时间上交。</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存在总结、计划、方案漏交，提交不及时等现象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restart"/>
            <w:vAlign w:val="center"/>
          </w:tcPr>
          <w:p>
            <w:pPr>
              <w:widowControl/>
              <w:ind w:firstLine="105" w:firstLineChars="50"/>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其他</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(附加）</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 遇雨、雪等恶劣天气应立即安排人员在入口处及关键位置放置温馨提示牌</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按要求设置标识标牌</w:t>
            </w:r>
          </w:p>
        </w:tc>
        <w:tc>
          <w:tcPr>
            <w:tcW w:w="1902" w:type="dxa"/>
          </w:tcPr>
          <w:p>
            <w:pPr>
              <w:rPr>
                <w:rFonts w:ascii="宋体" w:hAnsi="宋体" w:cs="宋体"/>
                <w:color w:val="auto"/>
                <w:kern w:val="0"/>
                <w:sz w:val="21"/>
                <w:szCs w:val="21"/>
                <w:highlight w:val="none"/>
                <w:lang w:bidi="ar"/>
              </w:rPr>
            </w:pPr>
          </w:p>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b)协助做好客户、业主单位快递代收工作，并及时通知客户、业主单位领取留存相关记录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按要求代收快递并通知客户及时领取0，留存相关记录</w:t>
            </w:r>
          </w:p>
        </w:tc>
        <w:tc>
          <w:tcPr>
            <w:tcW w:w="1902" w:type="dxa"/>
            <w:vAlign w:val="center"/>
          </w:tcPr>
          <w:p>
            <w:pPr>
              <w:widowControl/>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bookmarkEnd w:id="4"/>
      <w:bookmarkEnd w:id="5"/>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宋体" w:hAnsi="宋体"/>
          <w:b/>
          <w:color w:val="auto"/>
          <w:sz w:val="21"/>
          <w:szCs w:val="21"/>
          <w:highlight w:val="none"/>
        </w:rPr>
      </w:pPr>
      <w:r>
        <w:rPr>
          <w:rFonts w:hint="eastAsia" w:ascii="宋体" w:hAnsi="宋体"/>
          <w:b/>
          <w:color w:val="auto"/>
          <w:sz w:val="21"/>
          <w:szCs w:val="21"/>
          <w:highlight w:val="none"/>
        </w:rPr>
        <w:t>四、项目其他内容</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1、项目实施时间：</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实施时间：合同签订之日起一年。</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实施</w:t>
      </w:r>
      <w:r>
        <w:rPr>
          <w:rFonts w:ascii="宋体" w:hAnsi="宋体"/>
          <w:color w:val="auto"/>
          <w:sz w:val="21"/>
          <w:szCs w:val="21"/>
          <w:highlight w:val="none"/>
        </w:rPr>
        <w:t>地点：</w:t>
      </w:r>
      <w:r>
        <w:rPr>
          <w:rFonts w:hint="eastAsia" w:ascii="宋体" w:hAnsi="宋体"/>
          <w:color w:val="auto"/>
          <w:sz w:val="21"/>
          <w:szCs w:val="21"/>
          <w:highlight w:val="none"/>
        </w:rPr>
        <w:t>采购人指定地点。</w:t>
      </w:r>
    </w:p>
    <w:p>
      <w:pPr>
        <w:adjustRightInd w:val="0"/>
        <w:snapToGrid w:val="0"/>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2、项目结算</w:t>
      </w:r>
    </w:p>
    <w:p>
      <w:pPr>
        <w:pStyle w:val="40"/>
        <w:spacing w:after="0"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2.1结算方式：根据每月保安人员实际到岗人数和</w:t>
      </w:r>
      <w:r>
        <w:rPr>
          <w:rFonts w:hint="eastAsia" w:ascii="宋体" w:hAnsi="宋体" w:cs="宋体"/>
          <w:bCs/>
          <w:color w:val="auto"/>
          <w:szCs w:val="21"/>
          <w:highlight w:val="none"/>
        </w:rPr>
        <w:t>服务质量考核标准，综合评估后</w:t>
      </w:r>
      <w:r>
        <w:rPr>
          <w:rFonts w:hint="eastAsia" w:asciiTheme="minorEastAsia" w:hAnsiTheme="minorEastAsia" w:eastAsiaTheme="minorEastAsia" w:cstheme="minorEastAsia"/>
          <w:color w:val="auto"/>
          <w:highlight w:val="none"/>
        </w:rPr>
        <w:t>按实结算，具体结算金额以投标人的单项投标报价为准。</w:t>
      </w:r>
    </w:p>
    <w:p>
      <w:pPr>
        <w:spacing w:line="360" w:lineRule="auto"/>
        <w:ind w:firstLine="420" w:firstLineChars="200"/>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2.2支付人：湖南智谷鑫服物业管理有限公司（自主支付）</w:t>
      </w:r>
    </w:p>
    <w:p>
      <w:pPr>
        <w:pStyle w:val="2"/>
        <w:spacing w:after="0" w:line="360" w:lineRule="auto"/>
        <w:ind w:firstLine="420" w:firstLineChars="20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2.3付款方式：采取按月支付方式，由乙方向甲方报请支付，支付费用根据结算方式经甲方确认后，凭乙方开具的发票，</w:t>
      </w:r>
      <w:r>
        <w:rPr>
          <w:rFonts w:hint="eastAsia" w:ascii="宋体" w:hAnsi="宋体" w:cs="宋体"/>
          <w:bCs/>
          <w:color w:val="auto"/>
          <w:sz w:val="21"/>
          <w:szCs w:val="21"/>
          <w:highlight w:val="none"/>
          <w:lang w:val="en-US" w:eastAsia="zh-CN"/>
        </w:rPr>
        <w:t>每月前15个工作日内支付上个月服务费用</w:t>
      </w:r>
      <w:r>
        <w:rPr>
          <w:rFonts w:hint="eastAsia" w:ascii="宋体" w:hAnsi="宋体" w:cs="宋体"/>
          <w:bCs/>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3、项目验收程序：</w:t>
      </w:r>
      <w:bookmarkStart w:id="6" w:name="_Toc225336551"/>
      <w:r>
        <w:rPr>
          <w:rFonts w:hint="eastAsia" w:ascii="宋体" w:hAnsi="宋体"/>
          <w:color w:val="auto"/>
          <w:sz w:val="21"/>
          <w:szCs w:val="21"/>
          <w:highlight w:val="none"/>
        </w:rPr>
        <w:t>本项目采取简易程序验收</w:t>
      </w:r>
      <w:bookmarkEnd w:id="6"/>
      <w:r>
        <w:rPr>
          <w:rFonts w:hint="eastAsia" w:ascii="宋体" w:hAnsi="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2" w:firstLineChars="200"/>
        <w:textAlignment w:val="auto"/>
        <w:rPr>
          <w:rFonts w:hint="eastAsia" w:ascii="宋体" w:hAnsi="宋体"/>
          <w:b/>
          <w:bCs/>
          <w:color w:val="auto"/>
          <w:sz w:val="21"/>
          <w:szCs w:val="21"/>
          <w:highlight w:val="none"/>
          <w:lang w:eastAsia="zh-CN"/>
        </w:rPr>
      </w:pPr>
      <w:r>
        <w:rPr>
          <w:rFonts w:hint="eastAsia" w:ascii="宋体" w:hAnsi="宋体"/>
          <w:b/>
          <w:bCs/>
          <w:color w:val="auto"/>
          <w:sz w:val="21"/>
          <w:szCs w:val="21"/>
          <w:highlight w:val="none"/>
        </w:rPr>
        <w:t>4、对于上述项目要求，投标人应在投标文件中进行回应，作出承诺及说明</w:t>
      </w:r>
      <w:r>
        <w:rPr>
          <w:rFonts w:hint="eastAsia" w:ascii="宋体" w:hAnsi="宋体"/>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2" w:firstLineChars="200"/>
        <w:textAlignment w:val="auto"/>
        <w:rPr>
          <w:rFonts w:hint="eastAsia" w:ascii="宋体" w:hAnsi="宋体"/>
          <w:b/>
          <w:bCs/>
          <w:color w:val="auto"/>
          <w:sz w:val="21"/>
          <w:szCs w:val="21"/>
          <w:highlight w:val="none"/>
        </w:rPr>
      </w:pPr>
      <w:r>
        <w:rPr>
          <w:rFonts w:hint="eastAsia" w:ascii="宋体" w:hAnsi="宋体"/>
          <w:b/>
          <w:bCs/>
          <w:color w:val="auto"/>
          <w:sz w:val="21"/>
          <w:szCs w:val="21"/>
          <w:highlight w:val="none"/>
          <w:lang w:val="en-US" w:eastAsia="zh-CN"/>
        </w:rPr>
        <w:t>5、</w:t>
      </w:r>
      <w:r>
        <w:rPr>
          <w:rFonts w:hint="eastAsia" w:ascii="宋体" w:hAnsi="宋体"/>
          <w:b/>
          <w:bCs/>
          <w:color w:val="auto"/>
          <w:sz w:val="21"/>
          <w:szCs w:val="21"/>
          <w:highlight w:val="none"/>
        </w:rPr>
        <w:t>因集团扁平化管理，采购人为湖南智谷投资发展集团有限公司，但合同签订、项目验收及项目付款为湖南智谷鑫服物业管理有限公司，该公司系湖南智谷投资发展集团有限公司的</w:t>
      </w:r>
      <w:r>
        <w:rPr>
          <w:rFonts w:hint="eastAsia" w:ascii="宋体" w:hAnsi="宋体"/>
          <w:b/>
          <w:bCs/>
          <w:color w:val="auto"/>
          <w:sz w:val="21"/>
          <w:szCs w:val="21"/>
          <w:highlight w:val="none"/>
          <w:lang w:val="en-US" w:eastAsia="zh-CN"/>
        </w:rPr>
        <w:t>项目</w:t>
      </w:r>
      <w:r>
        <w:rPr>
          <w:rFonts w:hint="eastAsia" w:ascii="宋体" w:hAnsi="宋体"/>
          <w:b/>
          <w:bCs/>
          <w:color w:val="auto"/>
          <w:sz w:val="21"/>
          <w:szCs w:val="21"/>
          <w:highlight w:val="none"/>
        </w:rPr>
        <w:t>公司。</w:t>
      </w:r>
    </w:p>
    <w:p>
      <w:pPr>
        <w:pStyle w:val="2"/>
        <w:keepNext w:val="0"/>
        <w:keepLines w:val="0"/>
        <w:pageBreakBefore w:val="0"/>
        <w:widowControl w:val="0"/>
        <w:kinsoku/>
        <w:wordWrap/>
        <w:overflowPunct/>
        <w:topLinePunct w:val="0"/>
        <w:autoSpaceDE/>
        <w:autoSpaceDN/>
        <w:bidi w:val="0"/>
        <w:spacing w:after="0" w:line="360" w:lineRule="auto"/>
        <w:ind w:left="0" w:firstLine="560" w:firstLineChars="200"/>
        <w:textAlignment w:val="auto"/>
        <w:rPr>
          <w:color w:val="auto"/>
          <w:highlight w:val="none"/>
        </w:rPr>
        <w:sectPr>
          <w:pgSz w:w="11906" w:h="16838"/>
          <w:pgMar w:top="726" w:right="1247" w:bottom="1077" w:left="1247" w:header="851" w:footer="907" w:gutter="0"/>
          <w:pgNumType w:fmt="decimal"/>
          <w:cols w:space="720" w:num="1"/>
          <w:docGrid w:linePitch="312" w:charSpace="0"/>
        </w:sectPr>
      </w:pPr>
    </w:p>
    <w:p>
      <w:pPr>
        <w:pStyle w:val="3"/>
        <w:spacing w:before="240" w:beforeLines="100"/>
        <w:rPr>
          <w:rFonts w:hint="eastAsia" w:ascii="宋体" w:hAnsi="宋体"/>
          <w:bCs w:val="0"/>
          <w:color w:val="auto"/>
          <w:sz w:val="28"/>
          <w:szCs w:val="28"/>
          <w:highlight w:val="none"/>
        </w:rPr>
      </w:pPr>
      <w:r>
        <w:rPr>
          <w:rFonts w:hint="eastAsia" w:ascii="宋体" w:hAnsi="宋体"/>
          <w:bCs w:val="0"/>
          <w:color w:val="auto"/>
          <w:sz w:val="28"/>
          <w:szCs w:val="28"/>
          <w:highlight w:val="none"/>
        </w:rPr>
        <w:t>第五章 响应文件组成</w:t>
      </w:r>
    </w:p>
    <w:p>
      <w:pPr>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供应商的响应文件应包含以下十一个部分：</w:t>
      </w:r>
    </w:p>
    <w:p>
      <w:pPr>
        <w:spacing w:line="360" w:lineRule="exact"/>
        <w:rPr>
          <w:rFonts w:hint="eastAsia"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一、磋商响应声明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附件1：法定代表人身份证明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附件2：法定代表人授权书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二、保证金</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三、供应商的资格证明材料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附件3：资格证明文件承诺函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附件4：供应商基本情况表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附件5：磋商文件规定的基本资格条件证明资料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附件6：磋商文件规定的特定资格条件证明资料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附件7：其它说明</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四、货物说明、服务方案</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附件8-1：服务方案（服务类适用）</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附件8-2：主要人员简历表（服务类适用）</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五、技术/商务响应与偏离表</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六、提供享受政府采购政策的证明材料和清单表</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附件9-1：中小企业声明函</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附件9-2：残疾人福利性单位声明函</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七、报价一览表及报价文件</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附件10：报价一览表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t xml:space="preserve">附件10-1：分项价格表 </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八、供应商认为需要提供的其它资料</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九、最后报价</w:t>
      </w:r>
    </w:p>
    <w:p>
      <w:pPr>
        <w:spacing w:line="360" w:lineRule="exact"/>
        <w:rPr>
          <w:rFonts w:hint="eastAsia" w:ascii="宋体" w:hAnsi="宋体"/>
          <w:b/>
          <w:color w:val="auto"/>
          <w:sz w:val="21"/>
          <w:szCs w:val="21"/>
          <w:highlight w:val="none"/>
        </w:rPr>
      </w:pPr>
    </w:p>
    <w:p>
      <w:pPr>
        <w:pStyle w:val="22"/>
        <w:adjustRightInd w:val="0"/>
        <w:snapToGrid w:val="0"/>
        <w:spacing w:line="360" w:lineRule="auto"/>
        <w:rPr>
          <w:rFonts w:hint="eastAsia" w:hAnsi="宋体" w:cs="宋体"/>
          <w:b/>
          <w:color w:val="auto"/>
          <w:highlight w:val="none"/>
        </w:rPr>
      </w:pPr>
      <w:r>
        <w:rPr>
          <w:rFonts w:hint="eastAsia" w:hAnsi="宋体" w:cs="宋体"/>
          <w:b/>
          <w:color w:val="auto"/>
          <w:highlight w:val="none"/>
        </w:rPr>
        <w:t>（备注：响应文件中凡涉及法定代表人或其委托代理人签字必须为亲笔签名，否则视为无效投标）</w:t>
      </w:r>
    </w:p>
    <w:p>
      <w:pPr>
        <w:spacing w:line="360" w:lineRule="exact"/>
        <w:rPr>
          <w:rFonts w:ascii="宋体" w:hAnsi="宋体"/>
          <w:b/>
          <w:color w:val="auto"/>
          <w:sz w:val="21"/>
          <w:szCs w:val="21"/>
          <w:highlight w:val="none"/>
        </w:rPr>
        <w:sectPr>
          <w:pgSz w:w="11906" w:h="16838"/>
          <w:pgMar w:top="1191" w:right="1531" w:bottom="1361" w:left="1418" w:header="992" w:footer="992" w:gutter="0"/>
          <w:pgNumType w:fmt="decimal"/>
          <w:cols w:space="720" w:num="1"/>
          <w:docGrid w:linePitch="312" w:charSpace="0"/>
        </w:sectPr>
      </w:pPr>
    </w:p>
    <w:p>
      <w:pPr>
        <w:pStyle w:val="4"/>
        <w:rPr>
          <w:rFonts w:hint="eastAsia"/>
          <w:color w:val="auto"/>
          <w:sz w:val="30"/>
          <w:szCs w:val="30"/>
          <w:highlight w:val="none"/>
        </w:rPr>
      </w:pPr>
      <w:r>
        <w:rPr>
          <w:rFonts w:hint="eastAsia"/>
          <w:color w:val="auto"/>
          <w:sz w:val="30"/>
          <w:szCs w:val="30"/>
          <w:highlight w:val="none"/>
        </w:rPr>
        <w:t>一、磋商响应声明</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(采购人或采购代理机构)：</w:t>
      </w:r>
    </w:p>
    <w:p>
      <w:pPr>
        <w:adjustRightInd w:val="0"/>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我方已仔细研究了</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项目名称)的竞争性磋商文件（采购代理编号：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）的全部内容，知悉参加竞争性磋商的风险，我方承诺接受磋商文件的全部条款且无任何异议。</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一、我方同意在磋商文件中规定的提交首次响应文件截止时间起</w:t>
      </w:r>
      <w:r>
        <w:rPr>
          <w:rFonts w:hint="eastAsia" w:hAnsi="宋体" w:cs="宋体"/>
          <w:color w:val="auto"/>
          <w:highlight w:val="none"/>
          <w:u w:val="single"/>
        </w:rPr>
        <w:t xml:space="preserve">    </w:t>
      </w:r>
      <w:r>
        <w:rPr>
          <w:rFonts w:hint="eastAsia" w:hAnsi="宋体" w:cs="宋体"/>
          <w:color w:val="auto"/>
          <w:highlight w:val="none"/>
        </w:rPr>
        <w:t>日内(响应文件有效期)遵守本响应文件中的承诺且在此期限期满之前均具有法律约束力。</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二、我方提交响应文件正本一份和副本一式</w:t>
      </w:r>
      <w:r>
        <w:rPr>
          <w:rFonts w:hint="eastAsia" w:hAnsi="宋体" w:cs="宋体"/>
          <w:color w:val="auto"/>
          <w:highlight w:val="none"/>
          <w:u w:val="single"/>
        </w:rPr>
        <w:t xml:space="preserve">     </w:t>
      </w:r>
      <w:r>
        <w:rPr>
          <w:rFonts w:hint="eastAsia" w:hAnsi="宋体" w:cs="宋体"/>
          <w:color w:val="auto"/>
          <w:highlight w:val="none"/>
        </w:rPr>
        <w:t>份，并保证响应文件提供的数据和资料全部内容真实、合法、准确和完整，我们对此负责，并愿承担由此引起的法律责任。</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三、我方愿意向贵方提供任何与本项采购有关的数据、情况和技术资料。若贵方需要，我方愿意提供我方作出的一切承诺的证明资料。</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四、我方愿意按磋商文件规定和磋商小组要求重新提交响应文件。</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五、我方承诺遵守《中华人民共和国政府采购法》的有关规定，保证在获得成交资格后，按照磋商文件确定的事项签订政府采购合同，履行双方所签订的合同，并承担合同规定的责任和义务。</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六、我方在此声明： </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（一）我方与采购人或采购代理机构不存在隶属关系或者其它利害关系。</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（二）我方与参加本项目的其它供应商不存在直接控股、管理关系，或者与其它供应商法定代表人为同一人。</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（三）我方未为本项目前期准备提供设计或咨询服务。</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（四）我方承诺（承诺期：成立三年以上的，为提交首次响应文件截止时间前三年内；成立不足三年的，为实际时间）：</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1、我方依法缴纳了各项税费及各项社会保障资金，没有偷税、漏税及欠缴行为。</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2、我方在经营活动中没有存在下列重大违法记录：</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(1)受到刑事处罚；</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bCs/>
          <w:color w:val="auto"/>
          <w:sz w:val="21"/>
          <w:szCs w:val="21"/>
          <w:highlight w:val="none"/>
        </w:rPr>
        <w:t>附件1：</w:t>
      </w:r>
      <w:r>
        <w:rPr>
          <w:rFonts w:hint="eastAsia" w:ascii="宋体" w:hAnsi="宋体" w:cs="宋体"/>
          <w:color w:val="auto"/>
          <w:sz w:val="21"/>
          <w:szCs w:val="21"/>
          <w:highlight w:val="none"/>
        </w:rPr>
        <w:t>法定代表人身份证明</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bCs/>
          <w:color w:val="auto"/>
          <w:sz w:val="21"/>
          <w:szCs w:val="21"/>
          <w:highlight w:val="none"/>
        </w:rPr>
        <w:t>附件2</w:t>
      </w:r>
      <w:r>
        <w:rPr>
          <w:rFonts w:hint="eastAsia" w:ascii="宋体" w:hAnsi="宋体" w:cs="宋体"/>
          <w:color w:val="auto"/>
          <w:sz w:val="21"/>
          <w:szCs w:val="21"/>
          <w:highlight w:val="none"/>
        </w:rPr>
        <w:t>：法定代表人授权书</w:t>
      </w:r>
    </w:p>
    <w:p>
      <w:pPr>
        <w:pStyle w:val="22"/>
        <w:adjustRightInd w:val="0"/>
        <w:snapToGrid w:val="0"/>
        <w:spacing w:line="360" w:lineRule="auto"/>
        <w:rPr>
          <w:rFonts w:hint="eastAsia" w:hAnsi="宋体" w:cs="宋体"/>
          <w:color w:val="auto"/>
          <w:highlight w:val="none"/>
        </w:rPr>
      </w:pPr>
    </w:p>
    <w:p>
      <w:pPr>
        <w:pStyle w:val="22"/>
        <w:adjustRightInd w:val="0"/>
        <w:snapToGrid w:val="0"/>
        <w:spacing w:line="360" w:lineRule="auto"/>
        <w:rPr>
          <w:rFonts w:hint="eastAsia" w:hAnsi="宋体" w:cs="宋体"/>
          <w:color w:val="auto"/>
          <w:highlight w:val="none"/>
        </w:rPr>
      </w:pPr>
      <w:r>
        <w:rPr>
          <w:rFonts w:hint="eastAsia" w:hAnsi="宋体" w:cs="宋体"/>
          <w:color w:val="auto"/>
          <w:highlight w:val="none"/>
        </w:rPr>
        <w:t>供应商名称(盖单位章)：</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 (签字)：</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日     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napToGrid w:val="0"/>
        <w:spacing w:before="156" w:beforeLines="50" w:line="360" w:lineRule="auto"/>
        <w:rPr>
          <w:rFonts w:hint="eastAsia" w:ascii="宋体" w:hAnsi="宋体" w:cs="宋体"/>
          <w:color w:val="auto"/>
          <w:sz w:val="21"/>
          <w:szCs w:val="21"/>
          <w:highlight w:val="none"/>
        </w:rPr>
      </w:pPr>
      <w:r>
        <w:rPr>
          <w:rFonts w:hint="eastAsia" w:ascii="宋体" w:hAnsi="宋体" w:cs="宋体"/>
          <w:bCs/>
          <w:color w:val="auto"/>
          <w:sz w:val="21"/>
          <w:szCs w:val="21"/>
          <w:highlight w:val="none"/>
        </w:rPr>
        <w:t>附件1</w:t>
      </w:r>
    </w:p>
    <w:p>
      <w:pPr>
        <w:pStyle w:val="5"/>
        <w:jc w:val="center"/>
        <w:rPr>
          <w:rFonts w:hint="eastAsia"/>
          <w:color w:val="auto"/>
          <w:sz w:val="30"/>
          <w:szCs w:val="30"/>
          <w:highlight w:val="none"/>
        </w:rPr>
      </w:pPr>
      <w:r>
        <w:rPr>
          <w:rFonts w:hint="eastAsia"/>
          <w:color w:val="auto"/>
          <w:sz w:val="30"/>
          <w:szCs w:val="30"/>
          <w:highlight w:val="none"/>
        </w:rPr>
        <w:t>法定代表人身份证明</w:t>
      </w:r>
    </w:p>
    <w:p>
      <w:pPr>
        <w:snapToGrid w:val="0"/>
        <w:spacing w:line="480" w:lineRule="auto"/>
        <w:rPr>
          <w:rFonts w:hint="eastAsia" w:ascii="宋体" w:hAnsi="宋体" w:cs="宋体"/>
          <w:color w:val="auto"/>
          <w:sz w:val="21"/>
          <w:szCs w:val="21"/>
          <w:highlight w:val="none"/>
        </w:rPr>
      </w:pP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供应商</w:t>
      </w:r>
      <w:r>
        <w:rPr>
          <w:rFonts w:hint="eastAsia" w:ascii="宋体" w:hAnsi="宋体" w:cs="宋体"/>
          <w:color w:val="auto"/>
          <w:kern w:val="0"/>
          <w:sz w:val="21"/>
          <w:szCs w:val="21"/>
          <w:highlight w:val="none"/>
        </w:rPr>
        <w:t>名称：</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注册号：</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注册地址：</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成立时间：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年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日</w:t>
      </w:r>
    </w:p>
    <w:p>
      <w:pPr>
        <w:autoSpaceDE w:val="0"/>
        <w:autoSpaceDN w:val="0"/>
        <w:adjustRightInd w:val="0"/>
        <w:snapToGrid w:val="0"/>
        <w:spacing w:line="360" w:lineRule="auto"/>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经营期限：</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经营范围：主营：</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；兼营：</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姓名：</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性别：</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年龄：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系</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rPr>
        <w:t>供应商</w:t>
      </w:r>
      <w:r>
        <w:rPr>
          <w:rFonts w:hint="eastAsia" w:ascii="宋体" w:hAnsi="宋体" w:cs="宋体"/>
          <w:color w:val="auto"/>
          <w:kern w:val="0"/>
          <w:sz w:val="21"/>
          <w:szCs w:val="21"/>
          <w:highlight w:val="none"/>
        </w:rPr>
        <w:t>名称）的法定代表人。</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特此证明。</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附：法定代表人身份证复印件</w:t>
      </w:r>
    </w:p>
    <w:p>
      <w:pPr>
        <w:snapToGrid w:val="0"/>
        <w:spacing w:line="480" w:lineRule="auto"/>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供应商名称（盖单位章）：</w:t>
      </w: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      </w:t>
      </w:r>
    </w:p>
    <w:p>
      <w:pPr>
        <w:adjustRightInd w:val="0"/>
        <w:snapToGrid w:val="0"/>
        <w:spacing w:before="156" w:beforeLines="50" w:line="360" w:lineRule="auto"/>
        <w:rPr>
          <w:rFonts w:hint="eastAsia" w:ascii="宋体" w:hAnsi="宋体" w:cs="宋体"/>
          <w:color w:val="auto"/>
          <w:sz w:val="21"/>
          <w:szCs w:val="21"/>
          <w:highlight w:val="none"/>
        </w:rPr>
      </w:pPr>
    </w:p>
    <w:p>
      <w:pPr>
        <w:adjustRightInd w:val="0"/>
        <w:snapToGrid w:val="0"/>
        <w:spacing w:before="156" w:beforeLines="50" w:line="360" w:lineRule="auto"/>
        <w:rPr>
          <w:rFonts w:hint="eastAsia" w:ascii="宋体" w:hAnsi="宋体" w:cs="宋体"/>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color w:val="auto"/>
          <w:sz w:val="21"/>
          <w:szCs w:val="21"/>
          <w:highlight w:val="none"/>
        </w:rPr>
      </w:pPr>
      <w:r>
        <w:rPr>
          <w:rFonts w:hint="eastAsia" w:ascii="宋体" w:hAnsi="宋体" w:cs="宋体"/>
          <w:bCs/>
          <w:color w:val="auto"/>
          <w:sz w:val="21"/>
          <w:szCs w:val="21"/>
          <w:highlight w:val="none"/>
        </w:rPr>
        <w:t>附件2</w:t>
      </w:r>
    </w:p>
    <w:p>
      <w:pPr>
        <w:pStyle w:val="5"/>
        <w:jc w:val="center"/>
        <w:rPr>
          <w:rFonts w:hint="eastAsia"/>
          <w:color w:val="auto"/>
          <w:sz w:val="30"/>
          <w:szCs w:val="30"/>
          <w:highlight w:val="none"/>
        </w:rPr>
      </w:pPr>
      <w:r>
        <w:rPr>
          <w:rFonts w:hint="eastAsia"/>
          <w:color w:val="auto"/>
          <w:sz w:val="30"/>
          <w:szCs w:val="30"/>
          <w:highlight w:val="none"/>
        </w:rPr>
        <w:t>法定代表人授权委托书</w:t>
      </w:r>
    </w:p>
    <w:p>
      <w:pPr>
        <w:adjustRightInd w:val="0"/>
        <w:snapToGrid w:val="0"/>
        <w:spacing w:line="360" w:lineRule="auto"/>
        <w:jc w:val="center"/>
        <w:rPr>
          <w:rFonts w:hint="eastAsia" w:ascii="宋体" w:hAnsi="宋体" w:cs="宋体"/>
          <w:b/>
          <w:color w:val="auto"/>
          <w:sz w:val="21"/>
          <w:szCs w:val="21"/>
          <w:highlight w:val="none"/>
        </w:rPr>
      </w:pPr>
    </w:p>
    <w:p>
      <w:pPr>
        <w:autoSpaceDE w:val="0"/>
        <w:autoSpaceDN w:val="0"/>
        <w:adjustRightInd w:val="0"/>
        <w:snapToGrid w:val="0"/>
        <w:spacing w:before="156" w:beforeLines="50"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（姓名、职务）系</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r>
        <w:rPr>
          <w:rFonts w:hint="eastAsia" w:ascii="宋体" w:hAnsi="宋体"/>
          <w:color w:val="auto"/>
          <w:sz w:val="21"/>
          <w:szCs w:val="21"/>
          <w:highlight w:val="none"/>
        </w:rPr>
        <w:t>供应商</w:t>
      </w:r>
      <w:r>
        <w:rPr>
          <w:rFonts w:hint="eastAsia" w:ascii="宋体" w:hAnsi="宋体" w:cs="宋体"/>
          <w:color w:val="auto"/>
          <w:kern w:val="0"/>
          <w:sz w:val="21"/>
          <w:szCs w:val="21"/>
          <w:highlight w:val="none"/>
        </w:rPr>
        <w:t>名称）的法定代表人，现授权</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（姓名、职务）为我方代理人。代理人根据授权，以我方名义：(1)签署、澄清、补正、修改、撤回、提交</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项目名称、采购代理机构编号）响应文件；(2)签署并重新提交响应文件及最后报价；(3)退出磋商；(4)签订合同和处理有关事宜，其法律后果由我方承担；（5）询问、质疑、投诉等相关事项，其法律后果由我方承担。 </w:t>
      </w:r>
    </w:p>
    <w:p>
      <w:pPr>
        <w:autoSpaceDE w:val="0"/>
        <w:autoSpaceDN w:val="0"/>
        <w:adjustRightInd w:val="0"/>
        <w:snapToGrid w:val="0"/>
        <w:spacing w:before="156" w:beforeLines="50"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委托期限：</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p>
    <w:p>
      <w:pPr>
        <w:spacing w:line="360" w:lineRule="auto"/>
        <w:ind w:firstLine="435"/>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代理人无转委托权。</w:t>
      </w:r>
    </w:p>
    <w:p>
      <w:pPr>
        <w:spacing w:line="360" w:lineRule="auto"/>
        <w:ind w:firstLine="435"/>
        <w:rPr>
          <w:rFonts w:hint="eastAsia" w:ascii="宋体" w:hAnsi="宋体"/>
          <w:color w:val="auto"/>
          <w:sz w:val="21"/>
          <w:szCs w:val="21"/>
          <w:highlight w:val="none"/>
        </w:rPr>
      </w:pPr>
      <w:r>
        <w:rPr>
          <w:rFonts w:hint="eastAsia" w:ascii="宋体" w:hAnsi="宋体"/>
          <w:color w:val="auto"/>
          <w:sz w:val="21"/>
          <w:szCs w:val="21"/>
          <w:highlight w:val="none"/>
        </w:rPr>
        <w:t>本授权书于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日签字生效，特此声明。</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附：委托代理人身份证复印件及法定代表人身份证明(附件1，原件)</w:t>
      </w:r>
    </w:p>
    <w:p>
      <w:pPr>
        <w:adjustRightInd w:val="0"/>
        <w:snapToGrid w:val="0"/>
        <w:spacing w:line="360" w:lineRule="auto"/>
        <w:ind w:right="420"/>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法定代表人（签字）：</w:t>
      </w:r>
      <w:r>
        <w:rPr>
          <w:rFonts w:hint="eastAsia" w:ascii="宋体" w:hAnsi="宋体" w:cs="宋体"/>
          <w:color w:val="auto"/>
          <w:sz w:val="21"/>
          <w:szCs w:val="21"/>
          <w:highlight w:val="none"/>
          <w:u w:val="single"/>
        </w:rPr>
        <w:t xml:space="preserve">                     </w:t>
      </w: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pStyle w:val="4"/>
        <w:rPr>
          <w:rFonts w:hint="eastAsia"/>
          <w:color w:val="auto"/>
          <w:sz w:val="21"/>
          <w:szCs w:val="21"/>
          <w:highlight w:val="none"/>
        </w:rPr>
      </w:pPr>
    </w:p>
    <w:p>
      <w:pPr>
        <w:rPr>
          <w:rFonts w:hint="eastAsia"/>
          <w:color w:val="auto"/>
          <w:highlight w:val="none"/>
        </w:rPr>
      </w:pPr>
    </w:p>
    <w:p>
      <w:pPr>
        <w:pStyle w:val="4"/>
        <w:rPr>
          <w:rFonts w:hint="eastAsia"/>
          <w:color w:val="auto"/>
          <w:sz w:val="21"/>
          <w:szCs w:val="21"/>
          <w:highlight w:val="none"/>
        </w:rPr>
      </w:pPr>
    </w:p>
    <w:p>
      <w:pPr>
        <w:adjustRightInd w:val="0"/>
        <w:snapToGrid w:val="0"/>
        <w:spacing w:before="156" w:beforeLines="50" w:line="360" w:lineRule="auto"/>
        <w:rPr>
          <w:rFonts w:ascii="宋体" w:hAnsi="宋体"/>
          <w:bCs/>
          <w:color w:val="auto"/>
          <w:sz w:val="30"/>
          <w:szCs w:val="30"/>
          <w:highlight w:val="none"/>
        </w:rPr>
      </w:pPr>
      <w:r>
        <w:rPr>
          <w:color w:val="auto"/>
          <w:sz w:val="21"/>
          <w:szCs w:val="21"/>
          <w:highlight w:val="none"/>
        </w:rPr>
        <w:br w:type="page"/>
      </w:r>
      <w:r>
        <w:rPr>
          <w:rFonts w:hint="eastAsia" w:ascii="宋体" w:hAnsi="宋体" w:cs="宋体"/>
          <w:bCs/>
          <w:color w:val="auto"/>
          <w:sz w:val="21"/>
          <w:szCs w:val="21"/>
          <w:highlight w:val="none"/>
        </w:rPr>
        <w:t>附件3</w:t>
      </w:r>
      <w:r>
        <w:rPr>
          <w:rFonts w:hint="eastAsia" w:ascii="宋体" w:hAnsi="宋体"/>
          <w:bCs/>
          <w:color w:val="auto"/>
          <w:sz w:val="30"/>
          <w:szCs w:val="30"/>
          <w:highlight w:val="none"/>
        </w:rPr>
        <w:t>：</w:t>
      </w:r>
    </w:p>
    <w:p>
      <w:pPr>
        <w:spacing w:line="600" w:lineRule="auto"/>
        <w:jc w:val="center"/>
        <w:rPr>
          <w:rFonts w:hint="eastAsia" w:ascii="黑体" w:hAnsi="Times New Roman" w:eastAsia="黑体" w:cs="Times New Roman"/>
          <w:b/>
          <w:color w:val="auto"/>
          <w:sz w:val="30"/>
          <w:szCs w:val="30"/>
        </w:rPr>
      </w:pPr>
      <w:r>
        <w:rPr>
          <w:rFonts w:hint="eastAsia" w:ascii="黑体" w:hAnsi="Times New Roman" w:eastAsia="黑体" w:cs="Times New Roman"/>
          <w:b/>
          <w:color w:val="auto"/>
          <w:sz w:val="30"/>
          <w:szCs w:val="30"/>
        </w:rPr>
        <w:t>湖南省政府采购供应商资格承诺函</w:t>
      </w:r>
    </w:p>
    <w:p>
      <w:pPr>
        <w:spacing w:line="600" w:lineRule="auto"/>
        <w:rPr>
          <w:rFonts w:hint="eastAsia" w:ascii="宋体" w:hAnsi="宋体" w:eastAsia="宋体" w:cs="宋体"/>
          <w:color w:val="auto"/>
          <w:sz w:val="21"/>
          <w:szCs w:val="21"/>
        </w:rPr>
      </w:pP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按照《政府采购促进中小企业发展管理办法》(财库〔2020〕46号)本公司企业规模为:大型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中型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小型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微型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rPr>
        <w:t>本公司自愿入驻湖南省政府采购电子卖场，遵守《湖南省政府采购电子卖场管理办法》(湘财购〔2019〕27号)，如违反承诺，同意金融机构将增信保证划缴国库(非电子卖场采购活动项目不需勾选)。</w:t>
      </w:r>
    </w:p>
    <w:p>
      <w:pPr>
        <w:spacing w:line="600" w:lineRule="auto"/>
        <w:rPr>
          <w:rFonts w:hint="eastAsia" w:ascii="宋体" w:hAnsi="宋体" w:eastAsia="宋体" w:cs="宋体"/>
          <w:color w:val="auto"/>
          <w:sz w:val="21"/>
          <w:szCs w:val="21"/>
        </w:rPr>
      </w:pPr>
    </w:p>
    <w:p>
      <w:pPr>
        <w:spacing w:line="60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公司(单位)名称:(盖章)</w:t>
      </w:r>
    </w:p>
    <w:p>
      <w:pPr>
        <w:spacing w:line="60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机构代码、注册登记机构、日期、有效期、注册资本、地址、 经济行业、经济性质</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法定代表人(负责人)姓名(签字)、身份证号、手机号:</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授权代表人姓名(签字)、身份证号、手机号:</w:t>
      </w:r>
    </w:p>
    <w:p>
      <w:pPr>
        <w:pStyle w:val="4"/>
        <w:jc w:val="both"/>
        <w:rPr>
          <w:rFonts w:hint="eastAsia"/>
          <w:color w:val="auto"/>
          <w:sz w:val="30"/>
          <w:szCs w:val="30"/>
          <w:highlight w:val="none"/>
        </w:rPr>
      </w:pPr>
      <w:r>
        <w:rPr>
          <w:rFonts w:hint="eastAsia"/>
          <w:color w:val="auto"/>
          <w:sz w:val="30"/>
          <w:szCs w:val="30"/>
          <w:highlight w:val="none"/>
        </w:rPr>
        <w:t>二、磋商保证金缴纳证明材料（本项目不需要提供磋商保证金）</w:t>
      </w:r>
    </w:p>
    <w:p>
      <w:pPr>
        <w:pStyle w:val="22"/>
        <w:adjustRightInd w:val="0"/>
        <w:snapToGrid w:val="0"/>
        <w:spacing w:before="156" w:beforeLines="50" w:line="360" w:lineRule="auto"/>
        <w:rPr>
          <w:rFonts w:hint="eastAsia" w:hAnsi="宋体" w:cs="宋体"/>
          <w:color w:val="auto"/>
          <w:highlight w:val="none"/>
        </w:rPr>
      </w:pPr>
    </w:p>
    <w:p>
      <w:pPr>
        <w:numPr>
          <w:ilvl w:val="0"/>
          <w:numId w:val="5"/>
        </w:num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提供付款凭证复印件。</w:t>
      </w:r>
    </w:p>
    <w:p>
      <w:pPr>
        <w:adjustRightInd w:val="0"/>
        <w:snapToGrid w:val="0"/>
        <w:spacing w:line="360" w:lineRule="auto"/>
        <w:ind w:firstLine="420" w:firstLineChars="200"/>
        <w:rPr>
          <w:rFonts w:hint="eastAsia"/>
          <w:color w:val="auto"/>
          <w:sz w:val="21"/>
          <w:szCs w:val="21"/>
          <w:highlight w:val="none"/>
        </w:rPr>
      </w:pPr>
      <w:r>
        <w:rPr>
          <w:rFonts w:hint="eastAsia"/>
          <w:color w:val="auto"/>
          <w:sz w:val="21"/>
          <w:szCs w:val="21"/>
          <w:highlight w:val="none"/>
        </w:rPr>
        <w:t>2、根据供应商递交的《投标保证金退还申请书》上的账户信息，以转账或电汇方式退还至供应商的原缴纳账户。</w:t>
      </w: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
        <w:rPr>
          <w:rStyle w:val="59"/>
          <w:rFonts w:hint="eastAsia"/>
          <w:b/>
          <w:bCs/>
          <w:color w:val="auto"/>
          <w:sz w:val="30"/>
          <w:szCs w:val="30"/>
          <w:highlight w:val="none"/>
        </w:rPr>
      </w:pPr>
      <w:r>
        <w:rPr>
          <w:rStyle w:val="59"/>
          <w:rFonts w:hint="eastAsia"/>
          <w:b/>
          <w:bCs/>
          <w:color w:val="auto"/>
          <w:sz w:val="30"/>
          <w:szCs w:val="30"/>
          <w:highlight w:val="none"/>
        </w:rPr>
        <w:t>三、供应商的资格证明资料</w:t>
      </w:r>
    </w:p>
    <w:p>
      <w:pPr>
        <w:spacing w:line="48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附件4                   </w:t>
      </w:r>
      <w:r>
        <w:rPr>
          <w:rStyle w:val="60"/>
          <w:rFonts w:hint="eastAsia"/>
          <w:bCs w:val="0"/>
          <w:color w:val="auto"/>
          <w:sz w:val="21"/>
          <w:szCs w:val="21"/>
          <w:highlight w:val="none"/>
        </w:rPr>
        <w:t>供应商基本情况表</w:t>
      </w:r>
    </w:p>
    <w:p>
      <w:pPr>
        <w:adjustRightInd w:val="0"/>
        <w:snapToGrid w:val="0"/>
        <w:spacing w:line="360" w:lineRule="auto"/>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盖供应商单位章</w:t>
      </w:r>
    </w:p>
    <w:tbl>
      <w:tblPr>
        <w:tblStyle w:val="41"/>
        <w:tblW w:w="0" w:type="auto"/>
        <w:tblInd w:w="4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2044" w:type="dxa"/>
            <w:gridSpan w:val="3"/>
            <w:tcBorders>
              <w:top w:val="single" w:color="auto" w:sz="6" w:space="0"/>
              <w:left w:val="single" w:color="auto" w:sz="6" w:space="0"/>
              <w:right w:val="single" w:color="auto" w:sz="6" w:space="0"/>
            </w:tcBorders>
            <w:noWrap w:val="0"/>
            <w:vAlign w:val="center"/>
          </w:tcPr>
          <w:p>
            <w:pPr>
              <w:topLinePunct/>
              <w:spacing w:line="44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营业范围</w:t>
            </w:r>
          </w:p>
          <w:p>
            <w:pPr>
              <w:topLinePunct/>
              <w:spacing w:line="440" w:lineRule="exact"/>
              <w:jc w:val="center"/>
              <w:rPr>
                <w:rFonts w:hint="eastAsia" w:ascii="宋体" w:hAnsi="宋体" w:eastAsia="宋体" w:cs="宋体"/>
                <w:color w:val="auto"/>
                <w:sz w:val="21"/>
                <w:szCs w:val="21"/>
                <w:highlight w:val="none"/>
              </w:rPr>
            </w:pPr>
          </w:p>
        </w:tc>
        <w:tc>
          <w:tcPr>
            <w:tcW w:w="6057" w:type="dxa"/>
            <w:gridSpan w:val="6"/>
            <w:tcBorders>
              <w:top w:val="single" w:color="auto" w:sz="6" w:space="0"/>
              <w:left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附《法人登记证书》或《法人营业执照》（副本）复印件</w:t>
            </w:r>
          </w:p>
        </w:tc>
      </w:tr>
    </w:tbl>
    <w:p>
      <w:pPr>
        <w:spacing w:line="480" w:lineRule="exact"/>
        <w:rPr>
          <w:rFonts w:hint="eastAsia" w:ascii="宋体" w:hAnsi="宋体" w:cs="宋体"/>
          <w:color w:val="auto"/>
          <w:sz w:val="21"/>
          <w:szCs w:val="21"/>
          <w:highlight w:val="none"/>
        </w:rPr>
      </w:pPr>
    </w:p>
    <w:p>
      <w:pPr>
        <w:spacing w:line="480" w:lineRule="exact"/>
        <w:rPr>
          <w:rFonts w:hint="eastAsia" w:ascii="黑体" w:eastAsia="黑体"/>
          <w:color w:val="auto"/>
          <w:sz w:val="30"/>
          <w:szCs w:val="30"/>
          <w:highlight w:val="none"/>
        </w:rPr>
      </w:pPr>
      <w:r>
        <w:rPr>
          <w:rFonts w:hint="eastAsia" w:ascii="宋体" w:hAnsi="宋体" w:cs="宋体"/>
          <w:color w:val="auto"/>
          <w:sz w:val="21"/>
          <w:szCs w:val="21"/>
          <w:highlight w:val="none"/>
        </w:rPr>
        <w:t xml:space="preserve">附件5     </w:t>
      </w:r>
      <w:r>
        <w:rPr>
          <w:rFonts w:hint="eastAsia" w:ascii="黑体" w:eastAsia="黑体"/>
          <w:color w:val="auto"/>
          <w:sz w:val="30"/>
          <w:szCs w:val="30"/>
          <w:highlight w:val="none"/>
        </w:rPr>
        <w:t>磋商文件规定的基本资格条件证明资料</w:t>
      </w:r>
    </w:p>
    <w:p>
      <w:pPr>
        <w:spacing w:line="480" w:lineRule="exact"/>
        <w:rPr>
          <w:rFonts w:hint="eastAsia" w:ascii="黑体" w:hAnsi="宋体" w:eastAsia="黑体"/>
          <w:color w:val="auto"/>
          <w:szCs w:val="21"/>
          <w:highlight w:val="none"/>
        </w:rPr>
      </w:pP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符合《中华人民共和国政府采购法》第二十二条规定的供应商条件，并提供以下资格证明文件：</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（1）法人提交企业法人营业执照副本(或者法人登记证书)以及组织机构代码证副本复印件；</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）法人提交法定代表人身份证明原件或者法定代表人授权委托书原件并附法定代表人身份证明原件；自然人提交身份证明复印件</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w:t>
      </w:r>
      <w:r>
        <w:rPr>
          <w:rFonts w:hint="eastAsia" w:asciiTheme="minorEastAsia" w:hAnsiTheme="minorEastAsia" w:eastAsiaTheme="minorEastAsia" w:cstheme="minorEastAsia"/>
          <w:color w:val="auto"/>
          <w:sz w:val="21"/>
          <w:szCs w:val="21"/>
          <w:highlight w:val="none"/>
          <w:lang w:val="en-US" w:eastAsia="zh-CN"/>
        </w:rPr>
        <w:t>提供《</w:t>
      </w:r>
      <w:r>
        <w:rPr>
          <w:rFonts w:hint="eastAsia" w:asciiTheme="minorEastAsia" w:hAnsiTheme="minorEastAsia" w:eastAsiaTheme="minorEastAsia" w:cstheme="minorEastAsia"/>
          <w:color w:val="auto"/>
          <w:sz w:val="21"/>
          <w:szCs w:val="21"/>
          <w:highlight w:val="none"/>
          <w:lang w:eastAsia="zh-CN"/>
        </w:rPr>
        <w:t>湖南省政府采购供应商资格承诺函</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本项目专门面向中小微企业采购，所属行业为“物业管理”，投标人须提供《中小企业声明函》，否则视为无效响应。</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其他说明：①</w:t>
      </w:r>
      <w:r>
        <w:rPr>
          <w:rFonts w:hint="eastAsia" w:asciiTheme="minorEastAsia" w:hAnsiTheme="minorEastAsia" w:eastAsiaTheme="minorEastAsia" w:cstheme="minorEastAsia"/>
          <w:color w:val="auto"/>
          <w:sz w:val="21"/>
          <w:szCs w:val="21"/>
          <w:highlight w:val="none"/>
        </w:rPr>
        <w:t>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w:t>
      </w:r>
      <w:r>
        <w:rPr>
          <w:rFonts w:hint="eastAsia" w:asciiTheme="minorEastAsia" w:hAnsiTheme="minorEastAsia" w:eastAsiaTheme="minorEastAsia" w:cstheme="minorEastAsia"/>
          <w:color w:val="auto"/>
          <w:sz w:val="21"/>
          <w:szCs w:val="21"/>
          <w:highlight w:val="none"/>
          <w:lang w:val="en-US" w:eastAsia="zh-CN"/>
        </w:rPr>
        <w:t>实行了“三证合一”或者“五证合一”的，请自行说明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②根据长沙市财政局《关于政府采购促进中小企业发展若干措施的通知》（长财采购[2022]10号）文件精神，供应商凭《湖南省政府采购供应商资格承诺函》（格式详见响应文件组成）参与政府采购活动，无需提供财务状况报告、依法缴纳税收和社会保障资金的相关文件材料、参加政府采购活动前3年在经营活动中没有重大违法记录的书面声明。③投标人须如实填写</w:t>
      </w:r>
      <w:r>
        <w:rPr>
          <w:rFonts w:hint="eastAsia" w:asciiTheme="minorEastAsia" w:hAnsiTheme="minorEastAsia" w:eastAsiaTheme="minorEastAsia" w:cstheme="minorEastAsia"/>
          <w:color w:val="auto"/>
          <w:sz w:val="21"/>
          <w:szCs w:val="21"/>
          <w:highlight w:val="none"/>
        </w:rPr>
        <w:t>《中小企业声明函》</w:t>
      </w:r>
      <w:r>
        <w:rPr>
          <w:rFonts w:hint="eastAsia" w:asciiTheme="minorEastAsia" w:hAnsiTheme="minorEastAsia" w:eastAsiaTheme="minorEastAsia" w:cstheme="minorEastAsia"/>
          <w:color w:val="auto"/>
          <w:sz w:val="21"/>
          <w:szCs w:val="21"/>
          <w:highlight w:val="none"/>
          <w:lang w:val="en-US" w:eastAsia="zh-CN"/>
        </w:rPr>
        <w:t>（格式详见响应文件组成）</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若</w:t>
      </w:r>
      <w:r>
        <w:rPr>
          <w:rFonts w:hint="eastAsia" w:asciiTheme="minorEastAsia" w:hAnsiTheme="minorEastAsia" w:eastAsiaTheme="minorEastAsia" w:cstheme="minorEastAsia"/>
          <w:color w:val="auto"/>
          <w:sz w:val="21"/>
          <w:szCs w:val="21"/>
          <w:highlight w:val="none"/>
        </w:rPr>
        <w:t>提供的《中小企业声明函》内容不实，属于提供虚假材料谋取成交，依照《中华人民共和国政府采购法》等国家有关规定追究相应责</w:t>
      </w:r>
      <w:r>
        <w:rPr>
          <w:rFonts w:hint="eastAsia" w:asciiTheme="minorEastAsia" w:hAnsiTheme="minorEastAsia" w:eastAsiaTheme="minorEastAsia" w:cstheme="minorEastAsia"/>
          <w:color w:val="auto"/>
          <w:sz w:val="21"/>
          <w:szCs w:val="21"/>
          <w:highlight w:val="none"/>
          <w:lang w:val="en-US" w:eastAsia="zh-CN"/>
        </w:rPr>
        <w:t>任。④</w:t>
      </w:r>
      <w:r>
        <w:rPr>
          <w:rFonts w:hint="eastAsia" w:asciiTheme="minorEastAsia" w:hAnsiTheme="minorEastAsia" w:eastAsiaTheme="minorEastAsia" w:cstheme="minorEastAsia"/>
          <w:color w:val="auto"/>
          <w:sz w:val="21"/>
          <w:szCs w:val="21"/>
          <w:highlight w:val="none"/>
        </w:rPr>
        <w:t>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附件6     </w:t>
      </w:r>
      <w:r>
        <w:rPr>
          <w:rFonts w:hint="eastAsia" w:ascii="宋体" w:hAnsi="宋体" w:cs="宋体"/>
          <w:b/>
          <w:color w:val="auto"/>
          <w:sz w:val="30"/>
          <w:szCs w:val="30"/>
          <w:highlight w:val="none"/>
        </w:rPr>
        <w:t xml:space="preserve"> 磋商文件规定的特定资格条件证明资料</w:t>
      </w: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备注：提供第二章 磋商须知第3.1款供应商特定资格条件证明资料的复印件。</w:t>
      </w: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b/>
          <w:bCs/>
          <w:color w:val="auto"/>
          <w:sz w:val="21"/>
          <w:szCs w:val="21"/>
          <w:highlight w:val="none"/>
        </w:rPr>
      </w:pPr>
      <w:r>
        <w:rPr>
          <w:rFonts w:hint="eastAsia" w:ascii="宋体" w:hAnsi="宋体" w:cs="宋体"/>
          <w:b/>
          <w:color w:val="auto"/>
          <w:sz w:val="21"/>
          <w:szCs w:val="21"/>
          <w:highlight w:val="none"/>
        </w:rPr>
        <w:t xml:space="preserve">附件7                 </w:t>
      </w:r>
      <w:r>
        <w:rPr>
          <w:rFonts w:hint="eastAsia" w:ascii="宋体" w:hAnsi="宋体" w:cs="宋体"/>
          <w:b/>
          <w:color w:val="auto"/>
          <w:sz w:val="30"/>
          <w:szCs w:val="30"/>
          <w:highlight w:val="none"/>
        </w:rPr>
        <w:t xml:space="preserve"> </w:t>
      </w:r>
      <w:r>
        <w:rPr>
          <w:rFonts w:hint="eastAsia" w:ascii="宋体" w:hAnsi="宋体" w:cs="宋体"/>
          <w:b/>
          <w:bCs/>
          <w:color w:val="auto"/>
          <w:sz w:val="30"/>
          <w:szCs w:val="30"/>
          <w:highlight w:val="none"/>
        </w:rPr>
        <w:t xml:space="preserve">  其它证明资料或说明</w:t>
      </w:r>
    </w:p>
    <w:p>
      <w:pPr>
        <w:adjustRightInd w:val="0"/>
        <w:snapToGrid w:val="0"/>
        <w:spacing w:line="360" w:lineRule="auto"/>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提供磋商文件或评分标准需要提供的相关证明文件复印件。</w:t>
      </w: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rPr>
          <w:rFonts w:hint="eastAsia" w:ascii="宋体" w:hAnsi="宋体" w:cs="宋体"/>
          <w:color w:val="auto"/>
          <w:sz w:val="30"/>
          <w:szCs w:val="30"/>
          <w:highlight w:val="none"/>
        </w:rPr>
      </w:pPr>
      <w:r>
        <w:rPr>
          <w:rFonts w:hint="eastAsia" w:ascii="宋体" w:hAnsi="宋体" w:cs="宋体"/>
          <w:color w:val="auto"/>
          <w:sz w:val="21"/>
          <w:szCs w:val="21"/>
          <w:highlight w:val="none"/>
        </w:rPr>
        <w:t>附件8-1：</w:t>
      </w:r>
    </w:p>
    <w:p>
      <w:pPr>
        <w:adjustRightInd w:val="0"/>
        <w:snapToGrid w:val="0"/>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四、服务方案说明</w:t>
      </w:r>
    </w:p>
    <w:p>
      <w:pPr>
        <w:adjustRightInd w:val="0"/>
        <w:snapToGrid w:val="0"/>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服务类项目供应商应根据第四章规定和评标标准要求编写项目实施服务方案（格式自拟）。</w:t>
      </w: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pStyle w:val="24"/>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_</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附件8-2：               </w:t>
      </w:r>
    </w:p>
    <w:p>
      <w:pPr>
        <w:adjustRightInd w:val="0"/>
        <w:snapToGrid w:val="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主要人员简历表</w:t>
      </w:r>
    </w:p>
    <w:p>
      <w:pPr>
        <w:spacing w:line="360" w:lineRule="atLeast"/>
        <w:jc w:val="center"/>
        <w:rPr>
          <w:rFonts w:hint="eastAsia" w:ascii="宋体" w:hAnsi="宋体" w:cs="宋体"/>
          <w:color w:val="auto"/>
          <w:sz w:val="21"/>
          <w:szCs w:val="21"/>
          <w:highlight w:val="none"/>
        </w:rPr>
      </w:pP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802"/>
        <w:gridCol w:w="2564"/>
        <w:gridCol w:w="411"/>
        <w:gridCol w:w="1458"/>
        <w:gridCol w:w="562"/>
        <w:gridCol w:w="17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  别</w:t>
            </w:r>
          </w:p>
        </w:tc>
        <w:tc>
          <w:tcPr>
            <w:tcW w:w="1728" w:type="dxa"/>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务</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称</w:t>
            </w:r>
          </w:p>
        </w:tc>
        <w:tc>
          <w:tcPr>
            <w:tcW w:w="1728" w:type="dxa"/>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毕业学校、专业</w:t>
            </w:r>
          </w:p>
        </w:tc>
        <w:tc>
          <w:tcPr>
            <w:tcW w:w="6723" w:type="dxa"/>
            <w:gridSpan w:val="5"/>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拟在本合同任职</w:t>
            </w:r>
          </w:p>
        </w:tc>
        <w:tc>
          <w:tcPr>
            <w:tcW w:w="1728" w:type="dxa"/>
            <w:noWrap w:val="0"/>
            <w:vAlign w:val="center"/>
          </w:tcPr>
          <w:p>
            <w:pPr>
              <w:spacing w:line="360" w:lineRule="atLeast"/>
              <w:ind w:right="-140" w:rightChars="-50"/>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执业资格证书号</w:t>
            </w:r>
          </w:p>
        </w:tc>
        <w:tc>
          <w:tcPr>
            <w:tcW w:w="1728" w:type="dxa"/>
            <w:noWrap w:val="0"/>
            <w:vAlign w:val="center"/>
          </w:tcPr>
          <w:p>
            <w:pP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8834" w:type="dxa"/>
            <w:gridSpan w:val="7"/>
            <w:noWrap w:val="0"/>
            <w:vAlign w:val="center"/>
          </w:tcPr>
          <w:p>
            <w:pPr>
              <w:spacing w:line="36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类似项目名称</w:t>
            </w: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担任职务</w:t>
            </w: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bl>
    <w:p>
      <w:pPr>
        <w:spacing w:line="36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说明：主要人员证书、类似项目证明资料等按第二章第42.1款或第四章要求提供。</w:t>
      </w:r>
    </w:p>
    <w:p>
      <w:pPr>
        <w:adjustRightInd w:val="0"/>
        <w:snapToGrid w:val="0"/>
        <w:spacing w:line="360" w:lineRule="auto"/>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24"/>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_</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bCs/>
          <w:color w:val="auto"/>
          <w:sz w:val="21"/>
          <w:szCs w:val="21"/>
          <w:highlight w:val="none"/>
        </w:rPr>
      </w:pPr>
    </w:p>
    <w:p>
      <w:pPr>
        <w:adjustRightInd w:val="0"/>
        <w:snapToGrid w:val="0"/>
        <w:spacing w:line="360" w:lineRule="auto"/>
        <w:jc w:val="center"/>
        <w:outlineLvl w:val="0"/>
        <w:rPr>
          <w:rFonts w:hint="eastAsia" w:ascii="宋体" w:hAnsi="宋体" w:cs="宋体"/>
          <w:b/>
          <w:color w:val="auto"/>
          <w:sz w:val="21"/>
          <w:szCs w:val="21"/>
          <w:highlight w:val="none"/>
        </w:rPr>
      </w:pPr>
    </w:p>
    <w:p>
      <w:pPr>
        <w:adjustRightInd w:val="0"/>
        <w:snapToGrid w:val="0"/>
        <w:spacing w:line="360" w:lineRule="auto"/>
        <w:jc w:val="center"/>
        <w:outlineLvl w:val="0"/>
        <w:rPr>
          <w:rFonts w:hint="eastAsia" w:ascii="宋体" w:hAnsi="宋体" w:cs="宋体"/>
          <w:b/>
          <w:color w:val="auto"/>
          <w:sz w:val="21"/>
          <w:szCs w:val="21"/>
          <w:highlight w:val="none"/>
        </w:rPr>
      </w:pPr>
    </w:p>
    <w:p>
      <w:pPr>
        <w:adjustRightInd w:val="0"/>
        <w:snapToGrid w:val="0"/>
        <w:spacing w:line="360" w:lineRule="auto"/>
        <w:jc w:val="center"/>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t>五、技术/商务响应与偏离表</w:t>
      </w:r>
    </w:p>
    <w:p>
      <w:pPr>
        <w:adjustRightInd w:val="0"/>
        <w:snapToGrid w:val="0"/>
        <w:ind w:left="-117" w:leftChars="-42" w:firstLine="315" w:firstLineChars="150"/>
        <w:rPr>
          <w:rFonts w:hint="eastAsia" w:ascii="宋体" w:hAnsi="宋体" w:cs="宋体"/>
          <w:color w:val="auto"/>
          <w:sz w:val="21"/>
          <w:szCs w:val="21"/>
          <w:highlight w:val="none"/>
          <w:u w:val="single"/>
        </w:rPr>
      </w:pP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117" w:leftChars="-42"/>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磋商文件条目号</w:t>
            </w: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采购规格/商务条款</w:t>
            </w: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响应文件的规格/商务条款</w:t>
            </w: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响应与偏离</w:t>
            </w: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bl>
    <w:p>
      <w:pPr>
        <w:adjustRightInd w:val="0"/>
        <w:snapToGrid w:val="0"/>
        <w:spacing w:line="360" w:lineRule="auto"/>
        <w:ind w:left="-117" w:leftChars="-42"/>
        <w:rPr>
          <w:rFonts w:hint="eastAsia" w:ascii="宋体" w:hAnsi="宋体" w:cs="宋体"/>
          <w:color w:val="auto"/>
          <w:sz w:val="21"/>
          <w:szCs w:val="21"/>
          <w:highlight w:val="none"/>
        </w:rPr>
      </w:pPr>
      <w:r>
        <w:rPr>
          <w:rFonts w:hint="eastAsia" w:ascii="宋体" w:hAnsi="宋体" w:cs="宋体"/>
          <w:color w:val="auto"/>
          <w:sz w:val="21"/>
          <w:szCs w:val="21"/>
          <w:highlight w:val="none"/>
        </w:rPr>
        <w:t>说明：1、“响应与偏离”应注明“响应”或“偏离”。</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b/>
          <w:color w:val="auto"/>
          <w:sz w:val="21"/>
          <w:szCs w:val="21"/>
          <w:highlight w:val="none"/>
        </w:rPr>
        <w:t xml:space="preserve">     </w:t>
      </w:r>
      <w:r>
        <w:rPr>
          <w:rFonts w:hint="eastAsia" w:ascii="宋体" w:hAnsi="宋体" w:cs="宋体"/>
          <w:color w:val="auto"/>
          <w:sz w:val="21"/>
          <w:szCs w:val="21"/>
          <w:highlight w:val="none"/>
        </w:rPr>
        <w:t>2、属磋商文件规定可能变动的内容在“说明”栏中注明。</w:t>
      </w:r>
    </w:p>
    <w:p>
      <w:pPr>
        <w:pStyle w:val="24"/>
        <w:adjustRightInd w:val="0"/>
        <w:snapToGrid w:val="0"/>
        <w:spacing w:line="360" w:lineRule="auto"/>
        <w:outlineLvl w:val="0"/>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24"/>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          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六、提供享受政府采购政策的证明材料</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附件9-1</w:t>
      </w:r>
    </w:p>
    <w:p>
      <w:pPr>
        <w:jc w:val="center"/>
        <w:rPr>
          <w:rFonts w:hint="eastAsia" w:ascii="黑体" w:hAnsi="华文中宋" w:eastAsia="黑体" w:cs="宋体"/>
          <w:bCs/>
          <w:color w:val="auto"/>
          <w:spacing w:val="6"/>
          <w:kern w:val="0"/>
          <w:sz w:val="30"/>
          <w:szCs w:val="30"/>
          <w:highlight w:val="none"/>
        </w:rPr>
      </w:pPr>
    </w:p>
    <w:p>
      <w:pPr>
        <w:jc w:val="center"/>
        <w:rPr>
          <w:rFonts w:hint="eastAsia" w:ascii="黑体" w:hAnsi="黑体" w:eastAsia="黑体" w:cs="黑体"/>
          <w:bCs/>
          <w:color w:val="auto"/>
          <w:spacing w:val="6"/>
          <w:kern w:val="0"/>
          <w:sz w:val="30"/>
          <w:szCs w:val="30"/>
          <w:highlight w:val="none"/>
        </w:rPr>
      </w:pPr>
      <w:r>
        <w:rPr>
          <w:rFonts w:hint="eastAsia" w:ascii="黑体" w:hAnsi="黑体" w:eastAsia="黑体" w:cs="黑体"/>
          <w:bCs/>
          <w:color w:val="auto"/>
          <w:spacing w:val="6"/>
          <w:kern w:val="0"/>
          <w:sz w:val="30"/>
          <w:szCs w:val="30"/>
          <w:highlight w:val="none"/>
        </w:rPr>
        <w:t>中小企业声明函(工程、服务)</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本公司(联合体)郑重声明，根据《政府采购促进中小企业发展管理办法》(财库( 2020 )46号)的规定，本公司(联合体)参加</w:t>
      </w:r>
      <w:r>
        <w:rPr>
          <w:rFonts w:hint="eastAsia" w:asciiTheme="minorEastAsia" w:hAnsiTheme="minorEastAsia" w:eastAsiaTheme="minorEastAsia" w:cstheme="minorEastAsia"/>
          <w:i/>
          <w:iCs/>
          <w:color w:val="auto"/>
          <w:sz w:val="21"/>
          <w:szCs w:val="21"/>
          <w:highlight w:val="none"/>
          <w:u w:val="single"/>
        </w:rPr>
        <w:t xml:space="preserve"> (单位名称)</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(标的名称)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,属于.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(采购文件中明确的所属行业）</w:t>
      </w:r>
      <w:r>
        <w:rPr>
          <w:rFonts w:hint="eastAsia" w:asciiTheme="minorEastAsia" w:hAnsiTheme="minorEastAsia" w:eastAsiaTheme="minorEastAsia" w:cstheme="minorEastAsia"/>
          <w:color w:val="auto"/>
          <w:sz w:val="21"/>
          <w:szCs w:val="21"/>
          <w:highlight w:val="none"/>
        </w:rPr>
        <w:t>;承建(承接)企业为</w:t>
      </w:r>
      <w:r>
        <w:rPr>
          <w:rFonts w:hint="eastAsia" w:asciiTheme="minorEastAsia" w:hAnsiTheme="minorEastAsia" w:eastAsiaTheme="minorEastAsia" w:cstheme="minorEastAsia"/>
          <w:i/>
          <w:iCs/>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,从业人员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 营业收入为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万元，属于</w:t>
      </w:r>
      <w:r>
        <w:rPr>
          <w:rFonts w:hint="eastAsia" w:asciiTheme="minorEastAsia" w:hAnsiTheme="minorEastAsia" w:eastAsiaTheme="minorEastAsia" w:cstheme="minorEastAsia"/>
          <w:i/>
          <w:iCs/>
          <w:color w:val="auto"/>
          <w:sz w:val="21"/>
          <w:szCs w:val="21"/>
          <w:highlight w:val="none"/>
          <w:u w:val="single"/>
        </w:rPr>
        <w:t>(中型企业、小型企业、微型企业)</w:t>
      </w: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 xml:space="preserve">(标的名称) </w:t>
      </w:r>
      <w:r>
        <w:rPr>
          <w:rFonts w:hint="eastAsia" w:asciiTheme="minorEastAsia" w:hAnsiTheme="minorEastAsia" w:eastAsiaTheme="minorEastAsia" w:cstheme="minorEastAsia"/>
          <w:color w:val="auto"/>
          <w:sz w:val="21"/>
          <w:szCs w:val="21"/>
          <w:highlight w:val="none"/>
        </w:rPr>
        <w:t>, 属于</w:t>
      </w:r>
      <w:r>
        <w:rPr>
          <w:rFonts w:hint="eastAsia" w:asciiTheme="minorEastAsia" w:hAnsiTheme="minorEastAsia" w:eastAsiaTheme="minorEastAsia" w:cstheme="minorEastAsia"/>
          <w:i/>
          <w:iCs/>
          <w:color w:val="auto"/>
          <w:sz w:val="21"/>
          <w:szCs w:val="21"/>
          <w:highlight w:val="none"/>
          <w:u w:val="single"/>
        </w:rPr>
        <w:t>(采购文件中明确的所属行业）</w:t>
      </w:r>
      <w:r>
        <w:rPr>
          <w:rFonts w:hint="eastAsia" w:asciiTheme="minorEastAsia" w:hAnsiTheme="minorEastAsia" w:eastAsiaTheme="minorEastAsia" w:cstheme="minorEastAsia"/>
          <w:color w:val="auto"/>
          <w:sz w:val="21"/>
          <w:szCs w:val="21"/>
          <w:highlight w:val="none"/>
        </w:rPr>
        <w:t>;承建(承接)企业为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,从业人员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 营业收入为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万元，属于</w:t>
      </w:r>
      <w:r>
        <w:rPr>
          <w:rFonts w:hint="eastAsia" w:asciiTheme="minorEastAsia" w:hAnsiTheme="minorEastAsia" w:eastAsiaTheme="minorEastAsia" w:cstheme="minorEastAsia"/>
          <w:i/>
          <w:iCs/>
          <w:color w:val="auto"/>
          <w:sz w:val="21"/>
          <w:szCs w:val="21"/>
          <w:highlight w:val="none"/>
          <w:u w:val="single"/>
        </w:rPr>
        <w:t>(中型企业、小型企业、微型企业)</w:t>
      </w: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以上企业，不属于大企业的分支机构，不存在控股股东为大企业的情形，也不存在与大企业的负责人为同一人的情形。</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本企业对上述声明内容的真实性负责。如有虚假，将依法承担相应责任。</w:t>
      </w: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企业名称(盖章):</w:t>
      </w: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p>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说明：1、现行中小企业划分标准行业包括农、林、牧、渔业，工业，建筑业，批发业，零售业，交通运输业，仓储业，邮政业，住宿业，餐饮业，</w:t>
      </w:r>
      <w:r>
        <w:rPr>
          <w:rFonts w:hint="eastAsia" w:asciiTheme="minorEastAsia" w:hAnsiTheme="minorEastAsia" w:eastAsiaTheme="minorEastAsia" w:cstheme="minorEastAsia"/>
          <w:color w:val="auto"/>
          <w:sz w:val="21"/>
          <w:szCs w:val="21"/>
          <w:highlight w:val="none"/>
          <w:lang w:val="en-US" w:eastAsia="zh-CN"/>
        </w:rPr>
        <w:t>软件和信息技术服务业</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其他未列明行业</w:t>
      </w:r>
      <w:r>
        <w:rPr>
          <w:rFonts w:hint="eastAsia" w:asciiTheme="minorEastAsia" w:hAnsiTheme="minorEastAsia" w:eastAsiaTheme="minorEastAsia" w:cstheme="minorEastAsia"/>
          <w:color w:val="auto"/>
          <w:sz w:val="21"/>
          <w:szCs w:val="21"/>
          <w:highlight w:val="none"/>
        </w:rPr>
        <w:t>，房地产开发经营，物业管理，租赁和商业服务业和其他未列明行业等十六类。</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2、从业人员、营业收入、资产总额填报上一年度数据，无上一年度数据的新成立企业可不填报资产总额。</w:t>
      </w:r>
    </w:p>
    <w:p>
      <w:pPr>
        <w:adjustRightInd w:val="0"/>
        <w:snapToGrid w:val="0"/>
        <w:spacing w:line="360" w:lineRule="auto"/>
        <w:rPr>
          <w:rFonts w:hint="eastAsia" w:ascii="仿宋_GB2312" w:hAnsi="宋体" w:eastAsia="仿宋_GB2312"/>
          <w:color w:val="auto"/>
          <w:szCs w:val="21"/>
          <w:highlight w:val="none"/>
        </w:rPr>
      </w:pPr>
    </w:p>
    <w:p>
      <w:pPr>
        <w:pStyle w:val="2"/>
        <w:rPr>
          <w:rFonts w:hint="eastAsia"/>
          <w:color w:val="auto"/>
        </w:rPr>
      </w:pPr>
    </w:p>
    <w:p>
      <w:pPr>
        <w:adjustRightInd w:val="0"/>
        <w:snapToGrid w:val="0"/>
        <w:spacing w:line="360" w:lineRule="auto"/>
        <w:jc w:val="center"/>
        <w:rPr>
          <w:rFonts w:hint="eastAsia" w:ascii="黑体" w:hAnsi="宋体" w:eastAsia="黑体"/>
          <w:color w:val="auto"/>
          <w:sz w:val="30"/>
          <w:szCs w:val="30"/>
          <w:highlight w:val="none"/>
        </w:rPr>
      </w:pPr>
      <w:r>
        <w:rPr>
          <w:rFonts w:hint="eastAsia" w:ascii="黑体" w:hAnsi="宋体" w:eastAsia="黑体"/>
          <w:color w:val="auto"/>
          <w:sz w:val="30"/>
          <w:szCs w:val="30"/>
          <w:highlight w:val="none"/>
        </w:rPr>
        <w:t>中小企业货物清单表</w:t>
      </w:r>
    </w:p>
    <w:p>
      <w:pPr>
        <w:pStyle w:val="22"/>
        <w:spacing w:line="360" w:lineRule="auto"/>
        <w:rPr>
          <w:rFonts w:hint="eastAsia" w:hAnsi="宋体"/>
          <w:color w:val="auto"/>
          <w:highlight w:val="none"/>
        </w:rPr>
      </w:pPr>
      <w:r>
        <w:rPr>
          <w:rFonts w:hint="eastAsia" w:hAnsi="宋体"/>
          <w:color w:val="auto"/>
          <w:highlight w:val="none"/>
        </w:rPr>
        <w:t xml:space="preserve">                                             </w:t>
      </w: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09"/>
        <w:gridCol w:w="850"/>
        <w:gridCol w:w="851"/>
        <w:gridCol w:w="1701"/>
        <w:gridCol w:w="1701"/>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931" w:type="dxa"/>
            <w:gridSpan w:val="8"/>
            <w:noWrap w:val="0"/>
            <w:vAlign w:val="center"/>
          </w:tcPr>
          <w:p>
            <w:pPr>
              <w:widowControl/>
              <w:spacing w:line="360" w:lineRule="auto"/>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134"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850"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85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1276"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序号</w:t>
            </w:r>
          </w:p>
        </w:tc>
        <w:tc>
          <w:tcPr>
            <w:tcW w:w="1134"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货物名称</w:t>
            </w:r>
          </w:p>
        </w:tc>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数量</w:t>
            </w:r>
          </w:p>
        </w:tc>
        <w:tc>
          <w:tcPr>
            <w:tcW w:w="850"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单价</w:t>
            </w:r>
          </w:p>
        </w:tc>
        <w:tc>
          <w:tcPr>
            <w:tcW w:w="85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总额</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货物制造商名称</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货物制造商类型</w:t>
            </w:r>
          </w:p>
        </w:tc>
        <w:tc>
          <w:tcPr>
            <w:tcW w:w="1276"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中型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bl>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说明：1、本表用于计算中小企业应享受的政策功能价格扣除。</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2、栏目7“货物制造商类型”，填写：中型或小型、微型。</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3、栏目4“单价”为综合单价，包含货物所有隐含的内容，如运输费、保险费、管理费和利润等。</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未提供《中小企业声明函》及未按上述要求填写，或者提供的内容不真实的，评审时本表所有优惠不予以考虑。对提供的内容不真实的，监督管理部门可能以冒充中小企业参与政府采购活动谋取中标，依法予以处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投标人名称（单位章）：</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法定代表人或其委托代理人（签字）：</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adjustRightInd w:val="0"/>
        <w:snapToGrid w:val="0"/>
        <w:rPr>
          <w:rFonts w:hint="eastAsia" w:asciiTheme="minorEastAsia" w:hAnsiTheme="minorEastAsia" w:eastAsiaTheme="minorEastAsia" w:cstheme="minorEastAsia"/>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5"/>
        <w:spacing w:before="0" w:after="0"/>
        <w:jc w:val="center"/>
        <w:rPr>
          <w:rFonts w:ascii="黑体" w:hAnsi="华文中宋" w:eastAsia="黑体"/>
          <w:color w:val="auto"/>
          <w:sz w:val="28"/>
          <w:szCs w:val="28"/>
          <w:highlight w:val="none"/>
        </w:rPr>
      </w:pPr>
      <w:r>
        <w:rPr>
          <w:rFonts w:hint="eastAsia" w:ascii="黑体" w:hAnsi="华文中宋" w:eastAsia="黑体"/>
          <w:color w:val="auto"/>
          <w:sz w:val="28"/>
          <w:szCs w:val="28"/>
          <w:highlight w:val="none"/>
        </w:rPr>
        <w:t>残疾人福利性单位声明函</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【不属于残疾人福利性单位的无需填写】</w:t>
      </w:r>
    </w:p>
    <w:p>
      <w:pPr>
        <w:adjustRightInd w:val="0"/>
        <w:snapToGrid w:val="0"/>
        <w:spacing w:line="360" w:lineRule="auto"/>
        <w:ind w:firstLine="584" w:firstLineChars="200"/>
        <w:rPr>
          <w:rFonts w:ascii="宋体" w:hAnsi="宋体"/>
          <w:color w:val="auto"/>
          <w:spacing w:val="6"/>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1"/>
          <w:szCs w:val="21"/>
          <w:highlight w:val="none"/>
        </w:rPr>
        <w:t>〔2017〕141</w:t>
      </w:r>
      <w:r>
        <w:rPr>
          <w:rFonts w:hint="eastAsia" w:asciiTheme="minorEastAsia" w:hAnsiTheme="minorEastAsia" w:eastAsiaTheme="minorEastAsia" w:cstheme="minorEastAsia"/>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本单位对上述声明的真实性负责。如有虚假，将依法承担相应责任。</w:t>
      </w: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p>
    <w:p>
      <w:pPr>
        <w:tabs>
          <w:tab w:val="left" w:pos="4860"/>
        </w:tabs>
        <w:adjustRightInd w:val="0"/>
        <w:snapToGrid w:val="0"/>
        <w:spacing w:line="360" w:lineRule="auto"/>
        <w:ind w:right="1560" w:firstLine="444" w:firstLineChars="200"/>
        <w:jc w:val="center"/>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单位名称（盖章）：</w:t>
      </w:r>
    </w:p>
    <w:p>
      <w:pPr>
        <w:tabs>
          <w:tab w:val="left" w:pos="4860"/>
        </w:tabs>
        <w:adjustRightInd w:val="0"/>
        <w:snapToGrid w:val="0"/>
        <w:spacing w:line="360" w:lineRule="auto"/>
        <w:ind w:right="1560" w:firstLine="444" w:firstLineChars="200"/>
        <w:jc w:val="center"/>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日  期：</w:t>
      </w:r>
    </w:p>
    <w:p>
      <w:pPr>
        <w:widowControl/>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widowControl/>
        <w:adjustRightInd w:val="0"/>
        <w:snapToGrid w:val="0"/>
        <w:spacing w:line="360" w:lineRule="auto"/>
        <w:rPr>
          <w:rFonts w:ascii="黑体" w:hAnsi="宋体" w:eastAsia="黑体" w:cs="宋体"/>
          <w:color w:val="auto"/>
          <w:kern w:val="0"/>
          <w:szCs w:val="21"/>
          <w:highlight w:val="none"/>
        </w:rPr>
      </w:pPr>
    </w:p>
    <w:p>
      <w:pPr>
        <w:widowControl/>
        <w:adjustRightInd w:val="0"/>
        <w:snapToGrid w:val="0"/>
        <w:spacing w:line="360" w:lineRule="auto"/>
        <w:rPr>
          <w:rFonts w:ascii="黑体" w:hAnsi="宋体" w:eastAsia="黑体" w:cs="宋体"/>
          <w:color w:val="auto"/>
          <w:kern w:val="0"/>
          <w:szCs w:val="21"/>
          <w:highlight w:val="none"/>
        </w:rPr>
      </w:pPr>
    </w:p>
    <w:p>
      <w:pPr>
        <w:pStyle w:val="5"/>
        <w:spacing w:before="0" w:after="0"/>
        <w:jc w:val="center"/>
        <w:rPr>
          <w:rFonts w:ascii="黑体" w:hAnsi="华文中宋" w:eastAsia="黑体"/>
          <w:color w:val="auto"/>
          <w:sz w:val="28"/>
          <w:szCs w:val="28"/>
          <w:highlight w:val="none"/>
        </w:rPr>
      </w:pPr>
      <w:r>
        <w:rPr>
          <w:rFonts w:hint="eastAsia" w:ascii="黑体" w:hAnsi="华文中宋" w:eastAsia="黑体"/>
          <w:color w:val="auto"/>
          <w:sz w:val="28"/>
          <w:szCs w:val="28"/>
          <w:highlight w:val="none"/>
        </w:rPr>
        <w:t>监狱企业证明资料</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【不属于监狱企业的无需提供】</w:t>
      </w:r>
    </w:p>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6"/>
          <w:kern w:val="0"/>
          <w:sz w:val="21"/>
          <w:szCs w:val="21"/>
          <w:highlight w:val="none"/>
        </w:rPr>
        <w:t>备注：</w:t>
      </w:r>
      <w:r>
        <w:rPr>
          <w:rFonts w:hint="eastAsia" w:asciiTheme="minorEastAsia" w:hAnsiTheme="minorEastAsia" w:eastAsiaTheme="minorEastAsia" w:cstheme="minorEastAsia"/>
          <w:color w:val="auto"/>
          <w:sz w:val="21"/>
          <w:szCs w:val="21"/>
          <w:highlight w:val="none"/>
        </w:rPr>
        <w:t>按</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z w:val="21"/>
          <w:szCs w:val="21"/>
          <w:highlight w:val="none"/>
        </w:rPr>
        <w:t>财政部 司法部关于政府采购支持监狱企业发展有关问题的通知</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z w:val="21"/>
          <w:szCs w:val="21"/>
          <w:highlight w:val="none"/>
        </w:rPr>
        <w:t>(财库〔2014〕68号)文件规定提供证明文件（复印件）。</w:t>
      </w: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pStyle w:val="219"/>
        <w:rPr>
          <w:rFonts w:hint="eastAsia"/>
          <w:color w:val="auto"/>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ind w:firstLine="803"/>
        <w:jc w:val="center"/>
        <w:rPr>
          <w:rFonts w:hint="eastAsia" w:ascii="宋体" w:hAnsi="宋体" w:cs="宋体"/>
          <w:b/>
          <w:color w:val="auto"/>
          <w:sz w:val="30"/>
          <w:szCs w:val="30"/>
          <w:highlight w:val="none"/>
        </w:rPr>
      </w:pPr>
      <w:r>
        <w:rPr>
          <w:rFonts w:hint="eastAsia" w:ascii="宋体" w:hAnsi="宋体" w:cs="宋体"/>
          <w:b/>
          <w:bCs/>
          <w:color w:val="auto"/>
          <w:sz w:val="30"/>
          <w:szCs w:val="30"/>
          <w:highlight w:val="none"/>
        </w:rPr>
        <w:t>七、</w:t>
      </w:r>
      <w:r>
        <w:rPr>
          <w:rFonts w:hint="eastAsia" w:ascii="宋体" w:hAnsi="宋体" w:cs="宋体"/>
          <w:b/>
          <w:color w:val="auto"/>
          <w:sz w:val="30"/>
          <w:szCs w:val="30"/>
          <w:highlight w:val="none"/>
        </w:rPr>
        <w:t>报价一览表及报价文件</w:t>
      </w:r>
    </w:p>
    <w:p>
      <w:pPr>
        <w:tabs>
          <w:tab w:val="left" w:pos="1680"/>
        </w:tabs>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附件10</w:t>
      </w:r>
      <w:r>
        <w:rPr>
          <w:rFonts w:hint="eastAsia" w:ascii="宋体" w:hAnsi="宋体" w:cs="宋体"/>
          <w:color w:val="auto"/>
          <w:sz w:val="21"/>
          <w:szCs w:val="21"/>
          <w:highlight w:val="none"/>
        </w:rPr>
        <w:tab/>
      </w:r>
    </w:p>
    <w:p>
      <w:pPr>
        <w:spacing w:line="360" w:lineRule="exact"/>
        <w:ind w:firstLine="210" w:firstLineChars="100"/>
        <w:rPr>
          <w:rFonts w:hint="eastAsia" w:ascii="宋体" w:hAnsi="宋体" w:cs="宋体"/>
          <w:color w:val="auto"/>
          <w:sz w:val="21"/>
          <w:szCs w:val="21"/>
          <w:highlight w:val="none"/>
        </w:rPr>
      </w:pPr>
    </w:p>
    <w:p>
      <w:pPr>
        <w:adjustRightInd w:val="0"/>
        <w:snapToGrid w:val="0"/>
        <w:jc w:val="center"/>
        <w:rPr>
          <w:rFonts w:hint="eastAsia" w:ascii="宋体" w:hAnsi="宋体" w:cs="宋体"/>
          <w:bCs/>
          <w:color w:val="auto"/>
          <w:sz w:val="21"/>
          <w:szCs w:val="21"/>
          <w:highlight w:val="none"/>
        </w:rPr>
      </w:pPr>
    </w:p>
    <w:p>
      <w:pPr>
        <w:jc w:val="center"/>
        <w:rPr>
          <w:rFonts w:hint="eastAsia" w:ascii="宋体" w:hAnsi="宋体" w:cs="宋体"/>
          <w:color w:val="auto"/>
          <w:sz w:val="21"/>
          <w:szCs w:val="21"/>
          <w:highlight w:val="none"/>
        </w:rPr>
      </w:pPr>
      <w:r>
        <w:rPr>
          <w:rFonts w:hint="eastAsia" w:ascii="黑体" w:hAnsi="宋体" w:eastAsia="黑体"/>
          <w:bCs/>
          <w:color w:val="auto"/>
          <w:sz w:val="30"/>
          <w:szCs w:val="30"/>
          <w:highlight w:val="none"/>
        </w:rPr>
        <w:t>报价一览表</w:t>
      </w:r>
    </w:p>
    <w:p>
      <w:pPr>
        <w:adjustRightInd w:val="0"/>
        <w:snapToGrid w:val="0"/>
        <w:rPr>
          <w:rFonts w:hint="eastAsia" w:ascii="宋体" w:hAnsi="宋体" w:cs="宋体"/>
          <w:color w:val="auto"/>
          <w:sz w:val="21"/>
          <w:szCs w:val="21"/>
          <w:highlight w:val="none"/>
        </w:rPr>
      </w:pPr>
    </w:p>
    <w:tbl>
      <w:tblPr>
        <w:tblStyle w:val="41"/>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6941" w:rightChars="-2479"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p>
        </w:tc>
        <w:tc>
          <w:tcPr>
            <w:tcW w:w="1620" w:type="dxa"/>
            <w:tcBorders>
              <w:top w:val="double" w:color="auto" w:sz="4" w:space="0"/>
              <w:left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采购代理编号</w:t>
            </w:r>
          </w:p>
        </w:tc>
        <w:tc>
          <w:tcPr>
            <w:tcW w:w="2520" w:type="dxa"/>
            <w:tcBorders>
              <w:top w:val="double" w:color="auto" w:sz="4" w:space="0"/>
              <w:left w:val="single" w:color="auto" w:sz="6" w:space="0"/>
              <w:right w:val="double" w:color="auto" w:sz="4" w:space="0"/>
            </w:tcBorders>
            <w:noWrap w:val="0"/>
            <w:vAlign w:val="center"/>
          </w:tcPr>
          <w:p>
            <w:pPr>
              <w:spacing w:line="4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元人民币整</w:t>
            </w:r>
          </w:p>
          <w:p>
            <w:pPr>
              <w:spacing w:line="4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cs="宋体"/>
                <w:i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hint="eastAsia" w:ascii="宋体" w:hAnsi="宋体" w:eastAsia="宋体" w:cs="宋体"/>
                <w:color w:val="auto"/>
                <w:sz w:val="21"/>
                <w:szCs w:val="21"/>
                <w:highlight w:val="none"/>
              </w:rPr>
            </w:pPr>
          </w:p>
        </w:tc>
      </w:tr>
    </w:tbl>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供应商（盖单位章）：</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napToGrid w:val="0"/>
        <w:rPr>
          <w:rFonts w:hint="eastAsia" w:ascii="宋体" w:hAnsi="宋体" w:cs="宋体"/>
          <w:color w:val="auto"/>
          <w:sz w:val="21"/>
          <w:szCs w:val="21"/>
          <w:highlight w:val="none"/>
        </w:rPr>
      </w:pPr>
    </w:p>
    <w:p>
      <w:pPr>
        <w:spacing w:line="360" w:lineRule="exact"/>
        <w:outlineLvl w:val="0"/>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pStyle w:val="40"/>
        <w:ind w:left="560"/>
        <w:rPr>
          <w:rFonts w:hint="eastAsia" w:ascii="宋体" w:hAnsi="宋体" w:cs="宋体"/>
          <w:color w:val="auto"/>
          <w:szCs w:val="21"/>
          <w:highlight w:val="none"/>
        </w:rPr>
        <w:sectPr>
          <w:headerReference r:id="rId17" w:type="default"/>
          <w:footerReference r:id="rId18" w:type="default"/>
          <w:pgSz w:w="11906" w:h="16838"/>
          <w:pgMar w:top="232" w:right="1588" w:bottom="1474" w:left="1474" w:header="851" w:footer="992" w:gutter="0"/>
          <w:pgNumType w:fmt="decimal"/>
          <w:cols w:space="720" w:num="1"/>
          <w:docGrid w:type="linesAndChars" w:linePitch="312" w:charSpace="0"/>
        </w:sectPr>
      </w:pPr>
    </w:p>
    <w:p>
      <w:pPr>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附件10-1</w:t>
      </w:r>
    </w:p>
    <w:p>
      <w:pPr>
        <w:adjustRightInd w:val="0"/>
        <w:snapToGrid w:val="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 xml:space="preserve">分项价格表 </w:t>
      </w:r>
    </w:p>
    <w:p>
      <w:pPr>
        <w:spacing w:line="360" w:lineRule="exact"/>
        <w:rPr>
          <w:rFonts w:hint="eastAsia" w:ascii="宋体" w:hAnsi="宋体" w:cs="宋体"/>
          <w:b/>
          <w:color w:val="auto"/>
          <w:sz w:val="21"/>
          <w:szCs w:val="21"/>
          <w:highlight w:val="none"/>
        </w:rPr>
      </w:pPr>
    </w:p>
    <w:p>
      <w:pPr>
        <w:spacing w:line="360" w:lineRule="exact"/>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项目名称：</w:t>
      </w:r>
    </w:p>
    <w:p>
      <w:pPr>
        <w:spacing w:line="360" w:lineRule="exact"/>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包号：                                                                                                       金额单位：元</w:t>
      </w:r>
    </w:p>
    <w:tbl>
      <w:tblPr>
        <w:tblStyle w:val="41"/>
        <w:tblW w:w="14752" w:type="dxa"/>
        <w:tblInd w:w="28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41"/>
        <w:gridCol w:w="1665"/>
        <w:gridCol w:w="3810"/>
        <w:gridCol w:w="2385"/>
        <w:gridCol w:w="2415"/>
        <w:gridCol w:w="1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服务名称</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人员数量（人）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金额（元</w:t>
            </w:r>
            <w:r>
              <w:rPr>
                <w:rFonts w:hint="eastAsia" w:ascii="宋体" w:hAnsi="宋体" w:cs="宋体"/>
                <w:color w:val="auto"/>
                <w:sz w:val="21"/>
                <w:szCs w:val="21"/>
                <w:highlight w:val="none"/>
                <w:lang w:val="en-US" w:eastAsia="zh-CN"/>
              </w:rPr>
              <w:t>/月</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b/>
                <w:bCs/>
                <w:color w:val="auto"/>
                <w:sz w:val="21"/>
                <w:szCs w:val="21"/>
                <w:highlight w:val="none"/>
                <w:lang w:eastAsia="zh-CN"/>
              </w:rPr>
              <w:t>（本项单项上限值为</w:t>
            </w:r>
            <w:r>
              <w:rPr>
                <w:rFonts w:hint="eastAsia" w:ascii="宋体" w:hAnsi="宋体" w:cs="宋体"/>
                <w:b/>
                <w:bCs/>
                <w:color w:val="auto"/>
                <w:sz w:val="21"/>
                <w:szCs w:val="21"/>
                <w:highlight w:val="none"/>
                <w:lang w:val="en-US" w:eastAsia="zh-CN"/>
              </w:rPr>
              <w:t>5200元/月/人</w:t>
            </w:r>
            <w:r>
              <w:rPr>
                <w:rFonts w:hint="eastAsia" w:ascii="宋体" w:hAnsi="宋体" w:cs="宋体"/>
                <w:b/>
                <w:bCs/>
                <w:color w:val="auto"/>
                <w:sz w:val="21"/>
                <w:szCs w:val="21"/>
                <w:highlight w:val="none"/>
                <w:lang w:eastAsia="zh-CN"/>
              </w:rPr>
              <w:t>）</w:t>
            </w: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时间（月）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小计</w:t>
            </w:r>
            <w:r>
              <w:rPr>
                <w:rFonts w:hint="eastAsia" w:ascii="宋体" w:hAnsi="宋体" w:cs="宋体"/>
                <w:color w:val="auto"/>
                <w:sz w:val="21"/>
                <w:szCs w:val="21"/>
                <w:highlight w:val="none"/>
                <w:lang w:eastAsia="zh-CN"/>
              </w:rPr>
              <w:t>（元</w:t>
            </w:r>
            <w:r>
              <w:rPr>
                <w:rFonts w:hint="eastAsia" w:ascii="宋体" w:hAnsi="宋体" w:cs="宋体"/>
                <w:color w:val="auto"/>
                <w:sz w:val="21"/>
                <w:szCs w:val="21"/>
                <w:highlight w:val="none"/>
                <w:lang w:val="en-US" w:eastAsia="zh-CN"/>
              </w:rPr>
              <w:t>/年</w:t>
            </w:r>
            <w:r>
              <w:rPr>
                <w:rFonts w:hint="eastAsia" w:ascii="宋体" w:hAnsi="宋体" w:cs="宋体"/>
                <w:color w:val="auto"/>
                <w:sz w:val="21"/>
                <w:szCs w:val="21"/>
                <w:highlight w:val="none"/>
                <w:lang w:eastAsia="zh-CN"/>
              </w:rPr>
              <w:t>）</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bl>
    <w:p>
      <w:pPr>
        <w:spacing w:line="360" w:lineRule="exact"/>
        <w:ind w:firstLine="210" w:firstLineChars="100"/>
        <w:rPr>
          <w:rFonts w:hint="eastAsia" w:ascii="宋体" w:hAnsi="宋体" w:cs="宋体"/>
          <w:b/>
          <w:color w:val="auto"/>
          <w:sz w:val="21"/>
          <w:szCs w:val="21"/>
          <w:highlight w:val="none"/>
        </w:rPr>
      </w:pPr>
    </w:p>
    <w:p>
      <w:pPr>
        <w:adjustRightInd w:val="0"/>
        <w:snapToGrid w:val="0"/>
        <w:spacing w:line="360" w:lineRule="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报价金额合计：小写：</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大写：</w:t>
      </w:r>
      <w:r>
        <w:rPr>
          <w:rFonts w:hint="eastAsia" w:ascii="宋体" w:hAnsi="宋体" w:cs="宋体"/>
          <w:color w:val="auto"/>
          <w:sz w:val="21"/>
          <w:szCs w:val="21"/>
          <w:highlight w:val="none"/>
          <w:u w:val="single"/>
        </w:rPr>
        <w:t xml:space="preserve">                      </w:t>
      </w:r>
    </w:p>
    <w:p>
      <w:pPr>
        <w:adjustRightInd w:val="0"/>
        <w:snapToGrid w:val="0"/>
        <w:spacing w:line="360" w:lineRule="auto"/>
        <w:ind w:left="-117" w:leftChars="-42"/>
        <w:rPr>
          <w:rFonts w:hint="eastAsia" w:ascii="宋体" w:hAnsi="宋体" w:cs="宋体"/>
          <w:color w:val="auto"/>
          <w:sz w:val="21"/>
          <w:szCs w:val="21"/>
          <w:highlight w:val="none"/>
        </w:rPr>
      </w:pPr>
      <w:r>
        <w:rPr>
          <w:rFonts w:hint="eastAsia" w:ascii="宋体" w:hAnsi="宋体" w:cs="宋体"/>
          <w:color w:val="auto"/>
          <w:sz w:val="21"/>
          <w:szCs w:val="21"/>
          <w:highlight w:val="none"/>
        </w:rPr>
        <w:t>说明：</w:t>
      </w:r>
    </w:p>
    <w:p>
      <w:pPr>
        <w:adjustRightInd w:val="0"/>
        <w:snapToGrid w:val="0"/>
        <w:spacing w:line="360" w:lineRule="auto"/>
        <w:ind w:left="-117" w:leftChars="-42"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1、本表包含磋商文件第四章《采购需求》或其他部分对该项目所有要求的详细报价。“合计”及“报价金额合计”应与附件</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117" w:leftChars="-42" w:firstLine="315" w:firstLineChars="150"/>
        <w:rPr>
          <w:rFonts w:hint="eastAsia" w:ascii="宋体" w:hAnsi="宋体" w:cs="宋体"/>
          <w:b/>
          <w:color w:val="auto"/>
          <w:sz w:val="21"/>
          <w:szCs w:val="21"/>
          <w:highlight w:val="none"/>
        </w:rPr>
        <w:sectPr>
          <w:pgSz w:w="16838" w:h="11906" w:orient="landscape"/>
          <w:pgMar w:top="1474" w:right="232" w:bottom="1588" w:left="1474" w:header="851" w:footer="992" w:gutter="0"/>
          <w:pgNumType w:fmt="decimal"/>
          <w:cols w:space="720" w:num="1"/>
          <w:docGrid w:type="linesAndChars" w:linePitch="312" w:charSpace="0"/>
        </w:sectPr>
      </w:pPr>
      <w:r>
        <w:rPr>
          <w:rFonts w:hint="eastAsia" w:ascii="宋体" w:hAnsi="宋体" w:cs="宋体"/>
          <w:color w:val="auto"/>
          <w:sz w:val="21"/>
          <w:szCs w:val="21"/>
          <w:highlight w:val="none"/>
        </w:rPr>
        <w:t>2、“服务名称”是指整包分项服务的内容，品目分类是指分项服务费用构成的明细分类项。</w:t>
      </w:r>
    </w:p>
    <w:p>
      <w:pPr>
        <w:adjustRightInd w:val="0"/>
        <w:snapToGrid w:val="0"/>
        <w:spacing w:line="360" w:lineRule="auto"/>
        <w:ind w:left="-118" w:leftChars="-42"/>
        <w:jc w:val="center"/>
        <w:rPr>
          <w:rFonts w:hint="eastAsia" w:ascii="宋体" w:hAnsi="宋体" w:cs="宋体"/>
          <w:color w:val="auto"/>
          <w:sz w:val="30"/>
          <w:szCs w:val="30"/>
          <w:highlight w:val="none"/>
        </w:rPr>
      </w:pPr>
      <w:r>
        <w:rPr>
          <w:rFonts w:hint="eastAsia" w:ascii="宋体" w:hAnsi="宋体" w:cs="宋体"/>
          <w:b/>
          <w:color w:val="auto"/>
          <w:sz w:val="30"/>
          <w:szCs w:val="30"/>
          <w:highlight w:val="none"/>
        </w:rPr>
        <w:t>八</w:t>
      </w:r>
      <w:r>
        <w:rPr>
          <w:rFonts w:hint="eastAsia" w:ascii="宋体" w:hAnsi="宋体" w:cs="宋体"/>
          <w:b/>
          <w:bCs/>
          <w:color w:val="auto"/>
          <w:sz w:val="30"/>
          <w:szCs w:val="30"/>
          <w:highlight w:val="none"/>
        </w:rPr>
        <w:t>、供应商认为需要提供的其它资料</w:t>
      </w: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adjustRightInd w:val="0"/>
        <w:snapToGrid w:val="0"/>
        <w:spacing w:before="156" w:beforeLines="50" w:line="360" w:lineRule="auto"/>
        <w:jc w:val="center"/>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t>九、最后报价</w:t>
      </w:r>
    </w:p>
    <w:p>
      <w:pPr>
        <w:adjustRightInd w:val="0"/>
        <w:snapToGrid w:val="0"/>
        <w:ind w:left="-118" w:leftChars="-42"/>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说明：</w:t>
      </w:r>
    </w:p>
    <w:p>
      <w:pPr>
        <w:adjustRightInd w:val="0"/>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1、最后报价按第二章磋商须知第30条规定提供，格式按附件10、附件10-1提供。</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2、最后报价需填列报价一览表</w:t>
      </w:r>
      <w:r>
        <w:rPr>
          <w:rFonts w:hint="eastAsia" w:ascii="宋体" w:hAnsi="宋体" w:cs="宋体"/>
          <w:b/>
          <w:bCs/>
          <w:color w:val="auto"/>
          <w:sz w:val="21"/>
          <w:szCs w:val="21"/>
          <w:highlight w:val="none"/>
        </w:rPr>
        <w:t>（此表请各投标供应商单独准备并提前准备自行携带至开标会现场）</w:t>
      </w:r>
      <w:r>
        <w:rPr>
          <w:rFonts w:hint="eastAsia" w:ascii="宋体" w:hAnsi="宋体" w:cs="宋体"/>
          <w:color w:val="auto"/>
          <w:sz w:val="21"/>
          <w:szCs w:val="21"/>
          <w:highlight w:val="none"/>
        </w:rPr>
        <w:t>。</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3、最后报价现场提供。</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40"/>
        <w:ind w:left="560"/>
        <w:rPr>
          <w:rFonts w:hint="eastAsia"/>
          <w:color w:val="auto"/>
          <w:szCs w:val="21"/>
          <w:highlight w:val="none"/>
        </w:rPr>
      </w:pPr>
    </w:p>
    <w:sectPr>
      <w:footerReference r:id="rId19" w:type="default"/>
      <w:pgSz w:w="11906" w:h="16838"/>
      <w:pgMar w:top="1440" w:right="1800" w:bottom="1440" w:left="1800" w:header="992"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ail">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湖南阳光建设工程项目管理有限公司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pPr>
    <w:r>
      <mc:AlternateContent>
        <mc:Choice Requires="wps">
          <w:drawing>
            <wp:anchor distT="0" distB="0" distL="114300" distR="114300" simplePos="0" relativeHeight="251667456"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7456;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D7ZiSA1gEAALI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ascii="宋体" w:hAnsi="宋体" w:cs="宋体"/>
        <w:bCs/>
        <w:kern w:val="0"/>
      </w:rPr>
      <w:t xml:space="preserve"> </w:t>
    </w: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rPr>
        <w:rFonts w:hint="eastAsia" w:ascii="宋体" w:hAnsi="宋体" w:cs="宋体"/>
        <w:bCs/>
        <w:sz w:val="21"/>
        <w:szCs w:val="21"/>
      </w:rPr>
    </w:pPr>
    <w:r>
      <mc:AlternateContent>
        <mc:Choice Requires="wps">
          <w:drawing>
            <wp:anchor distT="0" distB="0" distL="114300" distR="114300" simplePos="0" relativeHeight="251669504"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9504;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c/odcAAAAJAQAADwAAAAAAAAAB&#10;ACAAAAAiAAAAZHJzL2Rvd25yZXYueG1sUEsBAhQAFAAAAAgAh07iQNLtJZ7YAQAAsgMAAA4AAAAA&#10;AAAAAQAgAAAAJgEAAGRycy9lMm9Eb2MueG1sUEsFBgAAAAAGAAYAWQEAAHA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中采联合招标有限公司                办公地址：长沙市芙蓉中路一段88号天健壹平方英里H栋24楼</w:t>
    </w:r>
  </w:p>
  <w:p>
    <w:pPr>
      <w:pStyle w:val="27"/>
      <w:ind w:right="360"/>
      <w:rPr>
        <w:rFonts w:hint="eastAsia"/>
        <w:lang w:eastAsia="zh-CN"/>
      </w:rPr>
    </w:pPr>
    <w:r>
      <mc:AlternateContent>
        <mc:Choice Requires="wps">
          <w:drawing>
            <wp:anchor distT="0" distB="0" distL="114300" distR="114300" simplePos="0" relativeHeight="251661312"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1312;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BHhUnV1gEAALA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中采联合招标有限公司                办公地址：长沙市芙蓉中路一段88号天健壹平方英里H栋24楼</w:t>
    </w:r>
  </w:p>
  <w:p>
    <w:pPr>
      <w:pStyle w:val="27"/>
      <w:ind w:right="360"/>
      <w:rPr>
        <w:rFonts w:hint="eastAsia"/>
      </w:rPr>
    </w:pPr>
    <w:r>
      <mc:AlternateContent>
        <mc:Choice Requires="wps">
          <w:drawing>
            <wp:anchor distT="0" distB="0" distL="114300" distR="114300" simplePos="0" relativeHeight="251660288"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0288;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ApYN3Q1gEAALI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中采联合招标有限公司                办公地址：长沙市芙蓉中路一段88号天健壹平方英里H栋24楼</w:t>
    </w:r>
  </w:p>
  <w:p>
    <w:pPr>
      <w:pStyle w:val="27"/>
      <w:ind w:right="360"/>
      <w:rPr>
        <w:rFonts w:hint="eastAsia"/>
      </w:rPr>
    </w:pPr>
    <w:r>
      <mc:AlternateContent>
        <mc:Choice Requires="wps">
          <w:drawing>
            <wp:anchor distT="0" distB="0" distL="114300" distR="114300" simplePos="0" relativeHeight="251662336"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2336;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Vz+h1wAAAAkBAAAPAAAAAAAAAAEA&#10;IAAAACIAAABkcnMvZG93bnJldi54bWxQSwECFAAUAAAACACHTuJAHTafXtcBAACyAwAADgAAAAAA&#10;AAABACAAAAAmAQAAZHJzL2Uyb0RvYy54bWxQSwUGAAAAAAYABgBZAQAAb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rPr>
        <w:rFonts w:ascii="宋体" w:hAnsi="宋体"/>
        <w:sz w:val="28"/>
        <w:szCs w:val="28"/>
      </w:rPr>
    </w:pPr>
    <w:r>
      <mc:AlternateContent>
        <mc:Choice Requires="wps">
          <w:drawing>
            <wp:anchor distT="0" distB="0" distL="114300" distR="114300" simplePos="0" relativeHeight="251663360"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3360;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Vz+h1wAAAAkBAAAPAAAAAAAAAAEA&#10;IAAAACIAAABkcnMvZG93bnJldi54bWxQSwECFAAUAAAACACHTuJAqXAnvNcBAACyAwAADgAAAAAA&#10;AAABACAAAAAmAQAAZHJzL2Uyb0RvYy54bWxQSwUGAAAAAAYABgBZAQAAb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pPr>
    <w:r>
      <mc:AlternateContent>
        <mc:Choice Requires="wps">
          <w:drawing>
            <wp:anchor distT="0" distB="0" distL="114300" distR="114300" simplePos="0" relativeHeight="251665408"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5408;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c/odcAAAAJAQAADwAAAAAAAAAB&#10;ACAAAAAiAAAAZHJzL2Rvd25yZXYueG1sUEsBAhQAFAAAAAgAh07iQID7JqLYAQAAsgMAAA4AAAAA&#10;AAAAAQAgAAAAJgEAAGRycy9lMm9Eb2MueG1sUEsFBgAAAAAGAAYAWQEAAHA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6"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b/>
        <w:bCs/>
        <w:color w:val="FF0000"/>
      </w:rPr>
      <w:t>深耕细作、焕发新采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u w:val="single"/>
      </w:rPr>
    </w:pPr>
    <w:r>
      <w:rPr>
        <w:rFonts w:hint="eastAsia"/>
        <w:u w:val="single"/>
      </w:rPr>
      <w:t>湖南湘江城市运营管理</w:t>
    </w:r>
    <w:r>
      <w:rPr>
        <w:rFonts w:hint="eastAsia" w:ascii="宋体" w:hAnsi="宋体"/>
        <w:u w:val="single"/>
      </w:rPr>
      <w:t xml:space="preserve">有限公司                                                              </w:t>
    </w:r>
    <w:r>
      <w:rPr>
        <w:rFonts w:hint="eastAsia" w:ascii="宋体" w:hAnsi="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7"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rPr>
        <w:rFonts w:hint="eastAsia"/>
      </w:rPr>
    </w:pPr>
    <w:r>
      <w:rPr>
        <w:rFonts w:hint="eastAsia"/>
      </w:rPr>
      <w:drawing>
        <wp:inline distT="0" distB="0" distL="114300" distR="114300">
          <wp:extent cx="629920" cy="517525"/>
          <wp:effectExtent l="0" t="0" r="17780" b="158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b/>
        <w:bCs/>
        <w:color w:val="FF0000"/>
      </w:rPr>
      <w:t>深耕细作、焕发新采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9CFA56C"/>
    <w:multiLevelType w:val="singleLevel"/>
    <w:tmpl w:val="39CFA56C"/>
    <w:lvl w:ilvl="0" w:tentative="0">
      <w:start w:val="1"/>
      <w:numFmt w:val="decimal"/>
      <w:suff w:val="nothing"/>
      <w:lvlText w:val="%1、"/>
      <w:lvlJc w:val="left"/>
    </w:lvl>
  </w:abstractNum>
  <w:abstractNum w:abstractNumId="3">
    <w:nsid w:val="3D7E1D6E"/>
    <w:multiLevelType w:val="singleLevel"/>
    <w:tmpl w:val="3D7E1D6E"/>
    <w:lvl w:ilvl="0" w:tentative="0">
      <w:start w:val="3"/>
      <w:numFmt w:val="chineseCounting"/>
      <w:suff w:val="nothing"/>
      <w:lvlText w:val="%1、"/>
      <w:lvlJc w:val="left"/>
      <w:rPr>
        <w:rFonts w:hint="eastAsia"/>
      </w:rPr>
    </w:lvl>
  </w:abstractNum>
  <w:abstractNum w:abstractNumId="4">
    <w:nsid w:val="598301FB"/>
    <w:multiLevelType w:val="singleLevel"/>
    <w:tmpl w:val="598301FB"/>
    <w:lvl w:ilvl="0" w:tentative="0">
      <w:start w:val="1"/>
      <w:numFmt w:val="decimal"/>
      <w:suff w:val="nothing"/>
      <w:lvlText w:val="（%1）"/>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YzEyMjdjZTI4NTY0MzkxZTRjZjc5ZjQ5ZjYzNmYifQ=="/>
  </w:docVars>
  <w:rsids>
    <w:rsidRoot w:val="00172A27"/>
    <w:rsid w:val="000A60D8"/>
    <w:rsid w:val="001766BB"/>
    <w:rsid w:val="00177D19"/>
    <w:rsid w:val="00251144"/>
    <w:rsid w:val="005C6189"/>
    <w:rsid w:val="00706243"/>
    <w:rsid w:val="0089496F"/>
    <w:rsid w:val="00B00015"/>
    <w:rsid w:val="00E035F8"/>
    <w:rsid w:val="00FD77CD"/>
    <w:rsid w:val="02C2702E"/>
    <w:rsid w:val="085E55CF"/>
    <w:rsid w:val="0ACD3DA7"/>
    <w:rsid w:val="0BBE25CF"/>
    <w:rsid w:val="0CB942D8"/>
    <w:rsid w:val="0D0D671F"/>
    <w:rsid w:val="12395554"/>
    <w:rsid w:val="16111102"/>
    <w:rsid w:val="1A565582"/>
    <w:rsid w:val="1A86783D"/>
    <w:rsid w:val="1D0F38D5"/>
    <w:rsid w:val="1F0B7BF4"/>
    <w:rsid w:val="2A1076B3"/>
    <w:rsid w:val="2F2513E2"/>
    <w:rsid w:val="321F3AAA"/>
    <w:rsid w:val="322B7BA2"/>
    <w:rsid w:val="35F22391"/>
    <w:rsid w:val="3BCC5A00"/>
    <w:rsid w:val="3C974EDC"/>
    <w:rsid w:val="3D015D3A"/>
    <w:rsid w:val="451D186C"/>
    <w:rsid w:val="46DF2A87"/>
    <w:rsid w:val="4991624D"/>
    <w:rsid w:val="4A25480B"/>
    <w:rsid w:val="4B2D0900"/>
    <w:rsid w:val="4C081DE7"/>
    <w:rsid w:val="4FFB7252"/>
    <w:rsid w:val="53F67336"/>
    <w:rsid w:val="59B9487E"/>
    <w:rsid w:val="59DD504C"/>
    <w:rsid w:val="59EE008C"/>
    <w:rsid w:val="5D375134"/>
    <w:rsid w:val="620837B8"/>
    <w:rsid w:val="6388493C"/>
    <w:rsid w:val="639A0AA6"/>
    <w:rsid w:val="6C602047"/>
    <w:rsid w:val="71D15ED1"/>
    <w:rsid w:val="72406FD7"/>
    <w:rsid w:val="7638764B"/>
    <w:rsid w:val="771D7B15"/>
    <w:rsid w:val="77E477A5"/>
    <w:rsid w:val="7BAB1F36"/>
    <w:rsid w:val="7C773B20"/>
    <w:rsid w:val="7EB652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3">
    <w:name w:val="heading 1"/>
    <w:basedOn w:val="1"/>
    <w:next w:val="1"/>
    <w:link w:val="58"/>
    <w:qFormat/>
    <w:uiPriority w:val="0"/>
    <w:pPr>
      <w:keepNext/>
      <w:spacing w:line="360" w:lineRule="auto"/>
      <w:jc w:val="center"/>
      <w:outlineLvl w:val="0"/>
    </w:pPr>
    <w:rPr>
      <w:rFonts w:ascii="Times New Roman" w:hAnsi="Times New Roman"/>
      <w:b/>
      <w:bCs/>
      <w:sz w:val="30"/>
      <w:szCs w:val="20"/>
    </w:rPr>
  </w:style>
  <w:style w:type="paragraph" w:styleId="4">
    <w:name w:val="heading 2"/>
    <w:basedOn w:val="1"/>
    <w:next w:val="1"/>
    <w:link w:val="59"/>
    <w:qFormat/>
    <w:uiPriority w:val="0"/>
    <w:pPr>
      <w:keepNext/>
      <w:keepLines/>
      <w:spacing w:line="360" w:lineRule="auto"/>
      <w:jc w:val="center"/>
      <w:outlineLvl w:val="1"/>
    </w:pPr>
    <w:rPr>
      <w:rFonts w:ascii="Arial" w:hAnsi="Arial"/>
      <w:b/>
      <w:bCs/>
      <w:sz w:val="30"/>
      <w:szCs w:val="32"/>
    </w:rPr>
  </w:style>
  <w:style w:type="paragraph" w:styleId="5">
    <w:name w:val="heading 3"/>
    <w:basedOn w:val="1"/>
    <w:next w:val="1"/>
    <w:link w:val="60"/>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61"/>
    <w:qFormat/>
    <w:uiPriority w:val="0"/>
    <w:pPr>
      <w:keepNext/>
      <w:keepLines/>
      <w:spacing w:before="280" w:after="290" w:line="376" w:lineRule="auto"/>
      <w:outlineLvl w:val="3"/>
    </w:pPr>
    <w:rPr>
      <w:rFonts w:ascii="Arial" w:hAnsi="Arial" w:eastAsia="黑体"/>
      <w:b/>
      <w:bCs/>
      <w:szCs w:val="28"/>
    </w:rPr>
  </w:style>
  <w:style w:type="paragraph" w:styleId="7">
    <w:name w:val="heading 5"/>
    <w:basedOn w:val="1"/>
    <w:next w:val="1"/>
    <w:link w:val="62"/>
    <w:qFormat/>
    <w:uiPriority w:val="0"/>
    <w:pPr>
      <w:keepNext/>
      <w:keepLines/>
      <w:adjustRightInd w:val="0"/>
      <w:spacing w:before="280" w:after="290" w:line="376" w:lineRule="atLeast"/>
      <w:jc w:val="left"/>
      <w:textAlignment w:val="baseline"/>
      <w:outlineLvl w:val="4"/>
    </w:pPr>
    <w:rPr>
      <w:rFonts w:ascii="Times New Roman" w:hAnsi="Times New Roman"/>
      <w:b/>
      <w:bCs/>
      <w:kern w:val="0"/>
      <w:szCs w:val="28"/>
    </w:rPr>
  </w:style>
  <w:style w:type="paragraph" w:styleId="8">
    <w:name w:val="heading 6"/>
    <w:basedOn w:val="1"/>
    <w:next w:val="1"/>
    <w:link w:val="63"/>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4"/>
    <w:qFormat/>
    <w:uiPriority w:val="0"/>
    <w:pPr>
      <w:keepNext/>
      <w:keepLines/>
      <w:adjustRightInd w:val="0"/>
      <w:spacing w:before="240" w:after="64" w:line="320" w:lineRule="atLeast"/>
      <w:jc w:val="left"/>
      <w:textAlignment w:val="baseline"/>
      <w:outlineLvl w:val="6"/>
    </w:pPr>
    <w:rPr>
      <w:rFonts w:ascii="Times New Roman" w:hAnsi="Times New Roman"/>
      <w:b/>
      <w:bCs/>
      <w:kern w:val="0"/>
      <w:sz w:val="24"/>
    </w:rPr>
  </w:style>
  <w:style w:type="paragraph" w:styleId="10">
    <w:name w:val="heading 8"/>
    <w:basedOn w:val="1"/>
    <w:next w:val="1"/>
    <w:link w:val="65"/>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6"/>
    <w:qFormat/>
    <w:uiPriority w:val="0"/>
    <w:pPr>
      <w:keepNext/>
      <w:keepLines/>
      <w:adjustRightInd w:val="0"/>
      <w:spacing w:before="240" w:after="64" w:line="320" w:lineRule="atLeast"/>
      <w:jc w:val="left"/>
      <w:textAlignment w:val="baseline"/>
      <w:outlineLvl w:val="8"/>
    </w:pPr>
    <w:rPr>
      <w:rFonts w:ascii="Arial" w:hAnsi="Arial" w:eastAsia="黑体"/>
      <w:kern w:val="0"/>
      <w:sz w:val="21"/>
      <w:szCs w:val="21"/>
    </w:rPr>
  </w:style>
  <w:style w:type="character" w:default="1" w:styleId="43">
    <w:name w:val="Default Paragraph Font"/>
    <w:qFormat/>
    <w:uiPriority w:val="0"/>
    <w:rPr>
      <w:rFonts w:ascii="Times New Roman" w:hAnsi="Times New Roman" w:eastAsia="宋体" w:cs="Times New Roman"/>
    </w:rPr>
  </w:style>
  <w:style w:type="table" w:default="1" w:styleId="41">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12">
    <w:name w:val="toc 7"/>
    <w:basedOn w:val="1"/>
    <w:next w:val="1"/>
    <w:qFormat/>
    <w:uiPriority w:val="0"/>
    <w:pPr>
      <w:ind w:left="2520" w:leftChars="1200"/>
    </w:pPr>
    <w:rPr>
      <w:rFonts w:ascii="Calibri" w:hAnsi="Calibri" w:eastAsia="宋体" w:cs="Times New Roman"/>
      <w:szCs w:val="22"/>
    </w:rPr>
  </w:style>
  <w:style w:type="paragraph" w:styleId="13">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14">
    <w:name w:val="Document Map"/>
    <w:basedOn w:val="1"/>
    <w:qFormat/>
    <w:uiPriority w:val="0"/>
    <w:pPr>
      <w:shd w:val="clear" w:color="auto" w:fill="000080"/>
    </w:pPr>
    <w:rPr>
      <w:rFonts w:ascii="Times New Roman" w:hAnsi="Times New Roman" w:eastAsia="宋体" w:cs="Times New Roman"/>
    </w:rPr>
  </w:style>
  <w:style w:type="paragraph" w:styleId="15">
    <w:name w:val="annotation text"/>
    <w:basedOn w:val="1"/>
    <w:link w:val="67"/>
    <w:qFormat/>
    <w:uiPriority w:val="0"/>
    <w:pPr>
      <w:jc w:val="left"/>
    </w:pPr>
    <w:rPr>
      <w:rFonts w:ascii="Times New Roman" w:hAnsi="Times New Roman"/>
      <w:sz w:val="21"/>
    </w:rPr>
  </w:style>
  <w:style w:type="paragraph" w:styleId="16">
    <w:name w:val="Salutation"/>
    <w:basedOn w:val="1"/>
    <w:next w:val="1"/>
    <w:qFormat/>
    <w:uiPriority w:val="0"/>
    <w:rPr>
      <w:rFonts w:ascii="仿宋_GB2312" w:hAnsi="Times New Roman" w:eastAsia="仿宋_GB2312" w:cs="Times New Roman"/>
      <w:sz w:val="24"/>
    </w:rPr>
  </w:style>
  <w:style w:type="paragraph" w:styleId="17">
    <w:name w:val="Body Text 3"/>
    <w:basedOn w:val="1"/>
    <w:qFormat/>
    <w:uiPriority w:val="0"/>
    <w:pPr>
      <w:autoSpaceDE w:val="0"/>
      <w:autoSpaceDN w:val="0"/>
      <w:adjustRightInd w:val="0"/>
      <w:spacing w:line="410" w:lineRule="atLeast"/>
      <w:jc w:val="left"/>
    </w:pPr>
    <w:rPr>
      <w:rFonts w:ascii="宋体" w:hAnsi="Times New Roman" w:eastAsia="宋体" w:cs="Times New Roman"/>
      <w:color w:val="000000"/>
      <w:kern w:val="0"/>
      <w:sz w:val="24"/>
      <w:szCs w:val="20"/>
    </w:rPr>
  </w:style>
  <w:style w:type="paragraph" w:styleId="18">
    <w:name w:val="Body Text Indent"/>
    <w:basedOn w:val="1"/>
    <w:next w:val="1"/>
    <w:link w:val="57"/>
    <w:qFormat/>
    <w:uiPriority w:val="0"/>
    <w:pPr>
      <w:spacing w:after="120"/>
      <w:ind w:left="420" w:leftChars="200"/>
    </w:pPr>
    <w:rPr>
      <w:rFonts w:ascii="Times New Roman" w:hAnsi="Times New Roman"/>
      <w:sz w:val="21"/>
    </w:rPr>
  </w:style>
  <w:style w:type="paragraph" w:styleId="19">
    <w:name w:val="Block Text"/>
    <w:basedOn w:val="1"/>
    <w:qFormat/>
    <w:uiPriority w:val="0"/>
    <w:pPr>
      <w:ind w:left="1171" w:right="91" w:hanging="1080"/>
    </w:pPr>
    <w:rPr>
      <w:rFonts w:ascii="Times New Roman" w:hAnsi="Times New Roman" w:eastAsia="楷体_GB2312" w:cs="Times New Roman"/>
      <w:szCs w:val="20"/>
    </w:rPr>
  </w:style>
  <w:style w:type="paragraph" w:styleId="20">
    <w:name w:val="toc 5"/>
    <w:basedOn w:val="1"/>
    <w:next w:val="1"/>
    <w:qFormat/>
    <w:uiPriority w:val="0"/>
    <w:pPr>
      <w:ind w:left="1680" w:leftChars="800"/>
    </w:pPr>
    <w:rPr>
      <w:rFonts w:ascii="Calibri" w:hAnsi="Calibri" w:eastAsia="宋体" w:cs="Times New Roman"/>
      <w:szCs w:val="22"/>
    </w:rPr>
  </w:style>
  <w:style w:type="paragraph" w:styleId="21">
    <w:name w:val="toc 3"/>
    <w:basedOn w:val="1"/>
    <w:next w:val="1"/>
    <w:qFormat/>
    <w:uiPriority w:val="0"/>
    <w:pPr>
      <w:ind w:left="840" w:leftChars="400"/>
    </w:pPr>
    <w:rPr>
      <w:rFonts w:ascii="Times New Roman" w:hAnsi="Times New Roman" w:eastAsia="宋体" w:cs="Times New Roman"/>
    </w:rPr>
  </w:style>
  <w:style w:type="paragraph" w:styleId="22">
    <w:name w:val="Plain Text"/>
    <w:basedOn w:val="1"/>
    <w:link w:val="68"/>
    <w:qFormat/>
    <w:uiPriority w:val="0"/>
    <w:rPr>
      <w:rFonts w:ascii="宋体" w:hAnsi="Courier New" w:cs="Courier New"/>
      <w:sz w:val="21"/>
      <w:szCs w:val="21"/>
    </w:rPr>
  </w:style>
  <w:style w:type="paragraph" w:styleId="23">
    <w:name w:val="toc 8"/>
    <w:basedOn w:val="1"/>
    <w:next w:val="1"/>
    <w:qFormat/>
    <w:uiPriority w:val="0"/>
    <w:pPr>
      <w:ind w:left="2940" w:leftChars="1400"/>
    </w:pPr>
    <w:rPr>
      <w:rFonts w:ascii="Calibri" w:hAnsi="Calibri" w:eastAsia="宋体" w:cs="Times New Roman"/>
      <w:szCs w:val="22"/>
    </w:rPr>
  </w:style>
  <w:style w:type="paragraph" w:styleId="24">
    <w:name w:val="Date"/>
    <w:basedOn w:val="1"/>
    <w:next w:val="1"/>
    <w:link w:val="69"/>
    <w:qFormat/>
    <w:uiPriority w:val="0"/>
    <w:rPr>
      <w:rFonts w:ascii="Times New Roman" w:hAnsi="Times New Roman"/>
      <w:sz w:val="24"/>
      <w:szCs w:val="20"/>
    </w:rPr>
  </w:style>
  <w:style w:type="paragraph" w:styleId="25">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26">
    <w:name w:val="Balloon Text"/>
    <w:basedOn w:val="1"/>
    <w:link w:val="70"/>
    <w:qFormat/>
    <w:uiPriority w:val="0"/>
    <w:rPr>
      <w:sz w:val="18"/>
      <w:szCs w:val="18"/>
    </w:rPr>
  </w:style>
  <w:style w:type="paragraph" w:styleId="27">
    <w:name w:val="footer"/>
    <w:basedOn w:val="1"/>
    <w:link w:val="71"/>
    <w:qFormat/>
    <w:uiPriority w:val="0"/>
    <w:pPr>
      <w:tabs>
        <w:tab w:val="center" w:pos="4153"/>
        <w:tab w:val="right" w:pos="8306"/>
      </w:tabs>
      <w:snapToGrid w:val="0"/>
      <w:jc w:val="left"/>
    </w:pPr>
    <w:rPr>
      <w:rFonts w:ascii="Times New Roman" w:hAnsi="Times New Roman"/>
      <w:sz w:val="18"/>
      <w:szCs w:val="18"/>
    </w:rPr>
  </w:style>
  <w:style w:type="paragraph" w:styleId="28">
    <w:name w:val="header"/>
    <w:basedOn w:val="1"/>
    <w:link w:val="72"/>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9">
    <w:name w:val="toc 4"/>
    <w:basedOn w:val="1"/>
    <w:next w:val="1"/>
    <w:qFormat/>
    <w:uiPriority w:val="0"/>
    <w:pPr>
      <w:ind w:left="1260" w:leftChars="600"/>
    </w:pPr>
    <w:rPr>
      <w:rFonts w:ascii="Times New Roman" w:hAnsi="Times New Roman" w:eastAsia="宋体" w:cs="Times New Roman"/>
    </w:rPr>
  </w:style>
  <w:style w:type="paragraph" w:styleId="30">
    <w:name w:val="toc 6"/>
    <w:basedOn w:val="1"/>
    <w:next w:val="1"/>
    <w:qFormat/>
    <w:uiPriority w:val="0"/>
    <w:pPr>
      <w:ind w:left="2100" w:leftChars="1000"/>
    </w:pPr>
    <w:rPr>
      <w:rFonts w:ascii="Calibri" w:hAnsi="Calibri" w:eastAsia="宋体" w:cs="Times New Roman"/>
      <w:szCs w:val="22"/>
    </w:rPr>
  </w:style>
  <w:style w:type="paragraph" w:styleId="31">
    <w:name w:val="Body Text Indent 3"/>
    <w:basedOn w:val="1"/>
    <w:link w:val="73"/>
    <w:qFormat/>
    <w:uiPriority w:val="0"/>
    <w:pPr>
      <w:spacing w:after="120"/>
      <w:ind w:left="420" w:leftChars="200"/>
    </w:pPr>
    <w:rPr>
      <w:rFonts w:ascii="Times New Roman" w:hAnsi="Times New Roman"/>
      <w:sz w:val="16"/>
      <w:szCs w:val="16"/>
    </w:rPr>
  </w:style>
  <w:style w:type="paragraph" w:styleId="32">
    <w:name w:val="toc 2"/>
    <w:basedOn w:val="1"/>
    <w:next w:val="1"/>
    <w:qFormat/>
    <w:uiPriority w:val="0"/>
    <w:pPr>
      <w:ind w:left="420" w:leftChars="200"/>
    </w:pPr>
    <w:rPr>
      <w:rFonts w:ascii="Times New Roman" w:hAnsi="Times New Roman" w:eastAsia="宋体" w:cs="Times New Roman"/>
    </w:rPr>
  </w:style>
  <w:style w:type="paragraph" w:styleId="33">
    <w:name w:val="toc 9"/>
    <w:basedOn w:val="1"/>
    <w:next w:val="1"/>
    <w:qFormat/>
    <w:uiPriority w:val="0"/>
    <w:pPr>
      <w:ind w:left="3360" w:leftChars="1600"/>
    </w:pPr>
    <w:rPr>
      <w:rFonts w:ascii="Calibri" w:hAnsi="Calibri" w:eastAsia="宋体" w:cs="Times New Roman"/>
      <w:szCs w:val="22"/>
    </w:rPr>
  </w:style>
  <w:style w:type="paragraph" w:styleId="34">
    <w:name w:val="Body Text 2"/>
    <w:basedOn w:val="1"/>
    <w:qFormat/>
    <w:uiPriority w:val="0"/>
    <w:pPr>
      <w:spacing w:after="120" w:line="480" w:lineRule="auto"/>
    </w:pPr>
    <w:rPr>
      <w:rFonts w:ascii="Times New Roman" w:hAnsi="Times New Roman" w:eastAsia="宋体" w:cs="Times New Roman"/>
    </w:r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 w:type="paragraph" w:styleId="3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37">
    <w:name w:val="index 1"/>
    <w:basedOn w:val="1"/>
    <w:next w:val="1"/>
    <w:qFormat/>
    <w:uiPriority w:val="0"/>
    <w:pPr>
      <w:spacing w:line="220" w:lineRule="exact"/>
      <w:jc w:val="center"/>
    </w:pPr>
    <w:rPr>
      <w:rFonts w:ascii="仿宋_GB2312" w:hAnsi="Times New Roman" w:eastAsia="仿宋_GB2312" w:cs="Times New Roman"/>
      <w:szCs w:val="20"/>
    </w:rPr>
  </w:style>
  <w:style w:type="paragraph" w:styleId="38">
    <w:name w:val="Title"/>
    <w:basedOn w:val="1"/>
    <w:next w:val="1"/>
    <w:qFormat/>
    <w:uiPriority w:val="0"/>
    <w:pPr>
      <w:spacing w:before="240" w:after="60"/>
      <w:jc w:val="center"/>
      <w:outlineLvl w:val="0"/>
    </w:pPr>
    <w:rPr>
      <w:rFonts w:ascii="Cambria" w:hAnsi="Cambria" w:eastAsia="宋体" w:cs="Times New Roman"/>
      <w:b/>
      <w:sz w:val="32"/>
    </w:rPr>
  </w:style>
  <w:style w:type="paragraph" w:styleId="39">
    <w:name w:val="annotation subject"/>
    <w:basedOn w:val="15"/>
    <w:next w:val="15"/>
    <w:link w:val="74"/>
    <w:qFormat/>
    <w:uiPriority w:val="0"/>
    <w:rPr>
      <w:b/>
      <w:bCs/>
    </w:rPr>
  </w:style>
  <w:style w:type="paragraph" w:styleId="40">
    <w:name w:val="Body Text First Indent 2"/>
    <w:basedOn w:val="18"/>
    <w:qFormat/>
    <w:uiPriority w:val="0"/>
    <w:pPr>
      <w:ind w:firstLine="420" w:firstLineChars="200"/>
    </w:pPr>
    <w:rPr>
      <w:rFonts w:ascii="Times New Roman" w:hAnsi="Times New Roman" w:eastAsia="宋体" w:cs="Times New Roman"/>
    </w:rPr>
  </w:style>
  <w:style w:type="table" w:styleId="42">
    <w:name w:val="Table Grid"/>
    <w:basedOn w:val="4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rFonts w:ascii="Times New Roman" w:hAnsi="Times New Roman" w:eastAsia="宋体" w:cs="Times New Roman"/>
      <w:b/>
      <w:bCs/>
    </w:rPr>
  </w:style>
  <w:style w:type="character" w:styleId="45">
    <w:name w:val="page number"/>
    <w:qFormat/>
    <w:uiPriority w:val="0"/>
    <w:rPr>
      <w:rFonts w:ascii="Times New Roman" w:hAnsi="Times New Roman" w:eastAsia="宋体" w:cs="Times New Roman"/>
    </w:rPr>
  </w:style>
  <w:style w:type="character" w:styleId="46">
    <w:name w:val="FollowedHyperlink"/>
    <w:qFormat/>
    <w:uiPriority w:val="0"/>
    <w:rPr>
      <w:rFonts w:ascii="Times New Roman" w:hAnsi="Times New Roman" w:eastAsia="宋体" w:cs="Times New Roman"/>
      <w:color w:val="000000"/>
      <w:u w:val="none"/>
    </w:rPr>
  </w:style>
  <w:style w:type="character" w:styleId="47">
    <w:name w:val="Emphasis"/>
    <w:qFormat/>
    <w:uiPriority w:val="0"/>
    <w:rPr>
      <w:rFonts w:ascii="Times New Roman" w:hAnsi="Times New Roman" w:eastAsia="宋体" w:cs="Times New Roman"/>
    </w:rPr>
  </w:style>
  <w:style w:type="character" w:styleId="48">
    <w:name w:val="HTML Definition"/>
    <w:qFormat/>
    <w:uiPriority w:val="0"/>
    <w:rPr>
      <w:rFonts w:ascii="Times New Roman" w:hAnsi="Times New Roman" w:eastAsia="宋体" w:cs="Times New Roman"/>
    </w:rPr>
  </w:style>
  <w:style w:type="character" w:styleId="49">
    <w:name w:val="HTML Variable"/>
    <w:qFormat/>
    <w:uiPriority w:val="0"/>
    <w:rPr>
      <w:rFonts w:ascii="Times New Roman" w:hAnsi="Times New Roman" w:eastAsia="宋体" w:cs="Times New Roman"/>
    </w:rPr>
  </w:style>
  <w:style w:type="character" w:styleId="50">
    <w:name w:val="Hyperlink"/>
    <w:qFormat/>
    <w:uiPriority w:val="0"/>
    <w:rPr>
      <w:rFonts w:ascii="Times New Roman" w:hAnsi="Times New Roman" w:eastAsia="宋体" w:cs="Times New Roman"/>
      <w:color w:val="136EC2"/>
      <w:u w:val="single"/>
    </w:rPr>
  </w:style>
  <w:style w:type="character" w:styleId="51">
    <w:name w:val="HTML Code"/>
    <w:qFormat/>
    <w:uiPriority w:val="0"/>
    <w:rPr>
      <w:rFonts w:ascii="Courier New" w:hAnsi="Courier New" w:eastAsia="Courier New" w:cs="Courier New"/>
      <w:sz w:val="20"/>
    </w:rPr>
  </w:style>
  <w:style w:type="character" w:styleId="52">
    <w:name w:val="annotation reference"/>
    <w:qFormat/>
    <w:uiPriority w:val="0"/>
    <w:rPr>
      <w:rFonts w:ascii="Times New Roman" w:hAnsi="Times New Roman" w:eastAsia="宋体" w:cs="Times New Roman"/>
      <w:sz w:val="21"/>
      <w:szCs w:val="21"/>
    </w:rPr>
  </w:style>
  <w:style w:type="character" w:styleId="53">
    <w:name w:val="HTML Cite"/>
    <w:qFormat/>
    <w:uiPriority w:val="0"/>
    <w:rPr>
      <w:rFonts w:ascii="Times New Roman" w:hAnsi="Times New Roman" w:eastAsia="宋体" w:cs="Times New Roman"/>
    </w:rPr>
  </w:style>
  <w:style w:type="character" w:styleId="54">
    <w:name w:val="HTML Keyboard"/>
    <w:qFormat/>
    <w:uiPriority w:val="0"/>
    <w:rPr>
      <w:rFonts w:ascii="Courier New" w:hAnsi="Courier New" w:eastAsia="Courier New" w:cs="Courier New"/>
      <w:sz w:val="20"/>
    </w:rPr>
  </w:style>
  <w:style w:type="character" w:styleId="55">
    <w:name w:val="HTML Sample"/>
    <w:qFormat/>
    <w:uiPriority w:val="0"/>
    <w:rPr>
      <w:rFonts w:ascii="Courier New" w:hAnsi="Courier New" w:eastAsia="Courier New" w:cs="Courier New"/>
    </w:rPr>
  </w:style>
  <w:style w:type="paragraph" w:customStyle="1" w:styleId="56">
    <w:name w:val="列出段落1"/>
    <w:basedOn w:val="1"/>
    <w:qFormat/>
    <w:uiPriority w:val="0"/>
    <w:pPr>
      <w:ind w:firstLine="420" w:firstLineChars="200"/>
    </w:pPr>
  </w:style>
  <w:style w:type="character" w:customStyle="1" w:styleId="57">
    <w:name w:val="正文文本缩进 Char"/>
    <w:link w:val="18"/>
    <w:qFormat/>
    <w:uiPriority w:val="0"/>
    <w:rPr>
      <w:rFonts w:ascii="Times New Roman" w:hAnsi="Times New Roman" w:eastAsia="宋体" w:cs="Times New Roman"/>
      <w:kern w:val="2"/>
      <w:sz w:val="21"/>
      <w:szCs w:val="24"/>
      <w:lang w:val="en-US" w:eastAsia="zh-CN" w:bidi="ar-SA"/>
    </w:rPr>
  </w:style>
  <w:style w:type="character" w:customStyle="1" w:styleId="58">
    <w:name w:val="标题 1 Char1"/>
    <w:link w:val="3"/>
    <w:qFormat/>
    <w:uiPriority w:val="0"/>
    <w:rPr>
      <w:rFonts w:ascii="Times New Roman" w:hAnsi="Times New Roman" w:eastAsia="宋体" w:cs="Times New Roman"/>
      <w:b/>
      <w:bCs/>
      <w:kern w:val="2"/>
      <w:sz w:val="30"/>
      <w:lang w:val="en-US" w:eastAsia="zh-CN" w:bidi="ar-SA"/>
    </w:rPr>
  </w:style>
  <w:style w:type="character" w:customStyle="1" w:styleId="59">
    <w:name w:val="标题 2 Char1"/>
    <w:link w:val="4"/>
    <w:qFormat/>
    <w:uiPriority w:val="0"/>
    <w:rPr>
      <w:rFonts w:ascii="Arial" w:hAnsi="Arial" w:eastAsia="宋体" w:cs="Times New Roman"/>
      <w:b/>
      <w:bCs/>
      <w:kern w:val="2"/>
      <w:sz w:val="30"/>
      <w:szCs w:val="32"/>
      <w:lang w:val="en-US" w:eastAsia="zh-CN" w:bidi="ar-SA"/>
    </w:rPr>
  </w:style>
  <w:style w:type="character" w:customStyle="1" w:styleId="60">
    <w:name w:val="标题 3 Char1"/>
    <w:link w:val="5"/>
    <w:qFormat/>
    <w:uiPriority w:val="0"/>
    <w:rPr>
      <w:rFonts w:ascii="Times New Roman" w:hAnsi="Times New Roman" w:eastAsia="宋体" w:cs="Times New Roman"/>
      <w:b/>
      <w:bCs/>
      <w:kern w:val="2"/>
      <w:sz w:val="32"/>
      <w:szCs w:val="32"/>
      <w:lang w:val="en-US" w:eastAsia="zh-CN" w:bidi="ar-SA"/>
    </w:rPr>
  </w:style>
  <w:style w:type="character" w:customStyle="1" w:styleId="61">
    <w:name w:val="标题 4 Char1"/>
    <w:link w:val="6"/>
    <w:qFormat/>
    <w:uiPriority w:val="0"/>
    <w:rPr>
      <w:rFonts w:ascii="Arial" w:hAnsi="Arial" w:eastAsia="黑体" w:cs="Times New Roman"/>
      <w:b/>
      <w:bCs/>
      <w:kern w:val="2"/>
      <w:sz w:val="28"/>
      <w:szCs w:val="28"/>
      <w:lang w:val="en-US" w:eastAsia="zh-CN" w:bidi="ar-SA"/>
    </w:rPr>
  </w:style>
  <w:style w:type="character" w:customStyle="1" w:styleId="62">
    <w:name w:val="标题 5 Char1"/>
    <w:link w:val="7"/>
    <w:qFormat/>
    <w:uiPriority w:val="0"/>
    <w:rPr>
      <w:rFonts w:ascii="Times New Roman" w:hAnsi="Times New Roman" w:eastAsia="宋体" w:cs="Times New Roman"/>
      <w:b/>
      <w:bCs/>
      <w:sz w:val="28"/>
      <w:szCs w:val="28"/>
      <w:lang w:val="en-US" w:eastAsia="zh-CN" w:bidi="ar-SA"/>
    </w:rPr>
  </w:style>
  <w:style w:type="character" w:customStyle="1" w:styleId="63">
    <w:name w:val="标题 6 Char1"/>
    <w:link w:val="8"/>
    <w:qFormat/>
    <w:uiPriority w:val="0"/>
    <w:rPr>
      <w:rFonts w:ascii="Arial" w:hAnsi="Arial" w:eastAsia="黑体" w:cs="Times New Roman"/>
      <w:b/>
      <w:bCs/>
      <w:sz w:val="24"/>
      <w:szCs w:val="24"/>
      <w:lang w:val="en-US" w:eastAsia="zh-CN" w:bidi="ar-SA"/>
    </w:rPr>
  </w:style>
  <w:style w:type="character" w:customStyle="1" w:styleId="64">
    <w:name w:val="标题 7 Char1"/>
    <w:link w:val="9"/>
    <w:qFormat/>
    <w:uiPriority w:val="0"/>
    <w:rPr>
      <w:rFonts w:ascii="Times New Roman" w:hAnsi="Times New Roman" w:eastAsia="宋体" w:cs="Times New Roman"/>
      <w:b/>
      <w:bCs/>
      <w:sz w:val="24"/>
      <w:szCs w:val="24"/>
      <w:lang w:val="en-US" w:eastAsia="zh-CN" w:bidi="ar-SA"/>
    </w:rPr>
  </w:style>
  <w:style w:type="character" w:customStyle="1" w:styleId="65">
    <w:name w:val="标题 8 Char1"/>
    <w:link w:val="10"/>
    <w:qFormat/>
    <w:uiPriority w:val="0"/>
    <w:rPr>
      <w:rFonts w:ascii="Arial" w:hAnsi="Arial" w:eastAsia="黑体" w:cs="Times New Roman"/>
      <w:sz w:val="24"/>
      <w:szCs w:val="24"/>
      <w:lang w:val="en-US" w:eastAsia="zh-CN" w:bidi="ar-SA"/>
    </w:rPr>
  </w:style>
  <w:style w:type="character" w:customStyle="1" w:styleId="66">
    <w:name w:val="标题 9 Char1"/>
    <w:link w:val="11"/>
    <w:qFormat/>
    <w:uiPriority w:val="0"/>
    <w:rPr>
      <w:rFonts w:ascii="Arial" w:hAnsi="Arial" w:eastAsia="黑体" w:cs="Times New Roman"/>
      <w:sz w:val="21"/>
      <w:szCs w:val="21"/>
      <w:lang w:val="en-US" w:eastAsia="zh-CN" w:bidi="ar-SA"/>
    </w:rPr>
  </w:style>
  <w:style w:type="character" w:customStyle="1" w:styleId="67">
    <w:name w:val="批注文字 Char1"/>
    <w:link w:val="15"/>
    <w:qFormat/>
    <w:uiPriority w:val="0"/>
    <w:rPr>
      <w:rFonts w:ascii="Times New Roman" w:hAnsi="Times New Roman" w:eastAsia="宋体" w:cs="Times New Roman"/>
      <w:kern w:val="2"/>
      <w:sz w:val="21"/>
      <w:szCs w:val="24"/>
      <w:lang w:val="en-US" w:eastAsia="zh-CN" w:bidi="ar-SA"/>
    </w:rPr>
  </w:style>
  <w:style w:type="character" w:customStyle="1" w:styleId="68">
    <w:name w:val="纯文本 Char"/>
    <w:link w:val="22"/>
    <w:qFormat/>
    <w:uiPriority w:val="0"/>
    <w:rPr>
      <w:rFonts w:ascii="宋体" w:hAnsi="Courier New" w:eastAsia="宋体" w:cs="Courier New"/>
      <w:kern w:val="2"/>
      <w:sz w:val="21"/>
      <w:szCs w:val="21"/>
      <w:lang w:val="en-US" w:eastAsia="zh-CN" w:bidi="ar-SA"/>
    </w:rPr>
  </w:style>
  <w:style w:type="character" w:customStyle="1" w:styleId="69">
    <w:name w:val="日期 Char1"/>
    <w:link w:val="24"/>
    <w:qFormat/>
    <w:uiPriority w:val="0"/>
    <w:rPr>
      <w:rFonts w:ascii="Times New Roman" w:hAnsi="Times New Roman" w:eastAsia="宋体" w:cs="Times New Roman"/>
      <w:kern w:val="2"/>
      <w:sz w:val="24"/>
      <w:lang w:val="en-US" w:eastAsia="zh-CN" w:bidi="ar-SA"/>
    </w:rPr>
  </w:style>
  <w:style w:type="character" w:customStyle="1" w:styleId="70">
    <w:name w:val="批注框文本 Char1"/>
    <w:link w:val="26"/>
    <w:qFormat/>
    <w:uiPriority w:val="0"/>
    <w:rPr>
      <w:rFonts w:ascii="Calibri" w:hAnsi="Calibri" w:eastAsia="宋体" w:cs="Times New Roman"/>
      <w:kern w:val="2"/>
      <w:sz w:val="18"/>
      <w:szCs w:val="18"/>
      <w:lang w:val="en-US" w:eastAsia="zh-CN" w:bidi="ar-SA"/>
    </w:rPr>
  </w:style>
  <w:style w:type="character" w:customStyle="1" w:styleId="71">
    <w:name w:val="页脚 Char1"/>
    <w:link w:val="27"/>
    <w:qFormat/>
    <w:uiPriority w:val="0"/>
    <w:rPr>
      <w:rFonts w:ascii="Times New Roman" w:hAnsi="Times New Roman" w:eastAsia="宋体" w:cs="Times New Roman"/>
      <w:kern w:val="2"/>
      <w:sz w:val="18"/>
      <w:szCs w:val="18"/>
      <w:lang w:val="en-US" w:eastAsia="zh-CN" w:bidi="ar-SA"/>
    </w:rPr>
  </w:style>
  <w:style w:type="character" w:customStyle="1" w:styleId="72">
    <w:name w:val="页眉 Char1"/>
    <w:link w:val="28"/>
    <w:qFormat/>
    <w:uiPriority w:val="0"/>
    <w:rPr>
      <w:rFonts w:ascii="Times New Roman" w:hAnsi="Times New Roman" w:eastAsia="宋体" w:cs="Times New Roman"/>
      <w:kern w:val="2"/>
      <w:sz w:val="18"/>
      <w:szCs w:val="18"/>
      <w:lang w:val="en-US" w:eastAsia="zh-CN" w:bidi="ar-SA"/>
    </w:rPr>
  </w:style>
  <w:style w:type="character" w:customStyle="1" w:styleId="73">
    <w:name w:val="正文文本缩进 3 Char1"/>
    <w:link w:val="31"/>
    <w:qFormat/>
    <w:uiPriority w:val="0"/>
    <w:rPr>
      <w:rFonts w:ascii="Times New Roman" w:hAnsi="Times New Roman" w:eastAsia="宋体" w:cs="Times New Roman"/>
      <w:kern w:val="2"/>
      <w:sz w:val="16"/>
      <w:szCs w:val="16"/>
      <w:lang w:val="en-US" w:eastAsia="zh-CN" w:bidi="ar-SA"/>
    </w:rPr>
  </w:style>
  <w:style w:type="character" w:customStyle="1" w:styleId="74">
    <w:name w:val="批注主题 Char1"/>
    <w:link w:val="39"/>
    <w:qFormat/>
    <w:uiPriority w:val="0"/>
    <w:rPr>
      <w:rFonts w:ascii="Times New Roman" w:hAnsi="Times New Roman" w:eastAsia="宋体" w:cs="Times New Roman"/>
      <w:b/>
      <w:bCs/>
      <w:kern w:val="2"/>
      <w:sz w:val="21"/>
      <w:szCs w:val="24"/>
      <w:lang w:val="en-US" w:eastAsia="zh-CN" w:bidi="ar-SA"/>
    </w:rPr>
  </w:style>
  <w:style w:type="character" w:customStyle="1" w:styleId="75">
    <w:name w:val="Font Style86"/>
    <w:qFormat/>
    <w:uiPriority w:val="0"/>
    <w:rPr>
      <w:rFonts w:hint="eastAsia" w:ascii="黑体" w:hAnsi="黑体" w:eastAsia="黑体" w:cs="Times New Roman"/>
      <w:spacing w:val="10"/>
      <w:sz w:val="30"/>
    </w:rPr>
  </w:style>
  <w:style w:type="character" w:customStyle="1" w:styleId="76">
    <w:name w:val="p0 Char Char"/>
    <w:qFormat/>
    <w:uiPriority w:val="0"/>
    <w:rPr>
      <w:rFonts w:ascii="Times New Roman" w:hAnsi="Times New Roman" w:eastAsia="宋体" w:cs="Times New Roman"/>
      <w:kern w:val="2"/>
      <w:sz w:val="21"/>
      <w:szCs w:val="21"/>
      <w:lang w:val="en-US" w:eastAsia="zh-CN" w:bidi="ar-SA"/>
    </w:rPr>
  </w:style>
  <w:style w:type="character" w:customStyle="1" w:styleId="77">
    <w:name w:val="标题 8 Char"/>
    <w:qFormat/>
    <w:uiPriority w:val="0"/>
    <w:rPr>
      <w:rFonts w:ascii="Arial" w:hAnsi="Arial" w:eastAsia="黑体" w:cs="Times New Roman"/>
      <w:sz w:val="24"/>
      <w:szCs w:val="24"/>
    </w:rPr>
  </w:style>
  <w:style w:type="character" w:customStyle="1" w:styleId="78">
    <w:name w:val="标题 3 Char"/>
    <w:qFormat/>
    <w:uiPriority w:val="0"/>
    <w:rPr>
      <w:rFonts w:ascii="Times New Roman" w:hAnsi="Times New Roman" w:eastAsia="宋体" w:cs="Times New Roman"/>
      <w:b/>
      <w:bCs/>
      <w:sz w:val="24"/>
      <w:szCs w:val="24"/>
    </w:rPr>
  </w:style>
  <w:style w:type="character" w:customStyle="1" w:styleId="79">
    <w:name w:val="页眉 Char"/>
    <w:qFormat/>
    <w:uiPriority w:val="99"/>
    <w:rPr>
      <w:rFonts w:ascii="Times New Roman" w:hAnsi="Times New Roman" w:eastAsia="宋体" w:cs="Times New Roman"/>
      <w:kern w:val="2"/>
      <w:sz w:val="18"/>
      <w:szCs w:val="18"/>
    </w:rPr>
  </w:style>
  <w:style w:type="character" w:customStyle="1" w:styleId="80">
    <w:name w:val="Font Style116"/>
    <w:qFormat/>
    <w:uiPriority w:val="0"/>
    <w:rPr>
      <w:rFonts w:hint="eastAsia" w:ascii="宋体" w:hAnsi="宋体" w:eastAsia="宋体" w:cs="Times New Roman"/>
      <w:spacing w:val="-20"/>
      <w:sz w:val="24"/>
    </w:rPr>
  </w:style>
  <w:style w:type="character" w:customStyle="1" w:styleId="81">
    <w:name w:val="批注文字 Char"/>
    <w:qFormat/>
    <w:uiPriority w:val="0"/>
    <w:rPr>
      <w:rFonts w:ascii="Times New Roman" w:hAnsi="Times New Roman" w:eastAsia="宋体" w:cs="Times New Roman"/>
      <w:kern w:val="2"/>
      <w:sz w:val="21"/>
      <w:szCs w:val="24"/>
    </w:rPr>
  </w:style>
  <w:style w:type="character" w:customStyle="1" w:styleId="82">
    <w:name w:val="批注文字 Char Char"/>
    <w:qFormat/>
    <w:uiPriority w:val="0"/>
    <w:rPr>
      <w:rFonts w:ascii="Times New Roman" w:hAnsi="Times New Roman" w:eastAsia="宋体" w:cs="Times New Roman"/>
      <w:kern w:val="2"/>
      <w:sz w:val="21"/>
      <w:szCs w:val="24"/>
      <w:lang w:bidi="ar-SA"/>
    </w:rPr>
  </w:style>
  <w:style w:type="character" w:customStyle="1" w:styleId="83">
    <w:name w:val="Font Style90"/>
    <w:qFormat/>
    <w:uiPriority w:val="0"/>
    <w:rPr>
      <w:rFonts w:hint="eastAsia" w:ascii="宋体" w:hAnsi="宋体" w:eastAsia="宋体" w:cs="Times New Roman"/>
      <w:b/>
      <w:spacing w:val="-20"/>
      <w:sz w:val="40"/>
    </w:rPr>
  </w:style>
  <w:style w:type="character" w:customStyle="1" w:styleId="84">
    <w:name w:val="NormalCharacter"/>
    <w:qFormat/>
    <w:uiPriority w:val="0"/>
    <w:rPr>
      <w:rFonts w:ascii="Calibri" w:hAnsi="Calibri" w:eastAsia="宋体" w:cs="Times New Roman"/>
      <w:kern w:val="2"/>
      <w:sz w:val="28"/>
      <w:szCs w:val="24"/>
      <w:lang w:val="en-US" w:eastAsia="zh-CN" w:bidi="ar-SA"/>
    </w:rPr>
  </w:style>
  <w:style w:type="character" w:customStyle="1" w:styleId="85">
    <w:name w:val="Font Style125"/>
    <w:qFormat/>
    <w:uiPriority w:val="0"/>
    <w:rPr>
      <w:rFonts w:hint="eastAsia" w:ascii="宋体" w:hAnsi="宋体" w:eastAsia="宋体" w:cs="Times New Roman"/>
      <w:b/>
      <w:sz w:val="26"/>
    </w:rPr>
  </w:style>
  <w:style w:type="character" w:customStyle="1" w:styleId="86">
    <w:name w:val="plus"/>
    <w:qFormat/>
    <w:uiPriority w:val="0"/>
    <w:rPr>
      <w:rFonts w:ascii="Times New Roman" w:hAnsi="Times New Roman" w:eastAsia="宋体" w:cs="Times New Roman"/>
      <w:b/>
      <w:vanish/>
      <w:color w:val="1F8DEF"/>
      <w:sz w:val="24"/>
      <w:szCs w:val="24"/>
    </w:rPr>
  </w:style>
  <w:style w:type="character" w:customStyle="1" w:styleId="87">
    <w:name w:val="标题 5 Char"/>
    <w:qFormat/>
    <w:uiPriority w:val="0"/>
    <w:rPr>
      <w:rFonts w:ascii="Times New Roman" w:hAnsi="Times New Roman" w:eastAsia="宋体" w:cs="Times New Roman"/>
      <w:b/>
      <w:bCs/>
      <w:kern w:val="2"/>
      <w:sz w:val="28"/>
      <w:szCs w:val="28"/>
    </w:rPr>
  </w:style>
  <w:style w:type="character" w:customStyle="1" w:styleId="88">
    <w:name w:val="bds_more8"/>
    <w:qFormat/>
    <w:uiPriority w:val="0"/>
    <w:rPr>
      <w:rFonts w:ascii="Times New Roman" w:hAnsi="Times New Roman" w:eastAsia="宋体" w:cs="Times New Roman"/>
    </w:rPr>
  </w:style>
  <w:style w:type="character" w:customStyle="1" w:styleId="89">
    <w:name w:val="sidecatalog-dot"/>
    <w:qFormat/>
    <w:uiPriority w:val="0"/>
    <w:rPr>
      <w:rFonts w:ascii="Times New Roman" w:hAnsi="Times New Roman" w:eastAsia="宋体" w:cs="Times New Roman"/>
    </w:rPr>
  </w:style>
  <w:style w:type="character" w:customStyle="1" w:styleId="90">
    <w:name w:val=" Char Char12"/>
    <w:qFormat/>
    <w:uiPriority w:val="0"/>
    <w:rPr>
      <w:rFonts w:ascii="Arial" w:hAnsi="Arial" w:eastAsia="黑体" w:cs="Times New Roman"/>
      <w:b/>
      <w:bCs/>
      <w:kern w:val="2"/>
      <w:sz w:val="28"/>
      <w:szCs w:val="28"/>
      <w:lang w:val="en-US" w:eastAsia="zh-CN" w:bidi="ar-SA"/>
    </w:rPr>
  </w:style>
  <w:style w:type="character" w:customStyle="1" w:styleId="91">
    <w:name w:val="Font Style134"/>
    <w:qFormat/>
    <w:uiPriority w:val="0"/>
    <w:rPr>
      <w:rFonts w:hint="eastAsia" w:ascii="宋体" w:hAnsi="宋体" w:eastAsia="宋体" w:cs="Times New Roman"/>
      <w:spacing w:val="20"/>
      <w:sz w:val="22"/>
    </w:rPr>
  </w:style>
  <w:style w:type="character" w:customStyle="1" w:styleId="92">
    <w:name w:val="font61"/>
    <w:qFormat/>
    <w:uiPriority w:val="0"/>
    <w:rPr>
      <w:rFonts w:hint="eastAsia" w:ascii="宋体" w:hAnsi="宋体" w:eastAsia="宋体" w:cs="宋体"/>
      <w:color w:val="000000"/>
      <w:sz w:val="20"/>
      <w:szCs w:val="20"/>
      <w:u w:val="none"/>
    </w:rPr>
  </w:style>
  <w:style w:type="character" w:customStyle="1" w:styleId="93">
    <w:name w:val="bds_nopic1"/>
    <w:qFormat/>
    <w:uiPriority w:val="0"/>
    <w:rPr>
      <w:rFonts w:ascii="Times New Roman" w:hAnsi="Times New Roman" w:eastAsia="宋体" w:cs="Times New Roman"/>
    </w:rPr>
  </w:style>
  <w:style w:type="character" w:customStyle="1" w:styleId="94">
    <w:name w:val="Font Style133"/>
    <w:qFormat/>
    <w:uiPriority w:val="0"/>
    <w:rPr>
      <w:rFonts w:hint="eastAsia" w:ascii="宋体" w:hAnsi="宋体" w:eastAsia="宋体" w:cs="Times New Roman"/>
      <w:spacing w:val="30"/>
      <w:sz w:val="24"/>
    </w:rPr>
  </w:style>
  <w:style w:type="character" w:customStyle="1" w:styleId="95">
    <w:name w:val="批注框文本 Char"/>
    <w:qFormat/>
    <w:uiPriority w:val="0"/>
    <w:rPr>
      <w:rFonts w:ascii="Times New Roman" w:hAnsi="Times New Roman" w:eastAsia="宋体" w:cs="Times New Roman"/>
      <w:kern w:val="2"/>
      <w:sz w:val="18"/>
      <w:szCs w:val="18"/>
    </w:rPr>
  </w:style>
  <w:style w:type="character" w:customStyle="1" w:styleId="96">
    <w:name w:val="sort1"/>
    <w:qFormat/>
    <w:uiPriority w:val="0"/>
    <w:rPr>
      <w:rFonts w:ascii="Times New Roman" w:hAnsi="Times New Roman" w:eastAsia="宋体" w:cs="Times New Roman"/>
    </w:rPr>
  </w:style>
  <w:style w:type="character" w:customStyle="1" w:styleId="97">
    <w:name w:val="标题 4 Char Char"/>
    <w:qFormat/>
    <w:uiPriority w:val="0"/>
    <w:rPr>
      <w:rFonts w:ascii="Arial" w:hAnsi="Arial" w:eastAsia="宋体" w:cs="Times New Roman"/>
      <w:b/>
      <w:bCs/>
      <w:kern w:val="2"/>
      <w:sz w:val="21"/>
      <w:szCs w:val="28"/>
      <w:lang w:val="en-US" w:eastAsia="zh-CN" w:bidi="ar-SA"/>
    </w:rPr>
  </w:style>
  <w:style w:type="character" w:customStyle="1" w:styleId="98">
    <w:name w:val="标题 9 Char"/>
    <w:qFormat/>
    <w:uiPriority w:val="0"/>
    <w:rPr>
      <w:rFonts w:ascii="Arial" w:hAnsi="Arial" w:eastAsia="黑体" w:cs="Times New Roman"/>
      <w:sz w:val="21"/>
      <w:szCs w:val="21"/>
    </w:rPr>
  </w:style>
  <w:style w:type="character" w:customStyle="1" w:styleId="99">
    <w:name w:val="Font Style122"/>
    <w:qFormat/>
    <w:uiPriority w:val="0"/>
    <w:rPr>
      <w:rFonts w:hint="eastAsia" w:ascii="宋体" w:hAnsi="宋体" w:eastAsia="宋体" w:cs="Times New Roman"/>
      <w:spacing w:val="20"/>
      <w:sz w:val="24"/>
    </w:rPr>
  </w:style>
  <w:style w:type="character" w:customStyle="1" w:styleId="100">
    <w:name w:val="标题 2 Char"/>
    <w:qFormat/>
    <w:uiPriority w:val="0"/>
    <w:rPr>
      <w:rFonts w:ascii="Cambria" w:hAnsi="Cambria" w:eastAsia="宋体" w:cs="Times New Roman"/>
      <w:b/>
      <w:bCs/>
      <w:kern w:val="2"/>
      <w:sz w:val="32"/>
      <w:szCs w:val="32"/>
    </w:rPr>
  </w:style>
  <w:style w:type="character" w:customStyle="1" w:styleId="101">
    <w:name w:val=" Char Char16"/>
    <w:qFormat/>
    <w:uiPriority w:val="0"/>
    <w:rPr>
      <w:rFonts w:ascii="宋体" w:hAnsi="Times New Roman" w:eastAsia="宋体" w:cs="Times New Roman"/>
      <w:b/>
      <w:sz w:val="24"/>
      <w:lang w:val="en-US" w:eastAsia="zh-CN" w:bidi="ar-SA"/>
    </w:rPr>
  </w:style>
  <w:style w:type="character" w:customStyle="1" w:styleId="102">
    <w:name w:val="bds_more6"/>
    <w:qFormat/>
    <w:uiPriority w:val="0"/>
    <w:rPr>
      <w:rFonts w:hint="eastAsia" w:ascii="宋体" w:hAnsi="宋体" w:eastAsia="宋体" w:cs="宋体"/>
    </w:rPr>
  </w:style>
  <w:style w:type="character" w:customStyle="1" w:styleId="103">
    <w:name w:val="正文文本缩进 3 Char"/>
    <w:qFormat/>
    <w:uiPriority w:val="0"/>
    <w:rPr>
      <w:rFonts w:ascii="宋体" w:hAnsi="MS Sans Serif" w:eastAsia="宋体" w:cs="Times New Roman"/>
      <w:color w:val="000000"/>
      <w:sz w:val="24"/>
    </w:rPr>
  </w:style>
  <w:style w:type="character" w:customStyle="1" w:styleId="104">
    <w:name w:val="标题 6 Char"/>
    <w:qFormat/>
    <w:uiPriority w:val="0"/>
    <w:rPr>
      <w:rFonts w:ascii="Arial" w:hAnsi="Arial" w:eastAsia="黑体" w:cs="Times New Roman"/>
      <w:b/>
      <w:bCs/>
      <w:sz w:val="24"/>
      <w:szCs w:val="24"/>
    </w:rPr>
  </w:style>
  <w:style w:type="character" w:customStyle="1" w:styleId="105">
    <w:name w:val="Font Style105"/>
    <w:qFormat/>
    <w:uiPriority w:val="0"/>
    <w:rPr>
      <w:rFonts w:hint="eastAsia" w:ascii="Times New Roman" w:hAnsi="Times New Roman" w:eastAsia="Times New Roman" w:cs="Times New Roman"/>
      <w:w w:val="60"/>
      <w:sz w:val="26"/>
    </w:rPr>
  </w:style>
  <w:style w:type="character" w:customStyle="1" w:styleId="106">
    <w:name w:val="批注主题 Char"/>
    <w:qFormat/>
    <w:uiPriority w:val="0"/>
    <w:rPr>
      <w:rFonts w:ascii="Times New Roman" w:hAnsi="Times New Roman" w:eastAsia="宋体" w:cs="Times New Roman"/>
      <w:b/>
      <w:bCs/>
      <w:kern w:val="2"/>
      <w:sz w:val="21"/>
      <w:szCs w:val="24"/>
    </w:rPr>
  </w:style>
  <w:style w:type="character" w:customStyle="1" w:styleId="107">
    <w:name w:val="font71"/>
    <w:qFormat/>
    <w:uiPriority w:val="0"/>
    <w:rPr>
      <w:rFonts w:hint="eastAsia" w:ascii="宋体" w:hAnsi="宋体" w:eastAsia="宋体" w:cs="宋体"/>
      <w:color w:val="FF0000"/>
      <w:sz w:val="22"/>
      <w:szCs w:val="22"/>
      <w:u w:val="none"/>
    </w:rPr>
  </w:style>
  <w:style w:type="character" w:customStyle="1" w:styleId="108">
    <w:name w:val=" Char Char15"/>
    <w:qFormat/>
    <w:uiPriority w:val="0"/>
    <w:rPr>
      <w:rFonts w:ascii="Times New Roman" w:hAnsi="Times New Roman" w:eastAsia="宋体" w:cs="Times New Roman"/>
      <w:b/>
      <w:bCs/>
      <w:sz w:val="24"/>
      <w:szCs w:val="24"/>
    </w:rPr>
  </w:style>
  <w:style w:type="character" w:customStyle="1" w:styleId="109">
    <w:name w:val="font41"/>
    <w:qFormat/>
    <w:uiPriority w:val="0"/>
    <w:rPr>
      <w:rFonts w:hint="eastAsia" w:ascii="仿宋_GB2312" w:eastAsia="仿宋_GB2312" w:cs="仿宋_GB2312"/>
      <w:color w:val="FF0000"/>
      <w:sz w:val="24"/>
      <w:szCs w:val="24"/>
      <w:u w:val="none"/>
    </w:rPr>
  </w:style>
  <w:style w:type="character" w:customStyle="1" w:styleId="110">
    <w:name w:val="font11"/>
    <w:qFormat/>
    <w:uiPriority w:val="0"/>
    <w:rPr>
      <w:rFonts w:hint="eastAsia" w:ascii="宋体" w:hAnsi="宋体" w:eastAsia="宋体" w:cs="宋体"/>
      <w:color w:val="000000"/>
      <w:sz w:val="21"/>
      <w:szCs w:val="21"/>
      <w:u w:val="none"/>
    </w:rPr>
  </w:style>
  <w:style w:type="character" w:customStyle="1" w:styleId="111">
    <w:name w:val="Font Style128"/>
    <w:qFormat/>
    <w:uiPriority w:val="0"/>
    <w:rPr>
      <w:rFonts w:hint="eastAsia" w:ascii="Times New Roman" w:hAnsi="Times New Roman" w:eastAsia="Times New Roman" w:cs="Times New Roman"/>
      <w:sz w:val="16"/>
    </w:rPr>
  </w:style>
  <w:style w:type="character" w:customStyle="1" w:styleId="112">
    <w:name w:val="Font Style126"/>
    <w:qFormat/>
    <w:uiPriority w:val="0"/>
    <w:rPr>
      <w:rFonts w:hint="eastAsia" w:ascii="宋体" w:hAnsi="宋体" w:eastAsia="宋体" w:cs="Times New Roman"/>
      <w:b/>
      <w:spacing w:val="-30"/>
      <w:sz w:val="28"/>
    </w:rPr>
  </w:style>
  <w:style w:type="character" w:customStyle="1" w:styleId="113">
    <w:name w:val="Font Style94"/>
    <w:qFormat/>
    <w:uiPriority w:val="0"/>
    <w:rPr>
      <w:rFonts w:hint="eastAsia" w:ascii="Times New Roman" w:hAnsi="Times New Roman" w:eastAsia="Times New Roman" w:cs="Times New Roman"/>
      <w:sz w:val="28"/>
    </w:rPr>
  </w:style>
  <w:style w:type="character" w:customStyle="1" w:styleId="114">
    <w:name w:val=" Char Char13"/>
    <w:qFormat/>
    <w:uiPriority w:val="0"/>
    <w:rPr>
      <w:rFonts w:ascii="Times New Roman" w:hAnsi="Times New Roman" w:eastAsia="宋体" w:cs="Times New Roman"/>
      <w:b/>
      <w:bCs/>
      <w:kern w:val="2"/>
      <w:sz w:val="24"/>
      <w:lang w:val="en-US" w:eastAsia="zh-CN" w:bidi="ar-SA"/>
    </w:rPr>
  </w:style>
  <w:style w:type="character" w:customStyle="1" w:styleId="115">
    <w:name w:val="Font Style131"/>
    <w:qFormat/>
    <w:uiPriority w:val="0"/>
    <w:rPr>
      <w:rFonts w:hint="eastAsia" w:ascii="Times New Roman" w:hAnsi="Times New Roman" w:eastAsia="Times New Roman" w:cs="Times New Roman"/>
      <w:sz w:val="18"/>
    </w:rPr>
  </w:style>
  <w:style w:type="character" w:customStyle="1" w:styleId="116">
    <w:name w:val="polysemyred"/>
    <w:qFormat/>
    <w:uiPriority w:val="0"/>
    <w:rPr>
      <w:rFonts w:ascii="Times New Roman" w:hAnsi="Times New Roman" w:eastAsia="宋体" w:cs="Times New Roman"/>
      <w:color w:val="FF6666"/>
      <w:sz w:val="18"/>
      <w:szCs w:val="18"/>
    </w:rPr>
  </w:style>
  <w:style w:type="character" w:customStyle="1" w:styleId="117">
    <w:name w:val="desc"/>
    <w:qFormat/>
    <w:uiPriority w:val="0"/>
    <w:rPr>
      <w:rFonts w:ascii="Times New Roman" w:hAnsi="Times New Roman" w:eastAsia="宋体" w:cs="Times New Roman"/>
      <w:color w:val="000000"/>
      <w:sz w:val="18"/>
      <w:szCs w:val="18"/>
    </w:rPr>
  </w:style>
  <w:style w:type="character" w:customStyle="1" w:styleId="118">
    <w:name w:val="Font Style104"/>
    <w:qFormat/>
    <w:uiPriority w:val="0"/>
    <w:rPr>
      <w:rFonts w:hint="eastAsia" w:ascii="宋体" w:hAnsi="宋体" w:eastAsia="宋体" w:cs="Times New Roman"/>
      <w:spacing w:val="30"/>
      <w:sz w:val="18"/>
    </w:rPr>
  </w:style>
  <w:style w:type="character" w:customStyle="1" w:styleId="119">
    <w:name w:val="标题 7 Char"/>
    <w:qFormat/>
    <w:uiPriority w:val="0"/>
    <w:rPr>
      <w:rFonts w:ascii="Times New Roman" w:hAnsi="Times New Roman" w:eastAsia="宋体" w:cs="Times New Roman"/>
      <w:b/>
      <w:bCs/>
      <w:sz w:val="24"/>
      <w:szCs w:val="24"/>
    </w:rPr>
  </w:style>
  <w:style w:type="character" w:customStyle="1" w:styleId="120">
    <w:name w:val="标题 2 字符"/>
    <w:qFormat/>
    <w:uiPriority w:val="0"/>
    <w:rPr>
      <w:rFonts w:ascii="Arial" w:hAnsi="Arial" w:eastAsia="仿宋" w:cs="Times New Roman"/>
      <w:b/>
      <w:color w:val="000000"/>
      <w:sz w:val="28"/>
      <w:szCs w:val="22"/>
    </w:rPr>
  </w:style>
  <w:style w:type="character" w:customStyle="1" w:styleId="121">
    <w:name w:val="sidecatalog-dot1"/>
    <w:qFormat/>
    <w:uiPriority w:val="0"/>
    <w:rPr>
      <w:rFonts w:ascii="Times New Roman" w:hAnsi="Times New Roman" w:eastAsia="宋体" w:cs="Times New Roman"/>
    </w:rPr>
  </w:style>
  <w:style w:type="character" w:customStyle="1" w:styleId="122">
    <w:name w:val="bds_nopic"/>
    <w:qFormat/>
    <w:uiPriority w:val="0"/>
    <w:rPr>
      <w:rFonts w:ascii="Times New Roman" w:hAnsi="Times New Roman" w:eastAsia="宋体" w:cs="Times New Roman"/>
    </w:rPr>
  </w:style>
  <w:style w:type="character" w:customStyle="1" w:styleId="123">
    <w:name w:val="Font Style115"/>
    <w:qFormat/>
    <w:uiPriority w:val="0"/>
    <w:rPr>
      <w:rFonts w:hint="eastAsia" w:ascii="Times New Roman" w:hAnsi="Times New Roman" w:eastAsia="Times New Roman" w:cs="Times New Roman"/>
      <w:sz w:val="16"/>
    </w:rPr>
  </w:style>
  <w:style w:type="character" w:customStyle="1" w:styleId="124">
    <w:name w:val="Font Style124"/>
    <w:qFormat/>
    <w:uiPriority w:val="0"/>
    <w:rPr>
      <w:rFonts w:hint="eastAsia" w:ascii="宋体" w:hAnsi="宋体" w:eastAsia="宋体" w:cs="Times New Roman"/>
      <w:spacing w:val="30"/>
      <w:sz w:val="24"/>
    </w:rPr>
  </w:style>
  <w:style w:type="character" w:customStyle="1" w:styleId="125">
    <w:name w:val="bds_more10"/>
    <w:qFormat/>
    <w:uiPriority w:val="0"/>
    <w:rPr>
      <w:rFonts w:ascii="Times New Roman" w:hAnsi="Times New Roman" w:eastAsia="宋体" w:cs="Times New Roman"/>
    </w:rPr>
  </w:style>
  <w:style w:type="character" w:customStyle="1" w:styleId="126">
    <w:name w:val="sort"/>
    <w:qFormat/>
    <w:uiPriority w:val="0"/>
    <w:rPr>
      <w:rFonts w:ascii="Times New Roman" w:hAnsi="Times New Roman" w:eastAsia="宋体" w:cs="Times New Roman"/>
      <w:color w:val="FFFFFF"/>
      <w:bdr w:val="single" w:color="auto" w:sz="24" w:space="0"/>
    </w:rPr>
  </w:style>
  <w:style w:type="character" w:customStyle="1" w:styleId="127">
    <w:name w:val="标题 Char"/>
    <w:qFormat/>
    <w:uiPriority w:val="0"/>
    <w:rPr>
      <w:rFonts w:ascii="Cambria" w:hAnsi="Cambria" w:eastAsia="宋体" w:cs="Times New Roman"/>
      <w:b/>
      <w:kern w:val="2"/>
      <w:sz w:val="32"/>
      <w:szCs w:val="24"/>
    </w:rPr>
  </w:style>
  <w:style w:type="character" w:customStyle="1" w:styleId="128">
    <w:name w:val="纯文本 Char1"/>
    <w:qFormat/>
    <w:uiPriority w:val="0"/>
    <w:rPr>
      <w:rFonts w:ascii="宋体" w:hAnsi="Courier New" w:eastAsia="宋体" w:cs="Courier New"/>
      <w:kern w:val="2"/>
      <w:sz w:val="21"/>
      <w:szCs w:val="21"/>
      <w:lang w:val="en-US" w:eastAsia="zh-CN" w:bidi="ar-SA"/>
    </w:rPr>
  </w:style>
  <w:style w:type="character" w:customStyle="1" w:styleId="129">
    <w:name w:val="Font Style127"/>
    <w:qFormat/>
    <w:uiPriority w:val="0"/>
    <w:rPr>
      <w:rFonts w:hint="eastAsia" w:ascii="Times New Roman" w:hAnsi="Times New Roman" w:eastAsia="Times New Roman" w:cs="Times New Roman"/>
      <w:sz w:val="20"/>
    </w:rPr>
  </w:style>
  <w:style w:type="character" w:customStyle="1" w:styleId="130">
    <w:name w:val=" Char Char17"/>
    <w:qFormat/>
    <w:uiPriority w:val="0"/>
    <w:rPr>
      <w:rFonts w:ascii="宋体" w:hAnsi="Times New Roman" w:eastAsia="宋体" w:cs="Times New Roman"/>
      <w:b/>
      <w:sz w:val="28"/>
      <w:lang w:val="en-US" w:eastAsia="zh-CN" w:bidi="ar-SA"/>
    </w:rPr>
  </w:style>
  <w:style w:type="character" w:customStyle="1" w:styleId="131">
    <w:name w:val="polysemyexp"/>
    <w:qFormat/>
    <w:uiPriority w:val="0"/>
    <w:rPr>
      <w:rFonts w:ascii="Times New Roman" w:hAnsi="Times New Roman" w:eastAsia="宋体" w:cs="Times New Roman"/>
      <w:color w:val="AAAAAA"/>
      <w:sz w:val="18"/>
      <w:szCs w:val="18"/>
    </w:rPr>
  </w:style>
  <w:style w:type="character" w:customStyle="1" w:styleId="132">
    <w:name w:val="bds_more7"/>
    <w:qFormat/>
    <w:uiPriority w:val="0"/>
    <w:rPr>
      <w:rFonts w:ascii="Times New Roman" w:hAnsi="Times New Roman" w:eastAsia="宋体" w:cs="Times New Roman"/>
    </w:rPr>
  </w:style>
  <w:style w:type="character" w:customStyle="1" w:styleId="133">
    <w:name w:val="Font Style121"/>
    <w:qFormat/>
    <w:uiPriority w:val="0"/>
    <w:rPr>
      <w:rFonts w:hint="eastAsia" w:ascii="宋体" w:hAnsi="宋体" w:eastAsia="宋体" w:cs="Times New Roman"/>
      <w:spacing w:val="-10"/>
      <w:sz w:val="30"/>
    </w:rPr>
  </w:style>
  <w:style w:type="character" w:customStyle="1" w:styleId="134">
    <w:name w:val="lemmatitleh12"/>
    <w:qFormat/>
    <w:uiPriority w:val="0"/>
    <w:rPr>
      <w:rFonts w:ascii="Times New Roman" w:hAnsi="Times New Roman" w:eastAsia="宋体" w:cs="Times New Roman"/>
    </w:rPr>
  </w:style>
  <w:style w:type="character" w:customStyle="1" w:styleId="135">
    <w:name w:val="Font Style119"/>
    <w:qFormat/>
    <w:uiPriority w:val="0"/>
    <w:rPr>
      <w:rFonts w:hint="eastAsia" w:ascii="宋体" w:hAnsi="宋体" w:eastAsia="宋体" w:cs="Times New Roman"/>
      <w:sz w:val="24"/>
    </w:rPr>
  </w:style>
  <w:style w:type="character" w:customStyle="1" w:styleId="136">
    <w:name w:val=" Char Char14"/>
    <w:qFormat/>
    <w:uiPriority w:val="0"/>
    <w:rPr>
      <w:rFonts w:ascii="Arial" w:hAnsi="Arial" w:eastAsia="黑体" w:cs="Times New Roman"/>
      <w:b/>
      <w:bCs/>
      <w:sz w:val="28"/>
      <w:szCs w:val="28"/>
      <w:lang w:val="en-US" w:eastAsia="zh-CN" w:bidi="ar-SA"/>
    </w:rPr>
  </w:style>
  <w:style w:type="character" w:customStyle="1" w:styleId="137">
    <w:name w:val="sidecatalog-index2"/>
    <w:qFormat/>
    <w:uiPriority w:val="0"/>
    <w:rPr>
      <w:rFonts w:ascii="Arail" w:hAnsi="Arail" w:eastAsia="Arail" w:cs="Arail"/>
      <w:color w:val="999999"/>
      <w:sz w:val="21"/>
      <w:szCs w:val="21"/>
    </w:rPr>
  </w:style>
  <w:style w:type="character" w:customStyle="1" w:styleId="138">
    <w:name w:val="morelink-item"/>
    <w:qFormat/>
    <w:uiPriority w:val="0"/>
    <w:rPr>
      <w:rFonts w:ascii="Times New Roman" w:hAnsi="Times New Roman" w:eastAsia="宋体" w:cs="Times New Roman"/>
    </w:rPr>
  </w:style>
  <w:style w:type="character" w:customStyle="1" w:styleId="139">
    <w:name w:val="sidecatalog-index1"/>
    <w:qFormat/>
    <w:uiPriority w:val="0"/>
    <w:rPr>
      <w:rFonts w:ascii="Arial" w:hAnsi="Arial" w:eastAsia="宋体" w:cs="Arial"/>
      <w:b/>
      <w:color w:val="999999"/>
      <w:sz w:val="21"/>
      <w:szCs w:val="21"/>
    </w:rPr>
  </w:style>
  <w:style w:type="character" w:customStyle="1" w:styleId="140">
    <w:name w:val="font51"/>
    <w:qFormat/>
    <w:uiPriority w:val="0"/>
    <w:rPr>
      <w:rFonts w:hint="eastAsia" w:ascii="仿宋_GB2312" w:eastAsia="仿宋_GB2312" w:cs="仿宋_GB2312"/>
      <w:color w:val="000000"/>
      <w:sz w:val="24"/>
      <w:szCs w:val="24"/>
      <w:u w:val="none"/>
    </w:rPr>
  </w:style>
  <w:style w:type="character" w:customStyle="1" w:styleId="141">
    <w:name w:val="标题 1 Char"/>
    <w:qFormat/>
    <w:uiPriority w:val="0"/>
    <w:rPr>
      <w:rFonts w:ascii="Cambria" w:hAnsi="Cambria" w:eastAsia="宋体" w:cs="Times New Roman"/>
      <w:b/>
      <w:bCs/>
      <w:kern w:val="32"/>
      <w:sz w:val="32"/>
      <w:szCs w:val="32"/>
    </w:rPr>
  </w:style>
  <w:style w:type="character" w:customStyle="1" w:styleId="142">
    <w:name w:val="font91"/>
    <w:qFormat/>
    <w:uiPriority w:val="0"/>
    <w:rPr>
      <w:rFonts w:hint="eastAsia" w:ascii="宋体" w:hAnsi="宋体" w:eastAsia="宋体" w:cs="宋体"/>
      <w:color w:val="000000"/>
      <w:sz w:val="22"/>
      <w:szCs w:val="22"/>
      <w:u w:val="none"/>
    </w:rPr>
  </w:style>
  <w:style w:type="character" w:customStyle="1" w:styleId="143">
    <w:name w:val="页脚 Char"/>
    <w:qFormat/>
    <w:uiPriority w:val="99"/>
    <w:rPr>
      <w:rFonts w:ascii="Times New Roman" w:hAnsi="Times New Roman" w:eastAsia="宋体" w:cs="Times New Roman"/>
      <w:kern w:val="2"/>
      <w:sz w:val="18"/>
      <w:szCs w:val="18"/>
    </w:rPr>
  </w:style>
  <w:style w:type="character" w:customStyle="1" w:styleId="144">
    <w:name w:val="标题 Char1"/>
    <w:qFormat/>
    <w:uiPriority w:val="0"/>
    <w:rPr>
      <w:rFonts w:ascii="Cambria" w:hAnsi="Cambria" w:eastAsia="宋体" w:cs="Times New Roman"/>
      <w:b/>
      <w:bCs/>
      <w:sz w:val="32"/>
      <w:szCs w:val="32"/>
    </w:rPr>
  </w:style>
  <w:style w:type="character" w:customStyle="1" w:styleId="145">
    <w:name w:val="Font Style117"/>
    <w:qFormat/>
    <w:uiPriority w:val="0"/>
    <w:rPr>
      <w:rFonts w:hint="eastAsia" w:ascii="宋体" w:hAnsi="宋体" w:eastAsia="宋体" w:cs="Times New Roman"/>
      <w:spacing w:val="20"/>
      <w:sz w:val="24"/>
    </w:rPr>
  </w:style>
  <w:style w:type="character" w:customStyle="1" w:styleId="146">
    <w:name w:val="bds_more9"/>
    <w:qFormat/>
    <w:uiPriority w:val="0"/>
    <w:rPr>
      <w:rFonts w:ascii="Times New Roman" w:hAnsi="Times New Roman" w:eastAsia="宋体" w:cs="Times New Roman"/>
    </w:rPr>
  </w:style>
  <w:style w:type="character" w:customStyle="1" w:styleId="147">
    <w:name w:val="标题 4 Char"/>
    <w:qFormat/>
    <w:uiPriority w:val="0"/>
    <w:rPr>
      <w:rFonts w:ascii="Arial" w:hAnsi="Arial" w:eastAsia="宋体" w:cs="Times New Roman"/>
      <w:b/>
      <w:bCs/>
      <w:szCs w:val="28"/>
    </w:rPr>
  </w:style>
  <w:style w:type="character" w:customStyle="1" w:styleId="148">
    <w:name w:val="日期 Char"/>
    <w:qFormat/>
    <w:uiPriority w:val="0"/>
    <w:rPr>
      <w:rFonts w:ascii="Times New Roman" w:hAnsi="Times New Roman" w:eastAsia="宋体" w:cs="Times New Roman"/>
      <w:kern w:val="2"/>
      <w:sz w:val="21"/>
      <w:szCs w:val="24"/>
    </w:rPr>
  </w:style>
  <w:style w:type="character" w:customStyle="1" w:styleId="149">
    <w:name w:val="p0 Char"/>
    <w:link w:val="150"/>
    <w:qFormat/>
    <w:uiPriority w:val="0"/>
    <w:rPr>
      <w:rFonts w:ascii="Times New Roman" w:hAnsi="Times New Roman" w:eastAsia="宋体" w:cs="Times New Roman"/>
      <w:sz w:val="21"/>
      <w:szCs w:val="21"/>
      <w:lang w:val="en-US" w:eastAsia="zh-CN" w:bidi="ar-SA"/>
    </w:rPr>
  </w:style>
  <w:style w:type="paragraph" w:customStyle="1" w:styleId="150">
    <w:name w:val="p0"/>
    <w:basedOn w:val="1"/>
    <w:link w:val="149"/>
    <w:qFormat/>
    <w:uiPriority w:val="0"/>
    <w:pPr>
      <w:widowControl/>
    </w:pPr>
    <w:rPr>
      <w:rFonts w:ascii="Times New Roman" w:hAnsi="Times New Roman"/>
      <w:kern w:val="0"/>
      <w:sz w:val="21"/>
      <w:szCs w:val="21"/>
    </w:rPr>
  </w:style>
  <w:style w:type="character" w:customStyle="1" w:styleId="151">
    <w:name w:val="font01"/>
    <w:qFormat/>
    <w:uiPriority w:val="0"/>
    <w:rPr>
      <w:rFonts w:hint="eastAsia" w:ascii="宋体" w:hAnsi="宋体" w:eastAsia="宋体" w:cs="宋体"/>
      <w:color w:val="000000"/>
      <w:sz w:val="22"/>
      <w:szCs w:val="22"/>
      <w:u w:val="none"/>
    </w:rPr>
  </w:style>
  <w:style w:type="character" w:customStyle="1" w:styleId="152">
    <w:name w:val="bds_nopic2"/>
    <w:qFormat/>
    <w:uiPriority w:val="0"/>
    <w:rPr>
      <w:rFonts w:ascii="Times New Roman" w:hAnsi="Times New Roman" w:eastAsia="宋体" w:cs="Times New Roman"/>
    </w:rPr>
  </w:style>
  <w:style w:type="character" w:customStyle="1" w:styleId="153">
    <w:name w:val="title_1"/>
    <w:qFormat/>
    <w:uiPriority w:val="0"/>
    <w:rPr>
      <w:rFonts w:ascii="Times New Roman" w:hAnsi="Times New Roman" w:eastAsia="宋体" w:cs="Times New Roman"/>
      <w:b/>
      <w:sz w:val="30"/>
      <w:szCs w:val="30"/>
    </w:rPr>
  </w:style>
  <w:style w:type="character" w:customStyle="1" w:styleId="154">
    <w:name w:val="Font Style123"/>
    <w:qFormat/>
    <w:uiPriority w:val="0"/>
    <w:rPr>
      <w:rFonts w:hint="eastAsia" w:ascii="宋体" w:hAnsi="宋体" w:eastAsia="宋体" w:cs="Times New Roman"/>
      <w:b/>
      <w:sz w:val="32"/>
    </w:rPr>
  </w:style>
  <w:style w:type="character" w:customStyle="1" w:styleId="155">
    <w:name w:val="无间隔 Char"/>
    <w:link w:val="156"/>
    <w:qFormat/>
    <w:uiPriority w:val="1"/>
    <w:rPr>
      <w:sz w:val="22"/>
      <w:szCs w:val="22"/>
      <w:lang w:val="en-US" w:eastAsia="zh-CN" w:bidi="ar-SA"/>
    </w:rPr>
  </w:style>
  <w:style w:type="paragraph" w:styleId="156">
    <w:name w:val="No Spacing"/>
    <w:link w:val="155"/>
    <w:qFormat/>
    <w:uiPriority w:val="1"/>
    <w:rPr>
      <w:rFonts w:ascii="Calibri" w:hAnsi="Calibri" w:eastAsia="宋体" w:cs="Times New Roman"/>
      <w:sz w:val="22"/>
      <w:szCs w:val="22"/>
      <w:lang w:val="en-US" w:eastAsia="zh-CN" w:bidi="ar-SA"/>
    </w:rPr>
  </w:style>
  <w:style w:type="paragraph" w:customStyle="1" w:styleId="157">
    <w:name w:val="正文_12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Style46"/>
    <w:basedOn w:val="1"/>
    <w:qFormat/>
    <w:uiPriority w:val="0"/>
    <w:pPr>
      <w:spacing w:line="672" w:lineRule="exact"/>
    </w:pPr>
    <w:rPr>
      <w:rFonts w:ascii="Times New Roman" w:hAnsi="Times New Roman" w:eastAsia="宋体" w:cs="Times New Roman"/>
    </w:rPr>
  </w:style>
  <w:style w:type="paragraph" w:customStyle="1" w:styleId="159">
    <w:name w:val="正文_6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Style47"/>
    <w:basedOn w:val="1"/>
    <w:qFormat/>
    <w:uiPriority w:val="0"/>
    <w:rPr>
      <w:rFonts w:ascii="Times New Roman" w:hAnsi="Times New Roman" w:eastAsia="宋体" w:cs="Times New Roman"/>
    </w:rPr>
  </w:style>
  <w:style w:type="paragraph" w:customStyle="1" w:styleId="161">
    <w:name w:val="1 Char Char Char Char"/>
    <w:basedOn w:val="1"/>
    <w:qFormat/>
    <w:uiPriority w:val="0"/>
    <w:rPr>
      <w:rFonts w:ascii="Times New Roman" w:hAnsi="Times New Roman" w:eastAsia="宋体" w:cs="Times New Roman"/>
    </w:rPr>
  </w:style>
  <w:style w:type="paragraph" w:customStyle="1" w:styleId="162">
    <w:name w:val="Style26"/>
    <w:basedOn w:val="1"/>
    <w:qFormat/>
    <w:uiPriority w:val="0"/>
    <w:rPr>
      <w:rFonts w:ascii="Times New Roman" w:hAnsi="Times New Roman" w:eastAsia="宋体" w:cs="Times New Roman"/>
    </w:rPr>
  </w:style>
  <w:style w:type="paragraph" w:customStyle="1" w:styleId="163">
    <w:name w:val="正文_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4">
    <w:name w:val="Style56"/>
    <w:basedOn w:val="1"/>
    <w:qFormat/>
    <w:uiPriority w:val="0"/>
    <w:rPr>
      <w:rFonts w:ascii="Times New Roman" w:hAnsi="Times New Roman" w:eastAsia="宋体" w:cs="Times New Roman"/>
    </w:rPr>
  </w:style>
  <w:style w:type="paragraph" w:customStyle="1" w:styleId="165">
    <w:name w:val="Style12"/>
    <w:basedOn w:val="1"/>
    <w:qFormat/>
    <w:uiPriority w:val="0"/>
    <w:pPr>
      <w:spacing w:line="564" w:lineRule="exact"/>
      <w:ind w:hanging="115"/>
    </w:pPr>
    <w:rPr>
      <w:rFonts w:ascii="Times New Roman" w:hAnsi="Times New Roman" w:eastAsia="宋体" w:cs="Times New Roman"/>
    </w:rPr>
  </w:style>
  <w:style w:type="paragraph" w:customStyle="1" w:styleId="166">
    <w:name w:val="BodyTextIndent3"/>
    <w:basedOn w:val="1"/>
    <w:qFormat/>
    <w:uiPriority w:val="0"/>
    <w:pPr>
      <w:spacing w:after="120" w:line="240" w:lineRule="auto"/>
      <w:ind w:left="420" w:leftChars="200"/>
      <w:jc w:val="both"/>
    </w:pPr>
    <w:rPr>
      <w:rFonts w:ascii="Calibri" w:hAnsi="Calibri" w:eastAsia="宋体" w:cs="Times New Roman"/>
      <w:kern w:val="2"/>
      <w:sz w:val="16"/>
      <w:szCs w:val="16"/>
      <w:lang w:val="en-US" w:eastAsia="zh-CN" w:bidi="ar-SA"/>
    </w:rPr>
  </w:style>
  <w:style w:type="paragraph" w:customStyle="1" w:styleId="167">
    <w:name w:val="Style27"/>
    <w:basedOn w:val="1"/>
    <w:qFormat/>
    <w:uiPriority w:val="0"/>
    <w:rPr>
      <w:rFonts w:ascii="Times New Roman" w:hAnsi="Times New Roman" w:eastAsia="宋体" w:cs="Times New Roman"/>
    </w:rPr>
  </w:style>
  <w:style w:type="paragraph" w:customStyle="1" w:styleId="168">
    <w:name w:val="Style52"/>
    <w:basedOn w:val="1"/>
    <w:qFormat/>
    <w:uiPriority w:val="0"/>
    <w:pPr>
      <w:spacing w:line="682" w:lineRule="exact"/>
      <w:ind w:firstLine="557"/>
    </w:pPr>
    <w:rPr>
      <w:rFonts w:ascii="Times New Roman" w:hAnsi="Times New Roman" w:eastAsia="宋体" w:cs="Times New Roman"/>
    </w:rPr>
  </w:style>
  <w:style w:type="paragraph" w:customStyle="1" w:styleId="169">
    <w:name w:val=" Char1 Char Char Char"/>
    <w:basedOn w:val="1"/>
    <w:qFormat/>
    <w:uiPriority w:val="0"/>
    <w:pPr>
      <w:widowControl/>
      <w:spacing w:after="160" w:line="240" w:lineRule="exact"/>
      <w:jc w:val="left"/>
    </w:pPr>
    <w:rPr>
      <w:rFonts w:ascii="Times New Roman" w:hAnsi="Times New Roman" w:eastAsia="宋体" w:cs="Times New Roman"/>
      <w:kern w:val="0"/>
      <w:sz w:val="24"/>
      <w:szCs w:val="20"/>
    </w:rPr>
  </w:style>
  <w:style w:type="paragraph" w:customStyle="1" w:styleId="170">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71">
    <w:name w:val="Style54"/>
    <w:basedOn w:val="1"/>
    <w:qFormat/>
    <w:uiPriority w:val="0"/>
    <w:rPr>
      <w:rFonts w:ascii="Times New Roman" w:hAnsi="Times New Roman" w:eastAsia="宋体" w:cs="Times New Roman"/>
    </w:rPr>
  </w:style>
  <w:style w:type="paragraph" w:customStyle="1" w:styleId="172">
    <w:name w:val="样式1"/>
    <w:basedOn w:val="1"/>
    <w:qFormat/>
    <w:uiPriority w:val="0"/>
    <w:pPr>
      <w:tabs>
        <w:tab w:val="left" w:pos="360"/>
      </w:tabs>
      <w:adjustRightInd w:val="0"/>
      <w:ind w:left="360" w:hanging="360"/>
      <w:textAlignment w:val="baseline"/>
    </w:pPr>
    <w:rPr>
      <w:rFonts w:ascii="宋体" w:hAnsi="宋体" w:eastAsia="宋体" w:cs="Times New Roman"/>
      <w:kern w:val="0"/>
      <w:szCs w:val="21"/>
    </w:rPr>
  </w:style>
  <w:style w:type="paragraph" w:customStyle="1" w:styleId="173">
    <w:name w:val="Style45"/>
    <w:basedOn w:val="1"/>
    <w:qFormat/>
    <w:uiPriority w:val="0"/>
    <w:rPr>
      <w:rFonts w:ascii="Times New Roman" w:hAnsi="Times New Roman" w:eastAsia="宋体" w:cs="Times New Roman"/>
    </w:rPr>
  </w:style>
  <w:style w:type="paragraph" w:customStyle="1" w:styleId="174">
    <w:name w:val="正文_1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5">
    <w:name w:val="正文_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6">
    <w:name w:val="NO3"/>
    <w:basedOn w:val="1"/>
    <w:qFormat/>
    <w:uiPriority w:val="0"/>
    <w:pPr>
      <w:tabs>
        <w:tab w:val="left" w:pos="907"/>
      </w:tabs>
      <w:spacing w:line="360" w:lineRule="auto"/>
    </w:pPr>
    <w:rPr>
      <w:rFonts w:ascii="宋体" w:hAnsi="宋体" w:eastAsia="宋体" w:cs="Times New Roman"/>
      <w:sz w:val="24"/>
    </w:rPr>
  </w:style>
  <w:style w:type="paragraph" w:customStyle="1" w:styleId="177">
    <w:name w:val="标题 1 +"/>
    <w:basedOn w:val="3"/>
    <w:next w:val="1"/>
    <w:qFormat/>
    <w:uiPriority w:val="0"/>
    <w:pPr>
      <w:keepLines/>
      <w:spacing w:line="600" w:lineRule="auto"/>
    </w:pPr>
    <w:rPr>
      <w:rFonts w:ascii="Times New Roman" w:hAnsi="Times New Roman" w:eastAsia="黑体" w:cs="Times New Roman"/>
      <w:kern w:val="0"/>
      <w:sz w:val="32"/>
      <w:szCs w:val="32"/>
    </w:rPr>
  </w:style>
  <w:style w:type="paragraph" w:customStyle="1" w:styleId="178">
    <w:name w:val="Style10"/>
    <w:basedOn w:val="1"/>
    <w:qFormat/>
    <w:uiPriority w:val="0"/>
    <w:pPr>
      <w:spacing w:line="538" w:lineRule="exact"/>
    </w:pPr>
    <w:rPr>
      <w:rFonts w:ascii="Times New Roman" w:hAnsi="Times New Roman" w:eastAsia="宋体" w:cs="Times New Roman"/>
    </w:rPr>
  </w:style>
  <w:style w:type="paragraph" w:customStyle="1" w:styleId="179">
    <w:name w:val="正文_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0">
    <w:name w:val="Style62"/>
    <w:basedOn w:val="1"/>
    <w:qFormat/>
    <w:uiPriority w:val="0"/>
    <w:rPr>
      <w:rFonts w:ascii="Times New Roman" w:hAnsi="Times New Roman" w:eastAsia="宋体" w:cs="Times New Roman"/>
    </w:rPr>
  </w:style>
  <w:style w:type="paragraph" w:customStyle="1" w:styleId="181">
    <w:name w:val="Style60"/>
    <w:basedOn w:val="1"/>
    <w:qFormat/>
    <w:uiPriority w:val="0"/>
    <w:pPr>
      <w:spacing w:line="566" w:lineRule="exact"/>
    </w:pPr>
    <w:rPr>
      <w:rFonts w:ascii="Times New Roman" w:hAnsi="Times New Roman" w:eastAsia="宋体" w:cs="Times New Roman"/>
    </w:rPr>
  </w:style>
  <w:style w:type="paragraph" w:customStyle="1" w:styleId="182">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3">
    <w:name w:val="表正文"/>
    <w:qFormat/>
    <w:uiPriority w:val="0"/>
    <w:pPr>
      <w:widowControl w:val="0"/>
      <w:ind w:left="840" w:leftChars="350"/>
      <w:jc w:val="both"/>
      <w:outlineLvl w:val="0"/>
    </w:pPr>
    <w:rPr>
      <w:rFonts w:ascii="宋体" w:hAnsi="Calibri" w:eastAsia="宋体" w:cs="Times New Roman"/>
      <w:b/>
      <w:sz w:val="24"/>
      <w:lang w:val="en-US" w:eastAsia="zh-CN" w:bidi="ar-SA"/>
    </w:rPr>
  </w:style>
  <w:style w:type="paragraph" w:customStyle="1" w:styleId="184">
    <w:name w:val="Style81"/>
    <w:basedOn w:val="1"/>
    <w:qFormat/>
    <w:uiPriority w:val="0"/>
    <w:pPr>
      <w:spacing w:line="547" w:lineRule="exact"/>
    </w:pPr>
    <w:rPr>
      <w:rFonts w:ascii="Times New Roman" w:hAnsi="Times New Roman" w:eastAsia="宋体" w:cs="Times New Roman"/>
    </w:rPr>
  </w:style>
  <w:style w:type="paragraph" w:customStyle="1" w:styleId="185">
    <w:name w:val="附录标识"/>
    <w:basedOn w:val="186"/>
    <w:qFormat/>
    <w:uiPriority w:val="0"/>
    <w:pPr>
      <w:tabs>
        <w:tab w:val="left" w:pos="360"/>
        <w:tab w:val="left" w:pos="720"/>
        <w:tab w:val="left" w:pos="6405"/>
      </w:tabs>
      <w:spacing w:after="200"/>
    </w:pPr>
    <w:rPr>
      <w:rFonts w:ascii="Times New Roman" w:hAnsi="Times New Roman" w:eastAsia="宋体" w:cs="Times New Roman"/>
      <w:sz w:val="21"/>
    </w:rPr>
  </w:style>
  <w:style w:type="paragraph" w:customStyle="1" w:styleId="186">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Calibri" w:eastAsia="黑体" w:cs="Times New Roman"/>
      <w:sz w:val="32"/>
      <w:lang w:val="en-US" w:eastAsia="zh-CN" w:bidi="ar-SA"/>
    </w:rPr>
  </w:style>
  <w:style w:type="paragraph" w:customStyle="1" w:styleId="187">
    <w:name w:val="Style70"/>
    <w:basedOn w:val="1"/>
    <w:qFormat/>
    <w:uiPriority w:val="0"/>
    <w:pPr>
      <w:spacing w:line="549" w:lineRule="exact"/>
      <w:ind w:firstLine="686"/>
    </w:pPr>
    <w:rPr>
      <w:rFonts w:ascii="Times New Roman" w:hAnsi="Times New Roman" w:eastAsia="宋体" w:cs="Times New Roman"/>
    </w:rPr>
  </w:style>
  <w:style w:type="paragraph" w:customStyle="1" w:styleId="188">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89">
    <w:name w:val="Style65"/>
    <w:basedOn w:val="1"/>
    <w:qFormat/>
    <w:uiPriority w:val="0"/>
    <w:rPr>
      <w:rFonts w:ascii="Times New Roman" w:hAnsi="Times New Roman" w:eastAsia="宋体" w:cs="Times New Roman"/>
    </w:rPr>
  </w:style>
  <w:style w:type="paragraph" w:customStyle="1" w:styleId="190">
    <w:name w:val="Style78"/>
    <w:basedOn w:val="1"/>
    <w:qFormat/>
    <w:uiPriority w:val="0"/>
    <w:rPr>
      <w:rFonts w:ascii="Times New Roman" w:hAnsi="Times New Roman" w:eastAsia="宋体" w:cs="Times New Roman"/>
    </w:rPr>
  </w:style>
  <w:style w:type="paragraph" w:customStyle="1" w:styleId="191">
    <w:name w:val="默认段落字体 Para Char Char Char Char Char Char Char Char Char Char Char Char Char Char Char Char Char Char Char"/>
    <w:basedOn w:val="1"/>
    <w:qFormat/>
    <w:uiPriority w:val="0"/>
    <w:rPr>
      <w:rFonts w:ascii="Times New Roman" w:hAnsi="Times New Roman" w:eastAsia="宋体" w:cs="Times New Roman"/>
    </w:rPr>
  </w:style>
  <w:style w:type="paragraph" w:customStyle="1" w:styleId="192">
    <w:name w:val="正文_1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3">
    <w:name w:val="正文_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4">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rPr>
  </w:style>
  <w:style w:type="paragraph" w:customStyle="1" w:styleId="195">
    <w:name w:val="正文_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6">
    <w:name w:val="Char1 Char Char Char 字元 Char Char 字元 Char 字元 Char1 Char Char Char"/>
    <w:basedOn w:val="1"/>
    <w:qFormat/>
    <w:uiPriority w:val="0"/>
    <w:rPr>
      <w:rFonts w:ascii="Times New Roman" w:hAnsi="Times New Roman" w:eastAsia="宋体" w:cs="Times New Roman"/>
      <w:szCs w:val="20"/>
    </w:rPr>
  </w:style>
  <w:style w:type="paragraph" w:customStyle="1" w:styleId="197">
    <w:name w:val="Style63"/>
    <w:basedOn w:val="1"/>
    <w:qFormat/>
    <w:uiPriority w:val="0"/>
    <w:pPr>
      <w:spacing w:line="564" w:lineRule="exact"/>
      <w:ind w:firstLine="682"/>
    </w:pPr>
    <w:rPr>
      <w:rFonts w:ascii="Times New Roman" w:hAnsi="Times New Roman" w:eastAsia="宋体" w:cs="Times New Roman"/>
    </w:rPr>
  </w:style>
  <w:style w:type="paragraph" w:customStyle="1" w:styleId="198">
    <w:name w:val="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99">
    <w:name w:val="样式 正文缩进 + 首行缩进:  2 字符"/>
    <w:basedOn w:val="13"/>
    <w:qFormat/>
    <w:uiPriority w:val="0"/>
    <w:pPr>
      <w:widowControl/>
      <w:spacing w:line="360" w:lineRule="auto"/>
      <w:ind w:firstLine="200" w:firstLineChars="0"/>
      <w:jc w:val="left"/>
    </w:pPr>
    <w:rPr>
      <w:rFonts w:ascii="Calibri" w:hAnsi="Calibri" w:eastAsia="宋体" w:cs="Times New Roman"/>
      <w:kern w:val="0"/>
      <w:sz w:val="24"/>
      <w:szCs w:val="22"/>
    </w:rPr>
  </w:style>
  <w:style w:type="paragraph" w:customStyle="1" w:styleId="200">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eastAsia="宋体" w:cs="Times New Roman"/>
      <w:b/>
      <w:bCs/>
      <w:color w:val="000000"/>
      <w:kern w:val="0"/>
      <w:szCs w:val="20"/>
    </w:rPr>
  </w:style>
  <w:style w:type="paragraph" w:customStyle="1" w:styleId="201">
    <w:name w:val="Style41"/>
    <w:basedOn w:val="1"/>
    <w:qFormat/>
    <w:uiPriority w:val="0"/>
    <w:pPr>
      <w:spacing w:line="542" w:lineRule="exact"/>
      <w:ind w:firstLine="125"/>
    </w:pPr>
    <w:rPr>
      <w:rFonts w:ascii="Times New Roman" w:hAnsi="Times New Roman" w:eastAsia="宋体" w:cs="Times New Roman"/>
    </w:rPr>
  </w:style>
  <w:style w:type="paragraph" w:customStyle="1" w:styleId="202">
    <w:name w:val="Style23"/>
    <w:basedOn w:val="1"/>
    <w:qFormat/>
    <w:uiPriority w:val="0"/>
    <w:rPr>
      <w:rFonts w:ascii="Times New Roman" w:hAnsi="Times New Roman" w:eastAsia="宋体" w:cs="Times New Roman"/>
    </w:rPr>
  </w:style>
  <w:style w:type="paragraph" w:customStyle="1" w:styleId="203">
    <w:name w:val="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04">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5">
    <w:name w:val="Style36"/>
    <w:basedOn w:val="1"/>
    <w:qFormat/>
    <w:uiPriority w:val="0"/>
    <w:rPr>
      <w:rFonts w:ascii="Times New Roman" w:hAnsi="Times New Roman" w:eastAsia="宋体" w:cs="Times New Roman"/>
    </w:rPr>
  </w:style>
  <w:style w:type="paragraph" w:customStyle="1" w:styleId="206">
    <w:name w:val="表格内容"/>
    <w:basedOn w:val="2"/>
    <w:qFormat/>
    <w:uiPriority w:val="0"/>
    <w:pPr>
      <w:suppressLineNumbers/>
      <w:suppressAutoHyphens/>
      <w:jc w:val="left"/>
    </w:pPr>
    <w:rPr>
      <w:rFonts w:ascii="Times New Roman" w:hAnsi="Times New Roman" w:eastAsia="宋体" w:cs="Tahoma"/>
      <w:kern w:val="0"/>
      <w:sz w:val="24"/>
    </w:rPr>
  </w:style>
  <w:style w:type="paragraph" w:customStyle="1" w:styleId="207">
    <w:name w:val="BodyText1I2"/>
    <w:basedOn w:val="208"/>
    <w:qFormat/>
    <w:uiPriority w:val="0"/>
    <w:pPr>
      <w:spacing w:after="120" w:line="240" w:lineRule="auto"/>
      <w:ind w:left="420" w:leftChars="200" w:firstLine="420" w:firstLineChars="200"/>
      <w:jc w:val="both"/>
    </w:pPr>
    <w:rPr>
      <w:rFonts w:ascii="Times New Roman" w:hAnsi="Times New Roman" w:eastAsia="宋体" w:cs="Times New Roman"/>
    </w:rPr>
  </w:style>
  <w:style w:type="paragraph" w:customStyle="1" w:styleId="208">
    <w:name w:val="BodyTextIndent"/>
    <w:basedOn w:val="1"/>
    <w:qFormat/>
    <w:uiPriority w:val="0"/>
    <w:pPr>
      <w:spacing w:after="120" w:line="240" w:lineRule="auto"/>
      <w:ind w:left="420" w:leftChars="200"/>
      <w:jc w:val="both"/>
    </w:pPr>
    <w:rPr>
      <w:rFonts w:ascii="Times New Roman" w:hAnsi="Times New Roman" w:eastAsia="宋体" w:cs="Times New Roman"/>
    </w:rPr>
  </w:style>
  <w:style w:type="paragraph" w:customStyle="1" w:styleId="209">
    <w:name w:val="Style68"/>
    <w:basedOn w:val="1"/>
    <w:qFormat/>
    <w:uiPriority w:val="0"/>
    <w:pPr>
      <w:spacing w:line="547" w:lineRule="exact"/>
    </w:pPr>
    <w:rPr>
      <w:rFonts w:ascii="Times New Roman" w:hAnsi="Times New Roman" w:eastAsia="宋体" w:cs="Times New Roman"/>
    </w:rPr>
  </w:style>
  <w:style w:type="paragraph" w:customStyle="1" w:styleId="210">
    <w:name w:val="正文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1">
    <w:name w:val=" 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12">
    <w:name w:val="Char Char1 Char Char Char Char Char1 Char Char Char Char"/>
    <w:basedOn w:val="14"/>
    <w:qFormat/>
    <w:uiPriority w:val="0"/>
    <w:rPr>
      <w:rFonts w:ascii="Tahoma" w:hAnsi="Tahoma" w:eastAsia="宋体" w:cs="Times New Roman"/>
    </w:rPr>
  </w:style>
  <w:style w:type="paragraph" w:customStyle="1" w:styleId="213">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14">
    <w:name w:val=" Char1 Char Char Char Char Char Char Char Char Char"/>
    <w:basedOn w:val="1"/>
    <w:qFormat/>
    <w:uiPriority w:val="0"/>
    <w:rPr>
      <w:rFonts w:ascii="Times New Roman" w:hAnsi="Times New Roman" w:eastAsia="宋体" w:cs="Times New Roman"/>
      <w:szCs w:val="20"/>
    </w:rPr>
  </w:style>
  <w:style w:type="paragraph" w:customStyle="1" w:styleId="215">
    <w:name w:val="Style58"/>
    <w:basedOn w:val="1"/>
    <w:qFormat/>
    <w:uiPriority w:val="0"/>
    <w:pPr>
      <w:spacing w:line="413" w:lineRule="exact"/>
    </w:pPr>
    <w:rPr>
      <w:rFonts w:ascii="Times New Roman" w:hAnsi="Times New Roman" w:eastAsia="宋体" w:cs="Times New Roman"/>
    </w:rPr>
  </w:style>
  <w:style w:type="paragraph" w:customStyle="1" w:styleId="216">
    <w:name w:val="Style21"/>
    <w:basedOn w:val="1"/>
    <w:qFormat/>
    <w:uiPriority w:val="0"/>
    <w:pPr>
      <w:spacing w:line="566" w:lineRule="exact"/>
      <w:ind w:firstLine="682"/>
    </w:pPr>
    <w:rPr>
      <w:rFonts w:ascii="Times New Roman" w:hAnsi="Times New Roman" w:eastAsia="宋体" w:cs="Times New Roman"/>
    </w:rPr>
  </w:style>
  <w:style w:type="paragraph" w:customStyle="1" w:styleId="217">
    <w:name w:val="Style48"/>
    <w:basedOn w:val="1"/>
    <w:qFormat/>
    <w:uiPriority w:val="0"/>
    <w:pPr>
      <w:spacing w:line="542" w:lineRule="exact"/>
      <w:jc w:val="right"/>
    </w:pPr>
    <w:rPr>
      <w:rFonts w:ascii="Times New Roman" w:hAnsi="Times New Roman" w:eastAsia="宋体" w:cs="Times New Roman"/>
    </w:rPr>
  </w:style>
  <w:style w:type="paragraph" w:customStyle="1" w:styleId="218">
    <w:name w:val="Char Char1 Char Char Char"/>
    <w:basedOn w:val="1"/>
    <w:qFormat/>
    <w:uiPriority w:val="0"/>
    <w:rPr>
      <w:rFonts w:ascii="Times New Roman" w:hAnsi="Times New Roman" w:eastAsia="宋体" w:cs="Times New Roman"/>
      <w:kern w:val="0"/>
      <w:sz w:val="20"/>
      <w:szCs w:val="20"/>
    </w:rPr>
  </w:style>
  <w:style w:type="paragraph" w:customStyle="1" w:styleId="219">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customStyle="1" w:styleId="220">
    <w:name w:val="Style5"/>
    <w:basedOn w:val="1"/>
    <w:qFormat/>
    <w:uiPriority w:val="0"/>
    <w:rPr>
      <w:rFonts w:ascii="Times New Roman" w:hAnsi="Times New Roman" w:eastAsia="宋体" w:cs="Times New Roman"/>
    </w:rPr>
  </w:style>
  <w:style w:type="paragraph" w:customStyle="1" w:styleId="221">
    <w:name w:val="Style16"/>
    <w:basedOn w:val="1"/>
    <w:qFormat/>
    <w:uiPriority w:val="0"/>
    <w:pPr>
      <w:jc w:val="right"/>
    </w:pPr>
    <w:rPr>
      <w:rFonts w:ascii="Times New Roman" w:hAnsi="Times New Roman" w:eastAsia="宋体" w:cs="Times New Roman"/>
    </w:rPr>
  </w:style>
  <w:style w:type="paragraph" w:customStyle="1" w:styleId="222">
    <w:name w:val="Style11"/>
    <w:basedOn w:val="1"/>
    <w:qFormat/>
    <w:uiPriority w:val="0"/>
    <w:pPr>
      <w:spacing w:line="559" w:lineRule="exact"/>
      <w:ind w:firstLine="590"/>
    </w:pPr>
    <w:rPr>
      <w:rFonts w:ascii="Times New Roman" w:hAnsi="Times New Roman" w:eastAsia="宋体" w:cs="Times New Roman"/>
    </w:rPr>
  </w:style>
  <w:style w:type="paragraph" w:customStyle="1" w:styleId="223">
    <w:name w:val="Style13"/>
    <w:basedOn w:val="1"/>
    <w:qFormat/>
    <w:uiPriority w:val="0"/>
    <w:rPr>
      <w:rFonts w:ascii="Times New Roman" w:hAnsi="Times New Roman" w:eastAsia="宋体" w:cs="Times New Roman"/>
    </w:rPr>
  </w:style>
  <w:style w:type="paragraph" w:customStyle="1" w:styleId="224">
    <w:name w:val="Style24"/>
    <w:basedOn w:val="1"/>
    <w:qFormat/>
    <w:uiPriority w:val="0"/>
    <w:rPr>
      <w:rFonts w:ascii="Times New Roman" w:hAnsi="Times New Roman" w:eastAsia="宋体" w:cs="Times New Roman"/>
    </w:rPr>
  </w:style>
  <w:style w:type="paragraph" w:customStyle="1" w:styleId="225">
    <w:name w:val="正文_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6">
    <w:name w:val="Style76"/>
    <w:basedOn w:val="1"/>
    <w:qFormat/>
    <w:uiPriority w:val="0"/>
    <w:rPr>
      <w:rFonts w:ascii="Times New Roman" w:hAnsi="Times New Roman" w:eastAsia="宋体" w:cs="Times New Roman"/>
    </w:rPr>
  </w:style>
  <w:style w:type="paragraph" w:customStyle="1" w:styleId="227">
    <w:name w:val="Char"/>
    <w:basedOn w:val="1"/>
    <w:qFormat/>
    <w:uiPriority w:val="0"/>
    <w:pPr>
      <w:tabs>
        <w:tab w:val="left" w:pos="360"/>
      </w:tabs>
      <w:ind w:left="360" w:hanging="360" w:hangingChars="200"/>
    </w:pPr>
    <w:rPr>
      <w:rFonts w:ascii="Times New Roman" w:hAnsi="Times New Roman" w:eastAsia="宋体" w:cs="Times New Roman"/>
      <w:sz w:val="24"/>
    </w:rPr>
  </w:style>
  <w:style w:type="paragraph" w:customStyle="1" w:styleId="228">
    <w:name w:val="Style77"/>
    <w:basedOn w:val="1"/>
    <w:qFormat/>
    <w:uiPriority w:val="0"/>
    <w:rPr>
      <w:rFonts w:ascii="Times New Roman" w:hAnsi="Times New Roman" w:eastAsia="宋体" w:cs="Times New Roman"/>
    </w:rPr>
  </w:style>
  <w:style w:type="paragraph" w:customStyle="1" w:styleId="229">
    <w:name w:val="Style8"/>
    <w:basedOn w:val="1"/>
    <w:qFormat/>
    <w:uiPriority w:val="0"/>
    <w:pPr>
      <w:spacing w:line="566" w:lineRule="exact"/>
      <w:jc w:val="center"/>
    </w:pPr>
    <w:rPr>
      <w:rFonts w:ascii="Times New Roman" w:hAnsi="Times New Roman" w:eastAsia="宋体" w:cs="Times New Roman"/>
    </w:rPr>
  </w:style>
  <w:style w:type="paragraph" w:customStyle="1" w:styleId="230">
    <w:name w:val="Style67"/>
    <w:basedOn w:val="1"/>
    <w:qFormat/>
    <w:uiPriority w:val="0"/>
    <w:pPr>
      <w:spacing w:line="566" w:lineRule="exact"/>
      <w:ind w:firstLine="552"/>
    </w:pPr>
    <w:rPr>
      <w:rFonts w:ascii="Times New Roman" w:hAnsi="Times New Roman" w:eastAsia="宋体" w:cs="Times New Roman"/>
    </w:rPr>
  </w:style>
  <w:style w:type="paragraph" w:customStyle="1" w:styleId="231">
    <w:name w:val="正文_1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2">
    <w:name w:val="Style4"/>
    <w:basedOn w:val="1"/>
    <w:qFormat/>
    <w:uiPriority w:val="0"/>
    <w:rPr>
      <w:rFonts w:ascii="Times New Roman" w:hAnsi="Times New Roman" w:eastAsia="宋体" w:cs="Times New Roman"/>
    </w:rPr>
  </w:style>
  <w:style w:type="paragraph" w:customStyle="1" w:styleId="233">
    <w:name w:val="Normal_0_1"/>
    <w:qFormat/>
    <w:uiPriority w:val="0"/>
    <w:rPr>
      <w:rFonts w:ascii="Calibri" w:hAnsi="Calibri" w:eastAsia="Times New Roman" w:cs="Times New Roman"/>
      <w:sz w:val="24"/>
      <w:szCs w:val="24"/>
      <w:lang w:bidi="ar-SA"/>
    </w:rPr>
  </w:style>
  <w:style w:type="paragraph" w:customStyle="1" w:styleId="234">
    <w:name w:val="_Style 39"/>
    <w:basedOn w:val="182"/>
    <w:qFormat/>
    <w:uiPriority w:val="0"/>
    <w:rPr>
      <w:rFonts w:ascii="Times New Roman" w:hAnsi="Times New Roman" w:eastAsia="宋体" w:cs="Times New Roman"/>
    </w:rPr>
  </w:style>
  <w:style w:type="paragraph" w:customStyle="1" w:styleId="235">
    <w:name w:val="Char Char1 Char Char Char Char Char Char Char"/>
    <w:basedOn w:val="1"/>
    <w:qFormat/>
    <w:uiPriority w:val="0"/>
    <w:pPr>
      <w:widowControl/>
      <w:spacing w:after="160" w:line="240" w:lineRule="exact"/>
      <w:jc w:val="left"/>
    </w:pPr>
    <w:rPr>
      <w:rFonts w:ascii="Times New Roman" w:hAnsi="Times New Roman" w:eastAsia="宋体" w:cs="Times New Roman"/>
    </w:rPr>
  </w:style>
  <w:style w:type="paragraph" w:customStyle="1" w:styleId="236">
    <w:name w:val="reader-word-layer reader-word-s1-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7">
    <w:name w:val="Style44"/>
    <w:basedOn w:val="1"/>
    <w:qFormat/>
    <w:uiPriority w:val="0"/>
    <w:rPr>
      <w:rFonts w:ascii="Times New Roman" w:hAnsi="Times New Roman" w:eastAsia="宋体" w:cs="Times New Roman"/>
    </w:rPr>
  </w:style>
  <w:style w:type="paragraph" w:customStyle="1" w:styleId="238">
    <w:name w:val="Style73"/>
    <w:basedOn w:val="1"/>
    <w:qFormat/>
    <w:uiPriority w:val="0"/>
    <w:pPr>
      <w:spacing w:line="538" w:lineRule="exact"/>
      <w:ind w:firstLine="533"/>
    </w:pPr>
    <w:rPr>
      <w:rFonts w:ascii="Times New Roman" w:hAnsi="Times New Roman" w:eastAsia="宋体" w:cs="Times New Roman"/>
    </w:rPr>
  </w:style>
  <w:style w:type="paragraph" w:customStyle="1" w:styleId="239">
    <w:name w:val="Style61"/>
    <w:basedOn w:val="1"/>
    <w:qFormat/>
    <w:uiPriority w:val="0"/>
    <w:rPr>
      <w:rFonts w:ascii="Times New Roman" w:hAnsi="Times New Roman" w:eastAsia="宋体" w:cs="Times New Roman"/>
    </w:rPr>
  </w:style>
  <w:style w:type="paragraph" w:customStyle="1" w:styleId="240">
    <w:name w:val="标题2"/>
    <w:basedOn w:val="38"/>
    <w:qFormat/>
    <w:uiPriority w:val="0"/>
    <w:pPr>
      <w:spacing w:after="240"/>
      <w:jc w:val="left"/>
    </w:pPr>
    <w:rPr>
      <w:rFonts w:ascii="Times New Roman" w:hAnsi="Times New Roman" w:eastAsia="宋体" w:cs="Times New Roman"/>
      <w:sz w:val="30"/>
    </w:rPr>
  </w:style>
  <w:style w:type="paragraph" w:customStyle="1" w:styleId="241">
    <w:name w:val="List Paragraph1"/>
    <w:basedOn w:val="1"/>
    <w:qFormat/>
    <w:uiPriority w:val="0"/>
    <w:pPr>
      <w:ind w:firstLine="420" w:firstLineChars="200"/>
    </w:pPr>
    <w:rPr>
      <w:rFonts w:ascii="Calibri" w:hAnsi="Calibri" w:eastAsia="宋体" w:cs="Calibri"/>
      <w:szCs w:val="21"/>
    </w:rPr>
  </w:style>
  <w:style w:type="paragraph" w:customStyle="1" w:styleId="242">
    <w:name w:val="正文_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3">
    <w:name w:val=" Char Char Char1 Char"/>
    <w:basedOn w:val="1"/>
    <w:qFormat/>
    <w:uiPriority w:val="0"/>
    <w:pPr>
      <w:tabs>
        <w:tab w:val="left" w:pos="360"/>
      </w:tabs>
      <w:snapToGrid w:val="0"/>
      <w:spacing w:line="360" w:lineRule="auto"/>
    </w:pPr>
    <w:rPr>
      <w:rFonts w:ascii="Times New Roman" w:hAnsi="Times New Roman" w:eastAsia="仿宋_GB2312" w:cs="宋体"/>
      <w:sz w:val="24"/>
    </w:rPr>
  </w:style>
  <w:style w:type="paragraph" w:customStyle="1" w:styleId="244">
    <w:name w:val="正文_1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Style53"/>
    <w:basedOn w:val="1"/>
    <w:qFormat/>
    <w:uiPriority w:val="0"/>
    <w:pPr>
      <w:spacing w:line="533" w:lineRule="exact"/>
      <w:ind w:firstLine="581"/>
    </w:pPr>
    <w:rPr>
      <w:rFonts w:ascii="Times New Roman" w:hAnsi="Times New Roman" w:eastAsia="宋体" w:cs="Times New Roman"/>
    </w:rPr>
  </w:style>
  <w:style w:type="paragraph" w:customStyle="1" w:styleId="246">
    <w:name w:val=" Char Char Char"/>
    <w:basedOn w:val="1"/>
    <w:qFormat/>
    <w:uiPriority w:val="0"/>
    <w:rPr>
      <w:rFonts w:ascii="宋体" w:hAnsi="宋体" w:eastAsia="宋体" w:cs="Times New Roman"/>
      <w:b/>
      <w:sz w:val="28"/>
      <w:szCs w:val="28"/>
    </w:rPr>
  </w:style>
  <w:style w:type="paragraph" w:customStyle="1" w:styleId="247">
    <w:name w:val="Style59"/>
    <w:basedOn w:val="1"/>
    <w:qFormat/>
    <w:uiPriority w:val="0"/>
    <w:rPr>
      <w:rFonts w:ascii="Times New Roman" w:hAnsi="Times New Roman" w:eastAsia="宋体" w:cs="Times New Roman"/>
    </w:rPr>
  </w:style>
  <w:style w:type="paragraph" w:styleId="248">
    <w:name w:val="List Paragraph"/>
    <w:basedOn w:val="1"/>
    <w:qFormat/>
    <w:uiPriority w:val="0"/>
    <w:pPr>
      <w:ind w:firstLine="420" w:firstLineChars="200"/>
    </w:pPr>
    <w:rPr>
      <w:rFonts w:ascii="Calibri" w:hAnsi="Calibri" w:eastAsia="宋体" w:cs="Times New Roman"/>
      <w:szCs w:val="22"/>
    </w:rPr>
  </w:style>
  <w:style w:type="paragraph" w:customStyle="1" w:styleId="249">
    <w:name w:val="正文_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0">
    <w:name w:val="样式 标题 2 + Times New Roman 四号 非加粗 段前: 5 磅 段后: 0 磅 行距: 固定值 20..."/>
    <w:basedOn w:val="4"/>
    <w:qFormat/>
    <w:uiPriority w:val="0"/>
    <w:pPr>
      <w:spacing w:before="100" w:line="400" w:lineRule="exact"/>
    </w:pPr>
    <w:rPr>
      <w:rFonts w:ascii="Times New Roman" w:hAnsi="Times New Roman" w:eastAsia="黑体" w:cs="Times New Roman"/>
      <w:b w:val="0"/>
      <w:bCs w:val="0"/>
      <w:sz w:val="28"/>
      <w:szCs w:val="20"/>
    </w:rPr>
  </w:style>
  <w:style w:type="paragraph" w:customStyle="1" w:styleId="251">
    <w:name w:val="Style74"/>
    <w:basedOn w:val="1"/>
    <w:qFormat/>
    <w:uiPriority w:val="0"/>
    <w:pPr>
      <w:spacing w:line="437" w:lineRule="exact"/>
    </w:pPr>
    <w:rPr>
      <w:rFonts w:ascii="Times New Roman" w:hAnsi="Times New Roman" w:eastAsia="宋体" w:cs="Times New Roman"/>
    </w:rPr>
  </w:style>
  <w:style w:type="paragraph" w:customStyle="1" w:styleId="252">
    <w:name w:val="Style64"/>
    <w:basedOn w:val="1"/>
    <w:qFormat/>
    <w:uiPriority w:val="0"/>
    <w:rPr>
      <w:rFonts w:ascii="Times New Roman" w:hAnsi="Times New Roman" w:eastAsia="宋体" w:cs="Times New Roman"/>
    </w:rPr>
  </w:style>
  <w:style w:type="paragraph" w:customStyle="1" w:styleId="253">
    <w:name w:val="Normal_0_2"/>
    <w:qFormat/>
    <w:uiPriority w:val="0"/>
    <w:rPr>
      <w:rFonts w:ascii="Calibri" w:hAnsi="Calibri" w:eastAsia="Times New Roman" w:cs="Times New Roman"/>
      <w:sz w:val="24"/>
      <w:szCs w:val="24"/>
      <w:lang w:bidi="ar-SA"/>
    </w:rPr>
  </w:style>
  <w:style w:type="paragraph" w:customStyle="1" w:styleId="254">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55">
    <w:name w:val="正文_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6">
    <w:name w:val="Style80"/>
    <w:basedOn w:val="1"/>
    <w:qFormat/>
    <w:uiPriority w:val="0"/>
    <w:rPr>
      <w:rFonts w:ascii="Times New Roman" w:hAnsi="Times New Roman" w:eastAsia="宋体" w:cs="Times New Roman"/>
    </w:rPr>
  </w:style>
  <w:style w:type="paragraph" w:customStyle="1" w:styleId="257">
    <w:name w:val="Style15"/>
    <w:basedOn w:val="1"/>
    <w:qFormat/>
    <w:uiPriority w:val="0"/>
    <w:pPr>
      <w:spacing w:line="557" w:lineRule="exact"/>
      <w:ind w:firstLine="672"/>
    </w:pPr>
    <w:rPr>
      <w:rFonts w:ascii="Times New Roman" w:hAnsi="Times New Roman" w:eastAsia="宋体" w:cs="Times New Roman"/>
    </w:rPr>
  </w:style>
  <w:style w:type="paragraph" w:customStyle="1" w:styleId="258">
    <w:name w:val="正文_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9">
    <w:name w:val="Style34"/>
    <w:basedOn w:val="1"/>
    <w:qFormat/>
    <w:uiPriority w:val="0"/>
    <w:pPr>
      <w:spacing w:line="375" w:lineRule="exact"/>
    </w:pPr>
    <w:rPr>
      <w:rFonts w:ascii="Times New Roman" w:hAnsi="Times New Roman" w:eastAsia="宋体" w:cs="Times New Roman"/>
    </w:rPr>
  </w:style>
  <w:style w:type="paragraph" w:customStyle="1" w:styleId="260">
    <w:name w:val="Style69"/>
    <w:basedOn w:val="1"/>
    <w:qFormat/>
    <w:uiPriority w:val="0"/>
    <w:pPr>
      <w:spacing w:line="557" w:lineRule="exact"/>
      <w:ind w:firstLine="1666"/>
    </w:pPr>
    <w:rPr>
      <w:rFonts w:ascii="Times New Roman" w:hAnsi="Times New Roman" w:eastAsia="宋体" w:cs="Times New Roman"/>
    </w:rPr>
  </w:style>
  <w:style w:type="paragraph" w:customStyle="1" w:styleId="261">
    <w:name w:val="正文_1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Style28"/>
    <w:basedOn w:val="1"/>
    <w:qFormat/>
    <w:uiPriority w:val="0"/>
    <w:pPr>
      <w:spacing w:line="552" w:lineRule="exact"/>
      <w:ind w:firstLine="547"/>
    </w:pPr>
    <w:rPr>
      <w:rFonts w:ascii="Times New Roman" w:hAnsi="Times New Roman" w:eastAsia="宋体" w:cs="Times New Roman"/>
    </w:rPr>
  </w:style>
  <w:style w:type="paragraph" w:customStyle="1" w:styleId="263">
    <w:name w:val="正文_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4">
    <w:name w:val="1"/>
    <w:basedOn w:val="1"/>
    <w:qFormat/>
    <w:uiPriority w:val="0"/>
    <w:pPr>
      <w:spacing w:afterLines="50" w:line="360" w:lineRule="auto"/>
    </w:pPr>
    <w:rPr>
      <w:rFonts w:ascii="宋体" w:hAnsi="宋体" w:eastAsia="宋体" w:cs="Times New Roman"/>
      <w:b/>
      <w:sz w:val="30"/>
      <w:szCs w:val="21"/>
    </w:rPr>
  </w:style>
  <w:style w:type="paragraph" w:customStyle="1" w:styleId="265">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66">
    <w:name w:val="p16"/>
    <w:basedOn w:val="1"/>
    <w:qFormat/>
    <w:uiPriority w:val="0"/>
    <w:pPr>
      <w:widowControl/>
      <w:jc w:val="left"/>
    </w:pPr>
    <w:rPr>
      <w:rFonts w:ascii="Times New Roman" w:hAnsi="Times New Roman" w:eastAsia="宋体" w:cs="Times New Roman"/>
      <w:kern w:val="0"/>
      <w:szCs w:val="21"/>
    </w:rPr>
  </w:style>
  <w:style w:type="paragraph" w:customStyle="1" w:styleId="267">
    <w:name w:val="正文_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8">
    <w:name w:val="标题3"/>
    <w:basedOn w:val="3"/>
    <w:qFormat/>
    <w:uiPriority w:val="0"/>
    <w:pPr>
      <w:spacing w:beforeLines="50" w:afterLines="50" w:line="400" w:lineRule="exact"/>
      <w:jc w:val="both"/>
    </w:pPr>
    <w:rPr>
      <w:rFonts w:ascii="宋体" w:hAnsi="宋体" w:eastAsia="宋体" w:cs="Times New Roman"/>
      <w:kern w:val="32"/>
      <w:szCs w:val="32"/>
    </w:rPr>
  </w:style>
  <w:style w:type="paragraph" w:customStyle="1" w:styleId="269">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eastAsia="宋体" w:cs="Times New Roman"/>
      <w:kern w:val="0"/>
      <w:sz w:val="21"/>
      <w:szCs w:val="20"/>
    </w:rPr>
  </w:style>
  <w:style w:type="paragraph" w:customStyle="1" w:styleId="270">
    <w:name w:val="Style42"/>
    <w:basedOn w:val="1"/>
    <w:qFormat/>
    <w:uiPriority w:val="0"/>
    <w:pPr>
      <w:spacing w:line="542" w:lineRule="exact"/>
      <w:ind w:firstLine="547"/>
    </w:pPr>
    <w:rPr>
      <w:rFonts w:ascii="Times New Roman" w:hAnsi="Times New Roman" w:eastAsia="宋体" w:cs="Times New Roman"/>
    </w:rPr>
  </w:style>
  <w:style w:type="paragraph" w:customStyle="1" w:styleId="271">
    <w:name w:val="Style72"/>
    <w:basedOn w:val="1"/>
    <w:qFormat/>
    <w:uiPriority w:val="0"/>
    <w:rPr>
      <w:rFonts w:ascii="Times New Roman" w:hAnsi="Times New Roman" w:eastAsia="宋体" w:cs="Times New Roman"/>
    </w:rPr>
  </w:style>
  <w:style w:type="paragraph" w:customStyle="1" w:styleId="272">
    <w:name w:val="Style9"/>
    <w:basedOn w:val="1"/>
    <w:qFormat/>
    <w:uiPriority w:val="0"/>
    <w:rPr>
      <w:rFonts w:ascii="Times New Roman" w:hAnsi="Times New Roman" w:eastAsia="宋体" w:cs="Times New Roman"/>
    </w:rPr>
  </w:style>
  <w:style w:type="paragraph" w:customStyle="1" w:styleId="273">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74">
    <w:name w:val="_Style 272"/>
    <w:qFormat/>
    <w:uiPriority w:val="0"/>
    <w:rPr>
      <w:rFonts w:ascii="Calibri" w:hAnsi="Calibri" w:eastAsia="宋体" w:cs="Times New Roman"/>
      <w:kern w:val="2"/>
      <w:sz w:val="21"/>
      <w:szCs w:val="24"/>
      <w:lang w:val="en-US" w:eastAsia="zh-CN" w:bidi="ar-SA"/>
    </w:rPr>
  </w:style>
  <w:style w:type="paragraph" w:customStyle="1" w:styleId="275">
    <w:name w:val="正文_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6">
    <w:name w:val="Style71"/>
    <w:basedOn w:val="1"/>
    <w:qFormat/>
    <w:uiPriority w:val="0"/>
    <w:pPr>
      <w:spacing w:line="538" w:lineRule="exact"/>
      <w:ind w:firstLine="101"/>
    </w:pPr>
    <w:rPr>
      <w:rFonts w:ascii="Times New Roman" w:hAnsi="Times New Roman" w:eastAsia="宋体" w:cs="Times New Roman"/>
    </w:rPr>
  </w:style>
  <w:style w:type="paragraph" w:customStyle="1" w:styleId="277">
    <w:name w:val="正文_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正文_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9">
    <w:name w:val="Style50"/>
    <w:basedOn w:val="1"/>
    <w:qFormat/>
    <w:uiPriority w:val="0"/>
    <w:rPr>
      <w:rFonts w:ascii="Times New Roman" w:hAnsi="Times New Roman" w:eastAsia="宋体" w:cs="Times New Roman"/>
    </w:rPr>
  </w:style>
  <w:style w:type="paragraph" w:customStyle="1" w:styleId="280">
    <w:name w:val="Style29"/>
    <w:basedOn w:val="1"/>
    <w:qFormat/>
    <w:uiPriority w:val="0"/>
    <w:pPr>
      <w:spacing w:line="547" w:lineRule="exact"/>
      <w:ind w:firstLine="547"/>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7659</Words>
  <Characters>43660</Characters>
  <Lines>363</Lines>
  <Paragraphs>102</Paragraphs>
  <TotalTime>31</TotalTime>
  <ScaleCrop>false</ScaleCrop>
  <LinksUpToDate>false</LinksUpToDate>
  <CharactersWithSpaces>51217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2021-08-23T10:41:00Z</dcterms:created>
  <dc:creator>微软用户</dc:creator>
  <cp:lastModifiedBy>中采招标</cp:lastModifiedBy>
  <cp:lastPrinted>2020-01-19T09:37:00Z</cp:lastPrinted>
  <dcterms:modified xsi:type="dcterms:W3CDTF">2023-09-15T02:31:55Z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CCB90D6BDA8E45A9BADD3F1B43AC9B4F</vt:lpwstr>
  </property>
</Properties>
</file>