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auto"/>
          <w:sz w:val="32"/>
          <w:szCs w:val="32"/>
          <w:highlight w:val="none"/>
        </w:rPr>
      </w:pPr>
    </w:p>
    <w:p>
      <w:pPr>
        <w:rPr>
          <w:rFonts w:ascii="黑体" w:eastAsia="黑体"/>
          <w:color w:val="auto"/>
          <w:sz w:val="32"/>
          <w:szCs w:val="32"/>
          <w:highlight w:val="none"/>
        </w:rPr>
      </w:pPr>
    </w:p>
    <w:p>
      <w:pPr>
        <w:rPr>
          <w:rFonts w:ascii="黑体" w:eastAsia="黑体"/>
          <w:color w:val="auto"/>
          <w:sz w:val="32"/>
          <w:szCs w:val="32"/>
          <w:highlight w:val="none"/>
        </w:rPr>
      </w:pPr>
    </w:p>
    <w:p>
      <w:pPr>
        <w:pStyle w:val="23"/>
        <w:adjustRightInd w:val="0"/>
        <w:snapToGrid w:val="0"/>
        <w:spacing w:line="360" w:lineRule="auto"/>
        <w:jc w:val="center"/>
        <w:rPr>
          <w:rFonts w:hAnsi="宋体"/>
          <w:b/>
          <w:color w:val="auto"/>
          <w:sz w:val="84"/>
          <w:szCs w:val="84"/>
          <w:highlight w:val="none"/>
        </w:rPr>
      </w:pPr>
      <w:r>
        <w:rPr>
          <w:rFonts w:hint="eastAsia" w:hAnsi="宋体"/>
          <w:b/>
          <w:color w:val="auto"/>
          <w:sz w:val="84"/>
          <w:szCs w:val="84"/>
          <w:highlight w:val="none"/>
        </w:rPr>
        <w:t>竞争性磋商文件</w:t>
      </w:r>
    </w:p>
    <w:p>
      <w:pPr>
        <w:pStyle w:val="23"/>
        <w:adjustRightInd w:val="0"/>
        <w:snapToGrid w:val="0"/>
        <w:spacing w:beforeLines="50" w:line="360" w:lineRule="auto"/>
        <w:ind w:left="846" w:leftChars="403" w:firstLine="157" w:firstLineChars="49"/>
        <w:rPr>
          <w:b/>
          <w:color w:val="auto"/>
          <w:sz w:val="32"/>
          <w:szCs w:val="32"/>
          <w:highlight w:val="none"/>
        </w:rPr>
      </w:pPr>
    </w:p>
    <w:p>
      <w:pPr>
        <w:pStyle w:val="23"/>
        <w:adjustRightInd w:val="0"/>
        <w:snapToGrid w:val="0"/>
        <w:spacing w:beforeLines="50" w:line="360" w:lineRule="auto"/>
        <w:ind w:left="846" w:leftChars="403" w:firstLine="157" w:firstLineChars="49"/>
        <w:rPr>
          <w:b/>
          <w:color w:val="auto"/>
          <w:sz w:val="32"/>
          <w:szCs w:val="32"/>
          <w:highlight w:val="none"/>
        </w:rPr>
      </w:pPr>
    </w:p>
    <w:p>
      <w:pPr>
        <w:pStyle w:val="23"/>
        <w:adjustRightInd w:val="0"/>
        <w:snapToGrid w:val="0"/>
        <w:spacing w:line="360" w:lineRule="auto"/>
        <w:ind w:left="3198" w:leftChars="456" w:hanging="2240" w:hangingChars="700"/>
        <w:rPr>
          <w:rFonts w:hint="eastAsia" w:hAnsi="宋体" w:eastAsia="宋体"/>
          <w:color w:val="auto"/>
          <w:sz w:val="32"/>
          <w:szCs w:val="32"/>
          <w:highlight w:val="none"/>
          <w:lang w:eastAsia="zh-CN"/>
        </w:rPr>
      </w:pPr>
      <w:r>
        <w:rPr>
          <w:rFonts w:hint="eastAsia" w:hAnsi="宋体"/>
          <w:color w:val="auto"/>
          <w:sz w:val="32"/>
          <w:szCs w:val="32"/>
          <w:highlight w:val="none"/>
        </w:rPr>
        <w:t>采购项目名称：</w:t>
      </w:r>
      <w:r>
        <w:rPr>
          <w:rFonts w:hint="eastAsia" w:hAnsi="宋体"/>
          <w:color w:val="auto"/>
          <w:sz w:val="32"/>
          <w:szCs w:val="32"/>
          <w:highlight w:val="none"/>
          <w:lang w:eastAsia="zh-CN"/>
        </w:rPr>
        <w:t>湖南智谷鑫服物业管理有限公司电梯维保服务</w:t>
      </w:r>
    </w:p>
    <w:p>
      <w:pPr>
        <w:pStyle w:val="23"/>
        <w:adjustRightInd w:val="0"/>
        <w:snapToGrid w:val="0"/>
        <w:spacing w:line="360" w:lineRule="auto"/>
        <w:ind w:firstLine="960" w:firstLineChars="300"/>
        <w:rPr>
          <w:rFonts w:hint="eastAsia" w:eastAsia="宋体"/>
          <w:color w:val="auto"/>
          <w:sz w:val="32"/>
          <w:szCs w:val="32"/>
          <w:highlight w:val="none"/>
          <w:lang w:val="zh-TW" w:eastAsia="zh-CN"/>
        </w:rPr>
      </w:pPr>
      <w:r>
        <w:rPr>
          <w:rFonts w:hint="eastAsia" w:hAnsi="宋体"/>
          <w:color w:val="auto"/>
          <w:sz w:val="32"/>
          <w:szCs w:val="32"/>
          <w:highlight w:val="none"/>
        </w:rPr>
        <w:t>采   购   人：</w:t>
      </w:r>
      <w:r>
        <w:rPr>
          <w:rFonts w:hint="eastAsia"/>
          <w:color w:val="auto"/>
          <w:sz w:val="32"/>
          <w:szCs w:val="32"/>
          <w:highlight w:val="none"/>
          <w:lang w:val="zh-TW" w:eastAsia="zh-CN"/>
        </w:rPr>
        <w:t>湖南智谷投资发展集团有限公司</w:t>
      </w:r>
    </w:p>
    <w:p>
      <w:pPr>
        <w:pStyle w:val="23"/>
        <w:adjustRightInd w:val="0"/>
        <w:snapToGrid w:val="0"/>
        <w:spacing w:line="360" w:lineRule="auto"/>
        <w:ind w:firstLine="960" w:firstLineChars="300"/>
        <w:rPr>
          <w:rFonts w:hAnsi="宋体"/>
          <w:color w:val="auto"/>
          <w:sz w:val="32"/>
          <w:szCs w:val="32"/>
          <w:highlight w:val="none"/>
        </w:rPr>
      </w:pPr>
      <w:r>
        <w:rPr>
          <w:rFonts w:hint="eastAsia" w:hAnsi="宋体"/>
          <w:color w:val="auto"/>
          <w:sz w:val="32"/>
          <w:szCs w:val="32"/>
          <w:highlight w:val="none"/>
          <w:lang w:eastAsia="zh-CN"/>
        </w:rPr>
        <w:t>项</w:t>
      </w:r>
      <w:r>
        <w:rPr>
          <w:rFonts w:hint="eastAsia" w:hAnsi="宋体"/>
          <w:color w:val="auto"/>
          <w:sz w:val="32"/>
          <w:szCs w:val="32"/>
          <w:highlight w:val="none"/>
          <w:lang w:val="en-US" w:eastAsia="zh-CN"/>
        </w:rPr>
        <w:t xml:space="preserve">  </w:t>
      </w:r>
      <w:r>
        <w:rPr>
          <w:rFonts w:hint="eastAsia" w:hAnsi="宋体"/>
          <w:color w:val="auto"/>
          <w:sz w:val="32"/>
          <w:szCs w:val="32"/>
          <w:highlight w:val="none"/>
          <w:lang w:eastAsia="zh-CN"/>
        </w:rPr>
        <w:t>目</w:t>
      </w:r>
      <w:r>
        <w:rPr>
          <w:rFonts w:hint="eastAsia" w:hAnsi="宋体"/>
          <w:color w:val="auto"/>
          <w:sz w:val="32"/>
          <w:szCs w:val="32"/>
          <w:highlight w:val="none"/>
          <w:lang w:val="en-US" w:eastAsia="zh-CN"/>
        </w:rPr>
        <w:t xml:space="preserve"> </w:t>
      </w:r>
      <w:r>
        <w:rPr>
          <w:rFonts w:hint="eastAsia" w:hAnsi="宋体"/>
          <w:color w:val="auto"/>
          <w:sz w:val="32"/>
          <w:szCs w:val="32"/>
          <w:highlight w:val="none"/>
          <w:lang w:eastAsia="zh-CN"/>
        </w:rPr>
        <w:t>编</w:t>
      </w:r>
      <w:r>
        <w:rPr>
          <w:rFonts w:hint="eastAsia" w:hAnsi="宋体"/>
          <w:color w:val="auto"/>
          <w:sz w:val="32"/>
          <w:szCs w:val="32"/>
          <w:highlight w:val="none"/>
          <w:lang w:val="en-US" w:eastAsia="zh-CN"/>
        </w:rPr>
        <w:t xml:space="preserve"> </w:t>
      </w:r>
      <w:r>
        <w:rPr>
          <w:rFonts w:hint="eastAsia" w:hAnsi="宋体"/>
          <w:color w:val="auto"/>
          <w:sz w:val="32"/>
          <w:szCs w:val="32"/>
          <w:highlight w:val="none"/>
          <w:lang w:eastAsia="zh-CN"/>
        </w:rPr>
        <w:t>号</w:t>
      </w:r>
      <w:r>
        <w:rPr>
          <w:rFonts w:hint="eastAsia" w:hAnsi="宋体"/>
          <w:color w:val="auto"/>
          <w:sz w:val="32"/>
          <w:szCs w:val="32"/>
          <w:highlight w:val="none"/>
        </w:rPr>
        <w:t>：YLCG-F202201140024</w:t>
      </w:r>
    </w:p>
    <w:p>
      <w:pPr>
        <w:pStyle w:val="23"/>
        <w:adjustRightInd w:val="0"/>
        <w:snapToGrid w:val="0"/>
        <w:spacing w:line="360" w:lineRule="auto"/>
        <w:ind w:firstLine="960" w:firstLineChars="300"/>
        <w:rPr>
          <w:rFonts w:hAnsi="宋体"/>
          <w:color w:val="auto"/>
          <w:sz w:val="32"/>
          <w:szCs w:val="32"/>
          <w:highlight w:val="none"/>
        </w:rPr>
      </w:pPr>
      <w:r>
        <w:rPr>
          <w:rFonts w:hint="eastAsia" w:hAnsi="宋体"/>
          <w:color w:val="auto"/>
          <w:sz w:val="32"/>
          <w:szCs w:val="32"/>
          <w:highlight w:val="none"/>
        </w:rPr>
        <w:t>采购代理机构：</w:t>
      </w:r>
      <w:r>
        <w:rPr>
          <w:rFonts w:hint="eastAsia"/>
          <w:color w:val="auto"/>
          <w:sz w:val="32"/>
          <w:szCs w:val="32"/>
          <w:highlight w:val="none"/>
          <w:lang w:val="zh-TW"/>
        </w:rPr>
        <w:t>湖南中弘项目管理有限公司</w:t>
      </w:r>
    </w:p>
    <w:p>
      <w:pPr>
        <w:pStyle w:val="23"/>
        <w:adjustRightInd w:val="0"/>
        <w:snapToGrid w:val="0"/>
        <w:spacing w:beforeLines="50" w:line="360" w:lineRule="auto"/>
        <w:ind w:firstLine="944" w:firstLineChars="295"/>
        <w:rPr>
          <w:color w:val="auto"/>
          <w:sz w:val="32"/>
          <w:szCs w:val="32"/>
          <w:highlight w:val="none"/>
        </w:rPr>
      </w:pPr>
    </w:p>
    <w:p>
      <w:pPr>
        <w:pStyle w:val="23"/>
        <w:adjustRightInd w:val="0"/>
        <w:snapToGrid w:val="0"/>
        <w:spacing w:beforeLines="50" w:line="360" w:lineRule="auto"/>
        <w:ind w:firstLine="944" w:firstLineChars="295"/>
        <w:rPr>
          <w:color w:val="auto"/>
          <w:sz w:val="32"/>
          <w:szCs w:val="32"/>
          <w:highlight w:val="none"/>
        </w:rPr>
      </w:pPr>
    </w:p>
    <w:p>
      <w:pPr>
        <w:pStyle w:val="23"/>
        <w:adjustRightInd w:val="0"/>
        <w:snapToGrid w:val="0"/>
        <w:spacing w:line="360" w:lineRule="auto"/>
        <w:jc w:val="center"/>
        <w:rPr>
          <w:rFonts w:ascii="仿宋_GB2312" w:hAnsi="宋体" w:eastAsia="仿宋_GB2312"/>
          <w:color w:val="auto"/>
          <w:sz w:val="32"/>
          <w:highlight w:val="none"/>
        </w:rPr>
      </w:pPr>
    </w:p>
    <w:p>
      <w:pPr>
        <w:pStyle w:val="23"/>
        <w:adjustRightInd w:val="0"/>
        <w:snapToGrid w:val="0"/>
        <w:spacing w:line="360" w:lineRule="auto"/>
        <w:jc w:val="center"/>
        <w:rPr>
          <w:rFonts w:ascii="仿宋_GB2312" w:hAnsi="宋体" w:eastAsia="仿宋_GB2312"/>
          <w:color w:val="auto"/>
          <w:sz w:val="32"/>
          <w:highlight w:val="none"/>
        </w:rPr>
      </w:pPr>
    </w:p>
    <w:p>
      <w:pPr>
        <w:pStyle w:val="23"/>
        <w:adjustRightInd w:val="0"/>
        <w:snapToGrid w:val="0"/>
        <w:spacing w:line="360" w:lineRule="auto"/>
        <w:jc w:val="center"/>
        <w:rPr>
          <w:rFonts w:hAnsi="宋体"/>
          <w:color w:val="auto"/>
          <w:sz w:val="32"/>
          <w:highlight w:val="none"/>
        </w:rPr>
      </w:pPr>
      <w:r>
        <w:rPr>
          <w:rFonts w:hint="eastAsia" w:hAnsi="宋体"/>
          <w:color w:val="auto"/>
          <w:sz w:val="32"/>
          <w:highlight w:val="none"/>
        </w:rPr>
        <w:t>202</w:t>
      </w:r>
      <w:r>
        <w:rPr>
          <w:rFonts w:hint="eastAsia" w:hAnsi="宋体"/>
          <w:color w:val="auto"/>
          <w:sz w:val="32"/>
          <w:highlight w:val="none"/>
          <w:lang w:val="en-US" w:eastAsia="zh-CN"/>
        </w:rPr>
        <w:t>2</w:t>
      </w:r>
      <w:r>
        <w:rPr>
          <w:rFonts w:hint="eastAsia" w:hAnsi="宋体"/>
          <w:color w:val="auto"/>
          <w:sz w:val="32"/>
          <w:highlight w:val="none"/>
        </w:rPr>
        <w:t>年</w:t>
      </w:r>
      <w:r>
        <w:rPr>
          <w:rFonts w:hint="eastAsia" w:hAnsi="宋体"/>
          <w:color w:val="auto"/>
          <w:sz w:val="32"/>
          <w:highlight w:val="none"/>
          <w:lang w:val="en-US" w:eastAsia="zh-CN"/>
        </w:rPr>
        <w:t>1</w:t>
      </w:r>
      <w:r>
        <w:rPr>
          <w:rFonts w:hint="eastAsia" w:hAnsi="宋体"/>
          <w:color w:val="auto"/>
          <w:sz w:val="32"/>
          <w:highlight w:val="none"/>
        </w:rPr>
        <w:t>月</w:t>
      </w:r>
    </w:p>
    <w:p>
      <w:pPr>
        <w:pStyle w:val="23"/>
        <w:adjustRightInd w:val="0"/>
        <w:snapToGrid w:val="0"/>
        <w:spacing w:line="360" w:lineRule="auto"/>
        <w:jc w:val="center"/>
        <w:rPr>
          <w:rFonts w:ascii="方正小标宋_GBK" w:hAnsi="宋体" w:eastAsia="方正小标宋_GBK"/>
          <w:color w:val="auto"/>
          <w:spacing w:val="160"/>
          <w:sz w:val="36"/>
          <w:szCs w:val="36"/>
          <w:highlight w:val="none"/>
        </w:rPr>
      </w:pPr>
    </w:p>
    <w:p>
      <w:pPr>
        <w:pStyle w:val="23"/>
        <w:adjustRightInd w:val="0"/>
        <w:snapToGrid w:val="0"/>
        <w:spacing w:line="360" w:lineRule="auto"/>
        <w:jc w:val="center"/>
        <w:rPr>
          <w:rFonts w:ascii="方正小标宋_GBK" w:hAnsi="宋体" w:eastAsia="方正小标宋_GBK"/>
          <w:color w:val="auto"/>
          <w:spacing w:val="160"/>
          <w:sz w:val="36"/>
          <w:szCs w:val="36"/>
          <w:highlight w:val="none"/>
        </w:rPr>
      </w:pPr>
    </w:p>
    <w:p>
      <w:pPr>
        <w:pStyle w:val="23"/>
        <w:adjustRightInd w:val="0"/>
        <w:snapToGrid w:val="0"/>
        <w:spacing w:line="360" w:lineRule="auto"/>
        <w:jc w:val="center"/>
        <w:rPr>
          <w:rFonts w:ascii="方正小标宋_GBK" w:hAnsi="宋体" w:eastAsia="方正小标宋_GBK"/>
          <w:color w:val="auto"/>
          <w:spacing w:val="160"/>
          <w:sz w:val="36"/>
          <w:szCs w:val="36"/>
          <w:highlight w:val="none"/>
        </w:rPr>
      </w:pPr>
      <w:r>
        <w:rPr>
          <w:rFonts w:hint="eastAsia" w:ascii="方正小标宋_GBK" w:hAnsi="宋体" w:eastAsia="方正小标宋_GBK"/>
          <w:color w:val="auto"/>
          <w:spacing w:val="160"/>
          <w:sz w:val="36"/>
          <w:szCs w:val="36"/>
          <w:highlight w:val="none"/>
        </w:rPr>
        <w:t>目录</w:t>
      </w:r>
    </w:p>
    <w:p>
      <w:pPr>
        <w:pStyle w:val="23"/>
        <w:adjustRightInd w:val="0"/>
        <w:snapToGrid w:val="0"/>
        <w:spacing w:line="360" w:lineRule="auto"/>
        <w:rPr>
          <w:rFonts w:hAnsi="宋体"/>
          <w:b/>
          <w:color w:val="auto"/>
          <w:sz w:val="24"/>
          <w:szCs w:val="24"/>
          <w:highlight w:val="none"/>
        </w:rPr>
      </w:pPr>
    </w:p>
    <w:p>
      <w:pPr>
        <w:pStyle w:val="23"/>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第一章  磋商邀请</w:t>
      </w:r>
    </w:p>
    <w:p>
      <w:pPr>
        <w:pStyle w:val="23"/>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第二章  磋商须知</w:t>
      </w:r>
    </w:p>
    <w:p>
      <w:pPr>
        <w:tabs>
          <w:tab w:val="left" w:pos="14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磋商须知前附表</w:t>
      </w:r>
    </w:p>
    <w:p>
      <w:pPr>
        <w:tabs>
          <w:tab w:val="left" w:pos="14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磋商须知正文</w:t>
      </w:r>
    </w:p>
    <w:p>
      <w:pPr>
        <w:tabs>
          <w:tab w:val="left" w:pos="1440"/>
        </w:tabs>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一、说明</w:t>
      </w:r>
    </w:p>
    <w:p>
      <w:pPr>
        <w:tabs>
          <w:tab w:val="left" w:pos="1440"/>
        </w:tabs>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二、</w:t>
      </w:r>
      <w:r>
        <w:rPr>
          <w:rFonts w:hint="eastAsia" w:ascii="宋体" w:hAnsi="宋体"/>
          <w:bCs/>
          <w:color w:val="auto"/>
          <w:szCs w:val="21"/>
          <w:highlight w:val="none"/>
        </w:rPr>
        <w:t>磋商</w:t>
      </w:r>
      <w:r>
        <w:rPr>
          <w:rFonts w:hint="eastAsia" w:ascii="宋体" w:hAnsi="宋体"/>
          <w:color w:val="auto"/>
          <w:szCs w:val="21"/>
          <w:highlight w:val="none"/>
        </w:rPr>
        <w:t>文件</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三、响应文件</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四、响应文件的递交</w:t>
      </w:r>
    </w:p>
    <w:p>
      <w:pPr>
        <w:adjustRightInd w:val="0"/>
        <w:snapToGrid w:val="0"/>
        <w:spacing w:line="360" w:lineRule="auto"/>
        <w:ind w:firstLine="630" w:firstLineChars="300"/>
        <w:rPr>
          <w:rFonts w:ascii="宋体" w:hAnsi="宋体"/>
          <w:bCs/>
          <w:color w:val="auto"/>
          <w:szCs w:val="21"/>
          <w:highlight w:val="none"/>
        </w:rPr>
      </w:pPr>
      <w:r>
        <w:rPr>
          <w:rFonts w:hint="eastAsia" w:ascii="宋体" w:hAnsi="宋体"/>
          <w:bCs/>
          <w:color w:val="auto"/>
          <w:szCs w:val="21"/>
          <w:highlight w:val="none"/>
        </w:rPr>
        <w:t>五、</w:t>
      </w:r>
      <w:r>
        <w:rPr>
          <w:rFonts w:hint="eastAsia" w:ascii="宋体" w:hAnsi="宋体"/>
          <w:color w:val="auto"/>
          <w:szCs w:val="21"/>
          <w:highlight w:val="none"/>
        </w:rPr>
        <w:t>响应文件</w:t>
      </w:r>
      <w:r>
        <w:rPr>
          <w:rFonts w:hint="eastAsia" w:ascii="宋体" w:hAnsi="宋体"/>
          <w:bCs/>
          <w:color w:val="auto"/>
          <w:szCs w:val="21"/>
          <w:highlight w:val="none"/>
        </w:rPr>
        <w:t>的</w:t>
      </w:r>
      <w:r>
        <w:rPr>
          <w:rFonts w:hint="eastAsia" w:ascii="宋体" w:hAnsi="宋体"/>
          <w:color w:val="auto"/>
          <w:szCs w:val="21"/>
          <w:highlight w:val="none"/>
        </w:rPr>
        <w:t>磋商与评审</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六、成交结果信息公布与授予合同</w:t>
      </w:r>
    </w:p>
    <w:p>
      <w:pPr>
        <w:adjustRightInd w:val="0"/>
        <w:snapToGrid w:val="0"/>
        <w:spacing w:line="360" w:lineRule="auto"/>
        <w:ind w:firstLine="630" w:firstLineChars="300"/>
        <w:jc w:val="left"/>
        <w:rPr>
          <w:rFonts w:ascii="宋体" w:hAnsi="宋体"/>
          <w:color w:val="auto"/>
          <w:szCs w:val="21"/>
          <w:highlight w:val="none"/>
        </w:rPr>
      </w:pPr>
      <w:r>
        <w:rPr>
          <w:rFonts w:hint="eastAsia" w:ascii="宋体" w:hAnsi="宋体"/>
          <w:color w:val="auto"/>
          <w:szCs w:val="21"/>
          <w:highlight w:val="none"/>
        </w:rPr>
        <w:t>七、其他规定</w:t>
      </w:r>
    </w:p>
    <w:p>
      <w:pPr>
        <w:adjustRightInd w:val="0"/>
        <w:snapToGrid w:val="0"/>
        <w:spacing w:line="360" w:lineRule="auto"/>
        <w:rPr>
          <w:rFonts w:ascii="宋体" w:hAnsi="宋体"/>
          <w:b/>
          <w:color w:val="auto"/>
          <w:sz w:val="24"/>
          <w:highlight w:val="none"/>
        </w:rPr>
      </w:pPr>
      <w:r>
        <w:rPr>
          <w:rFonts w:hint="eastAsia" w:ascii="宋体" w:hAnsi="宋体"/>
          <w:b/>
          <w:color w:val="auto"/>
          <w:sz w:val="24"/>
          <w:highlight w:val="none"/>
        </w:rPr>
        <w:t>第三章  采购合同格式</w:t>
      </w:r>
    </w:p>
    <w:p>
      <w:pPr>
        <w:adjustRightInd w:val="0"/>
        <w:snapToGrid w:val="0"/>
        <w:spacing w:line="360" w:lineRule="auto"/>
        <w:rPr>
          <w:rFonts w:ascii="宋体" w:hAnsi="宋体"/>
          <w:b/>
          <w:color w:val="auto"/>
          <w:sz w:val="24"/>
          <w:highlight w:val="none"/>
        </w:rPr>
      </w:pPr>
      <w:r>
        <w:rPr>
          <w:rFonts w:hint="eastAsia" w:ascii="宋体" w:hAnsi="宋体"/>
          <w:b/>
          <w:color w:val="auto"/>
          <w:sz w:val="24"/>
          <w:highlight w:val="none"/>
        </w:rPr>
        <w:t xml:space="preserve">第四章  </w:t>
      </w:r>
      <w:r>
        <w:rPr>
          <w:rFonts w:hint="eastAsia" w:hAnsi="宋体"/>
          <w:b/>
          <w:color w:val="auto"/>
          <w:sz w:val="24"/>
          <w:highlight w:val="none"/>
        </w:rPr>
        <w:t>采购需求</w:t>
      </w:r>
    </w:p>
    <w:p>
      <w:pPr>
        <w:pStyle w:val="23"/>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 xml:space="preserve">第五章  </w:t>
      </w:r>
      <w:r>
        <w:rPr>
          <w:rFonts w:hint="eastAsia" w:hAnsi="宋体"/>
          <w:b/>
          <w:color w:val="auto"/>
          <w:sz w:val="24"/>
          <w:highlight w:val="none"/>
        </w:rPr>
        <w:t>响应文件组成</w:t>
      </w:r>
    </w:p>
    <w:p>
      <w:pPr>
        <w:spacing w:line="360" w:lineRule="exact"/>
        <w:rPr>
          <w:rFonts w:ascii="黑体" w:eastAsia="黑体"/>
          <w:b/>
          <w:color w:val="auto"/>
          <w:sz w:val="24"/>
          <w:highlight w:val="none"/>
        </w:rPr>
      </w:pPr>
    </w:p>
    <w:p>
      <w:pPr>
        <w:spacing w:line="360" w:lineRule="exact"/>
        <w:rPr>
          <w:rFonts w:ascii="黑体" w:eastAsia="黑体"/>
          <w:b/>
          <w:color w:val="auto"/>
          <w:sz w:val="24"/>
          <w:highlight w:val="none"/>
        </w:rPr>
      </w:pPr>
    </w:p>
    <w:p>
      <w:pPr>
        <w:spacing w:line="360" w:lineRule="exact"/>
        <w:rPr>
          <w:rFonts w:ascii="黑体" w:eastAsia="黑体"/>
          <w:b/>
          <w:color w:val="auto"/>
          <w:sz w:val="24"/>
          <w:highlight w:val="none"/>
        </w:rPr>
      </w:pPr>
    </w:p>
    <w:p>
      <w:pPr>
        <w:spacing w:line="360" w:lineRule="exact"/>
        <w:rPr>
          <w:rFonts w:ascii="黑体" w:eastAsia="黑体"/>
          <w:b/>
          <w:color w:val="auto"/>
          <w:sz w:val="24"/>
          <w:highlight w:val="none"/>
        </w:rPr>
      </w:pPr>
    </w:p>
    <w:p>
      <w:pPr>
        <w:spacing w:line="360" w:lineRule="exact"/>
        <w:rPr>
          <w:rFonts w:ascii="黑体" w:eastAsia="黑体"/>
          <w:b/>
          <w:color w:val="auto"/>
          <w:sz w:val="24"/>
          <w:highlight w:val="none"/>
        </w:rPr>
      </w:pPr>
    </w:p>
    <w:p>
      <w:pPr>
        <w:jc w:val="center"/>
        <w:rPr>
          <w:rFonts w:ascii="黑体" w:hAnsi="宋体" w:eastAsia="黑体"/>
          <w:color w:val="auto"/>
          <w:sz w:val="32"/>
          <w:szCs w:val="32"/>
          <w:highlight w:val="none"/>
        </w:rPr>
      </w:pPr>
    </w:p>
    <w:p>
      <w:pPr>
        <w:jc w:val="center"/>
        <w:rPr>
          <w:rFonts w:ascii="黑体" w:hAnsi="宋体" w:eastAsia="黑体"/>
          <w:color w:val="auto"/>
          <w:sz w:val="32"/>
          <w:szCs w:val="32"/>
          <w:highlight w:val="none"/>
        </w:rPr>
      </w:pPr>
    </w:p>
    <w:p>
      <w:pPr>
        <w:jc w:val="center"/>
        <w:rPr>
          <w:rFonts w:ascii="黑体" w:hAnsi="宋体" w:eastAsia="黑体"/>
          <w:color w:val="auto"/>
          <w:sz w:val="32"/>
          <w:szCs w:val="32"/>
          <w:highlight w:val="none"/>
        </w:rPr>
      </w:pPr>
    </w:p>
    <w:p>
      <w:pPr>
        <w:jc w:val="center"/>
        <w:rPr>
          <w:rFonts w:ascii="黑体" w:hAnsi="宋体" w:eastAsia="黑体"/>
          <w:color w:val="auto"/>
          <w:sz w:val="32"/>
          <w:szCs w:val="32"/>
          <w:highlight w:val="none"/>
        </w:rPr>
      </w:pPr>
    </w:p>
    <w:p>
      <w:pPr>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br w:type="page"/>
      </w:r>
      <w:r>
        <w:rPr>
          <w:rFonts w:hint="eastAsia" w:ascii="黑体" w:hAnsi="宋体" w:eastAsia="黑体"/>
          <w:b/>
          <w:color w:val="auto"/>
          <w:sz w:val="32"/>
          <w:szCs w:val="32"/>
          <w:highlight w:val="none"/>
        </w:rPr>
        <w:t>第一章  磋商邀请</w:t>
      </w:r>
    </w:p>
    <w:p>
      <w:pPr>
        <w:autoSpaceDE w:val="0"/>
        <w:autoSpaceDN w:val="0"/>
        <w:adjustRightInd w:val="0"/>
        <w:snapToGrid w:val="0"/>
        <w:spacing w:line="360" w:lineRule="auto"/>
        <w:jc w:val="left"/>
        <w:rPr>
          <w:rFonts w:ascii="宋体" w:hAnsi="宋体" w:cs="宋体"/>
          <w:color w:val="auto"/>
          <w:kern w:val="0"/>
          <w:szCs w:val="21"/>
          <w:highlight w:val="none"/>
        </w:rPr>
      </w:pPr>
    </w:p>
    <w:p>
      <w:pPr>
        <w:adjustRightInd w:val="0"/>
        <w:snapToGrid w:val="0"/>
        <w:spacing w:line="410" w:lineRule="exact"/>
        <w:ind w:firstLine="525" w:firstLineChars="250"/>
        <w:rPr>
          <w:rFonts w:ascii="宋体" w:hAnsi="宋体"/>
          <w:color w:val="auto"/>
          <w:szCs w:val="21"/>
          <w:highlight w:val="none"/>
        </w:rPr>
      </w:pPr>
      <w:r>
        <w:rPr>
          <w:rFonts w:hint="eastAsia" w:ascii="宋体" w:hAnsi="宋体"/>
          <w:color w:val="auto"/>
          <w:szCs w:val="21"/>
          <w:highlight w:val="none"/>
          <w:u w:val="single"/>
          <w:lang w:val="zh-TW"/>
        </w:rPr>
        <w:t>湖南中弘项目管理有限公司</w:t>
      </w:r>
      <w:r>
        <w:rPr>
          <w:rFonts w:hint="eastAsia" w:ascii="宋体" w:hAnsi="宋体"/>
          <w:color w:val="auto"/>
          <w:szCs w:val="21"/>
          <w:highlight w:val="none"/>
        </w:rPr>
        <w:t>受</w:t>
      </w:r>
      <w:r>
        <w:rPr>
          <w:rFonts w:hint="eastAsia" w:ascii="宋体" w:hAnsi="宋体"/>
          <w:color w:val="auto"/>
          <w:szCs w:val="21"/>
          <w:highlight w:val="none"/>
          <w:u w:val="single"/>
          <w:lang w:val="zh-TW" w:eastAsia="zh-CN"/>
        </w:rPr>
        <w:t>湖南智谷投资发展集团有限公司</w:t>
      </w:r>
      <w:r>
        <w:rPr>
          <w:rFonts w:hint="eastAsia" w:ascii="宋体" w:hAnsi="宋体"/>
          <w:color w:val="auto"/>
          <w:szCs w:val="21"/>
          <w:highlight w:val="none"/>
        </w:rPr>
        <w:t>的委托，对</w:t>
      </w:r>
      <w:r>
        <w:rPr>
          <w:rFonts w:hint="eastAsia" w:ascii="宋体" w:hAnsi="宋体"/>
          <w:color w:val="auto"/>
          <w:szCs w:val="21"/>
          <w:highlight w:val="none"/>
          <w:u w:val="single"/>
          <w:lang w:eastAsia="zh-CN"/>
        </w:rPr>
        <w:t>湖南智谷鑫服物业管理有限公司电梯维保服务</w:t>
      </w:r>
      <w:r>
        <w:rPr>
          <w:rFonts w:hint="eastAsia" w:ascii="宋体" w:hAnsi="宋体"/>
          <w:color w:val="auto"/>
          <w:szCs w:val="21"/>
          <w:highlight w:val="none"/>
        </w:rPr>
        <w:t>进行竞争性磋商采购，现采用</w:t>
      </w:r>
      <w:r>
        <w:rPr>
          <w:rFonts w:hint="eastAsia" w:ascii="宋体" w:hAnsi="宋体"/>
          <w:color w:val="auto"/>
          <w:szCs w:val="21"/>
          <w:highlight w:val="none"/>
          <w:u w:val="single"/>
        </w:rPr>
        <w:t xml:space="preserve"> 发布公告</w:t>
      </w:r>
      <w:r>
        <w:rPr>
          <w:rFonts w:hint="eastAsia" w:ascii="宋体" w:hAnsi="宋体"/>
          <w:color w:val="auto"/>
          <w:szCs w:val="21"/>
          <w:highlight w:val="none"/>
        </w:rPr>
        <w:t>方式，邀请符合资格条件的供应商参与竞争性磋商采购活动。</w:t>
      </w:r>
    </w:p>
    <w:p>
      <w:pPr>
        <w:adjustRightInd w:val="0"/>
        <w:snapToGrid w:val="0"/>
        <w:spacing w:line="410" w:lineRule="exact"/>
        <w:outlineLvl w:val="0"/>
        <w:rPr>
          <w:rFonts w:ascii="宋体" w:hAnsi="宋体"/>
          <w:b/>
          <w:color w:val="auto"/>
          <w:szCs w:val="21"/>
          <w:highlight w:val="none"/>
        </w:rPr>
      </w:pPr>
      <w:r>
        <w:rPr>
          <w:rFonts w:hint="eastAsia" w:ascii="宋体" w:hAnsi="宋体"/>
          <w:b/>
          <w:color w:val="auto"/>
          <w:szCs w:val="21"/>
          <w:highlight w:val="none"/>
        </w:rPr>
        <w:t>一、采购项目基本概况</w:t>
      </w:r>
    </w:p>
    <w:p>
      <w:pPr>
        <w:adjustRightInd w:val="0"/>
        <w:snapToGrid w:val="0"/>
        <w:spacing w:line="410" w:lineRule="exact"/>
        <w:ind w:firstLine="525" w:firstLineChars="250"/>
        <w:rPr>
          <w:rFonts w:hint="eastAsia" w:ascii="宋体" w:hAnsi="宋体" w:eastAsia="宋体"/>
          <w:color w:val="auto"/>
          <w:szCs w:val="21"/>
          <w:highlight w:val="none"/>
          <w:lang w:eastAsia="zh-CN"/>
        </w:rPr>
      </w:pPr>
      <w:r>
        <w:rPr>
          <w:rFonts w:hint="eastAsia" w:ascii="宋体" w:hAnsi="宋体"/>
          <w:color w:val="auto"/>
          <w:szCs w:val="21"/>
          <w:highlight w:val="none"/>
        </w:rPr>
        <w:t>1、采购项目名称：</w:t>
      </w:r>
      <w:r>
        <w:rPr>
          <w:rFonts w:hint="eastAsia" w:ascii="宋体" w:hAnsi="宋体"/>
          <w:color w:val="auto"/>
          <w:szCs w:val="21"/>
          <w:highlight w:val="none"/>
          <w:lang w:eastAsia="zh-CN"/>
        </w:rPr>
        <w:t>湖南智谷鑫服物业管理有限公司电梯维保服务</w:t>
      </w:r>
    </w:p>
    <w:p>
      <w:pPr>
        <w:adjustRightInd w:val="0"/>
        <w:snapToGrid w:val="0"/>
        <w:spacing w:line="410" w:lineRule="exact"/>
        <w:ind w:firstLine="525" w:firstLineChars="250"/>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项目</w:t>
      </w:r>
      <w:r>
        <w:rPr>
          <w:rFonts w:hint="eastAsia" w:ascii="宋体" w:hAnsi="宋体"/>
          <w:color w:val="auto"/>
          <w:szCs w:val="21"/>
          <w:highlight w:val="none"/>
        </w:rPr>
        <w:t>编号：YLCG-F202201140024</w:t>
      </w:r>
      <w:r>
        <w:rPr>
          <w:rFonts w:hint="eastAsia" w:ascii="宋体" w:hAnsi="宋体"/>
          <w:color w:val="auto"/>
          <w:szCs w:val="21"/>
          <w:highlight w:val="none"/>
        </w:rPr>
        <w:tab/>
      </w:r>
    </w:p>
    <w:p>
      <w:pPr>
        <w:adjustRightInd w:val="0"/>
        <w:snapToGrid w:val="0"/>
        <w:spacing w:line="410" w:lineRule="exact"/>
        <w:ind w:firstLine="525" w:firstLineChars="25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、采购项目标的、数量及简要规格描述或项目基本概况介绍：详见</w:t>
      </w:r>
      <w:r>
        <w:rPr>
          <w:rFonts w:ascii="宋体" w:hAnsi="宋体"/>
          <w:color w:val="auto"/>
          <w:szCs w:val="21"/>
          <w:highlight w:val="none"/>
        </w:rPr>
        <w:t>”</w:t>
      </w:r>
      <w:r>
        <w:rPr>
          <w:rFonts w:hint="eastAsia" w:ascii="宋体" w:hAnsi="宋体"/>
          <w:color w:val="auto"/>
          <w:szCs w:val="21"/>
          <w:highlight w:val="none"/>
        </w:rPr>
        <w:t>第四章 采购需求</w:t>
      </w:r>
      <w:r>
        <w:rPr>
          <w:rFonts w:ascii="宋体" w:hAnsi="宋体"/>
          <w:color w:val="auto"/>
          <w:szCs w:val="21"/>
          <w:highlight w:val="none"/>
        </w:rPr>
        <w:t>”</w:t>
      </w:r>
      <w:r>
        <w:rPr>
          <w:rFonts w:hint="eastAsia" w:ascii="宋体" w:hAnsi="宋体"/>
          <w:color w:val="auto"/>
          <w:szCs w:val="21"/>
          <w:highlight w:val="none"/>
        </w:rPr>
        <w:t>。</w:t>
      </w:r>
    </w:p>
    <w:p>
      <w:pPr>
        <w:adjustRightInd w:val="0"/>
        <w:snapToGrid w:val="0"/>
        <w:spacing w:line="410" w:lineRule="exact"/>
        <w:outlineLvl w:val="0"/>
        <w:rPr>
          <w:rFonts w:hint="default" w:ascii="宋体" w:hAnsi="宋体" w:eastAsia="宋体"/>
          <w:color w:val="auto"/>
          <w:szCs w:val="21"/>
          <w:highlight w:val="none"/>
          <w:lang w:val="en-US" w:eastAsia="zh-CN"/>
        </w:rPr>
      </w:pPr>
      <w:r>
        <w:rPr>
          <w:rFonts w:hint="eastAsia" w:ascii="宋体" w:hAnsi="宋体"/>
          <w:b/>
          <w:color w:val="auto"/>
          <w:szCs w:val="21"/>
          <w:highlight w:val="none"/>
        </w:rPr>
        <w:t>二、采购项目预算：</w:t>
      </w:r>
      <w:r>
        <w:rPr>
          <w:rFonts w:hint="eastAsia" w:ascii="宋体" w:hAnsi="宋体"/>
          <w:color w:val="auto"/>
          <w:szCs w:val="21"/>
          <w:highlight w:val="none"/>
          <w:lang w:val="en-US" w:eastAsia="zh-CN"/>
        </w:rPr>
        <w:t>672000.00</w:t>
      </w:r>
      <w:r>
        <w:rPr>
          <w:rFonts w:hint="eastAsia" w:ascii="宋体" w:hAnsi="宋体"/>
          <w:color w:val="auto"/>
          <w:szCs w:val="21"/>
          <w:highlight w:val="none"/>
        </w:rPr>
        <w:t>元</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最高限价：672000.00元。</w:t>
      </w:r>
    </w:p>
    <w:p>
      <w:pPr>
        <w:adjustRightInd w:val="0"/>
        <w:snapToGrid w:val="0"/>
        <w:spacing w:line="410" w:lineRule="exact"/>
        <w:outlineLvl w:val="0"/>
        <w:rPr>
          <w:rFonts w:ascii="宋体" w:hAnsi="宋体"/>
          <w:b/>
          <w:color w:val="auto"/>
          <w:szCs w:val="21"/>
          <w:highlight w:val="none"/>
        </w:rPr>
      </w:pPr>
      <w:r>
        <w:rPr>
          <w:rFonts w:hint="eastAsia" w:ascii="宋体" w:hAnsi="宋体"/>
          <w:b/>
          <w:color w:val="auto"/>
          <w:szCs w:val="21"/>
          <w:highlight w:val="none"/>
        </w:rPr>
        <w:t>三、供应商资格条件：</w:t>
      </w:r>
    </w:p>
    <w:p>
      <w:pPr>
        <w:adjustRightInd w:val="0"/>
        <w:snapToGrid w:val="0"/>
        <w:spacing w:line="41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1、供应商基本资格条件：符合《中华人民共和国政府采购法》第二十二条规定的供应商条件：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（1）法人提交企业法人营业执照副本(或者法人登记证书)以及组织机构代码证副本复印件；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（2）依法缴纳税收和社会保险费的证明材料,各提供下列材料之一：</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（3）法人提交法定代表人身份证明书原件或者法定代表人授权委托书原件及提供被授权人在供应商单位的社保证明并附法定代表人身份证明原件；自然人提交身份证明复印件。</w:t>
      </w:r>
    </w:p>
    <w:p>
      <w:pPr>
        <w:adjustRightInd w:val="0"/>
        <w:snapToGrid w:val="0"/>
        <w:spacing w:line="41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（4）参加采购活动前三年内在经营活动中没有重大违法记录的书面声明。</w:t>
      </w:r>
    </w:p>
    <w:p>
      <w:pPr>
        <w:adjustRightInd w:val="0"/>
        <w:snapToGrid w:val="0"/>
        <w:spacing w:line="410" w:lineRule="exact"/>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（5）提供2020年度经会计师事务所审计的财务报告复印件（至少包含资产负债表、利润表和现金流量表），成立不满一年的单位提供银行出具的资信证明。</w:t>
      </w:r>
    </w:p>
    <w:p>
      <w:pPr>
        <w:adjustRightInd w:val="0"/>
        <w:snapToGrid w:val="0"/>
        <w:spacing w:line="410" w:lineRule="exact"/>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对列入失信被执行人、重大税收违法案件当事人名单、政府采购严重违法失信行为记录名单及其他不符合《中华人民共和国政府采购法》第二十二条规定条件的供应商，将被拒绝其参与政府采购活动。信用信息查询的查询渠道为“信用中国”网站（www.creditchina.gov.cn）、中国政府采购网（www.ccgp.gov.cn）；信用信息查询的截止时点为至项目提交首次响应文件的截止时间止；信用信息查询记录的具体方式为采购人及代理机构在规定的查询渠道进行查询；信用信息查询记录证据留存的具体方式为查询记录的网上打印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）其他说明：</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①非法人组织参与投标需提供的相关证明材料。</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供应商如是“三证合一</w:t>
      </w:r>
      <w:r>
        <w:rPr>
          <w:rFonts w:ascii="宋体" w:hAnsi="宋体"/>
          <w:color w:val="auto"/>
          <w:szCs w:val="21"/>
          <w:highlight w:val="none"/>
        </w:rPr>
        <w:t>”</w:t>
      </w:r>
      <w:r>
        <w:rPr>
          <w:rFonts w:hint="eastAsia" w:ascii="宋体" w:hAnsi="宋体"/>
          <w:color w:val="auto"/>
          <w:szCs w:val="21"/>
          <w:highlight w:val="none"/>
        </w:rPr>
        <w:t>或</w:t>
      </w:r>
      <w:r>
        <w:rPr>
          <w:rFonts w:ascii="宋体" w:hAnsi="宋体"/>
          <w:color w:val="auto"/>
          <w:szCs w:val="21"/>
          <w:highlight w:val="none"/>
        </w:rPr>
        <w:t>”</w:t>
      </w:r>
      <w:r>
        <w:rPr>
          <w:rFonts w:hint="eastAsia" w:ascii="宋体" w:hAnsi="宋体"/>
          <w:color w:val="auto"/>
          <w:szCs w:val="21"/>
          <w:highlight w:val="none"/>
        </w:rPr>
        <w:t>五证合一”请自行说明。</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③基本资格条件中所提到的“近三个月”指“</w:t>
      </w:r>
      <w:r>
        <w:rPr>
          <w:rFonts w:hint="eastAsia" w:ascii="宋体" w:hAnsi="宋体" w:cs="宋体"/>
          <w:color w:val="auto"/>
          <w:szCs w:val="21"/>
          <w:highlight w:val="none"/>
        </w:rPr>
        <w:t>2021年</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月-2021年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月中任意连续三个月</w:t>
      </w:r>
      <w:r>
        <w:rPr>
          <w:rFonts w:hint="eastAsia" w:ascii="宋体" w:hAnsi="宋体"/>
          <w:color w:val="auto"/>
          <w:szCs w:val="21"/>
          <w:highlight w:val="none"/>
        </w:rPr>
        <w:t>”。</w:t>
      </w:r>
    </w:p>
    <w:p>
      <w:pPr>
        <w:numPr>
          <w:ilvl w:val="0"/>
          <w:numId w:val="1"/>
        </w:numPr>
        <w:adjustRightInd w:val="0"/>
        <w:snapToGrid w:val="0"/>
        <w:spacing w:line="410" w:lineRule="exact"/>
        <w:ind w:firstLine="420" w:firstLineChars="200"/>
        <w:rPr>
          <w:rFonts w:ascii="宋体" w:hAnsi="宋体"/>
          <w:color w:val="auto"/>
          <w:kern w:val="2"/>
          <w:sz w:val="21"/>
          <w:szCs w:val="21"/>
          <w:highlight w:val="none"/>
          <w:lang w:val="zh-TW"/>
        </w:rPr>
      </w:pPr>
      <w:r>
        <w:rPr>
          <w:rFonts w:hint="eastAsia" w:ascii="宋体" w:hAnsi="宋体"/>
          <w:color w:val="auto"/>
          <w:szCs w:val="21"/>
          <w:highlight w:val="none"/>
        </w:rPr>
        <w:t>供应商特定资格条件：</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中华人民共和国特种设备生产许可证</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(电梯）。</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3、资格证明文件复印件须加盖供应商公章。</w:t>
      </w:r>
    </w:p>
    <w:p>
      <w:pPr>
        <w:adjustRightInd w:val="0"/>
        <w:snapToGrid w:val="0"/>
        <w:spacing w:line="410" w:lineRule="exact"/>
        <w:outlineLvl w:val="0"/>
        <w:rPr>
          <w:rFonts w:ascii="宋体" w:hAnsi="宋体"/>
          <w:b/>
          <w:color w:val="auto"/>
          <w:szCs w:val="21"/>
          <w:highlight w:val="none"/>
        </w:rPr>
      </w:pPr>
      <w:r>
        <w:rPr>
          <w:rFonts w:hint="eastAsia" w:ascii="宋体" w:hAnsi="宋体"/>
          <w:b/>
          <w:color w:val="auto"/>
          <w:szCs w:val="21"/>
          <w:highlight w:val="none"/>
        </w:rPr>
        <w:t>四、获取磋商文件的时间、地点、方式及磋商文件售价</w:t>
      </w:r>
    </w:p>
    <w:p>
      <w:pPr>
        <w:adjustRightInd w:val="0"/>
        <w:snapToGrid w:val="0"/>
        <w:spacing w:line="41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1、凡有意参加磋商采购活动的，请于</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2</w:t>
      </w:r>
      <w:r>
        <w:rPr>
          <w:rFonts w:hint="eastAsia" w:ascii="宋体" w:hAnsi="宋体"/>
          <w:color w:val="auto"/>
          <w:szCs w:val="21"/>
          <w:highlight w:val="none"/>
        </w:rPr>
        <w:t>年</w:t>
      </w:r>
      <w:r>
        <w:rPr>
          <w:rFonts w:hint="eastAsia" w:ascii="宋体" w:hAnsi="宋体"/>
          <w:color w:val="auto"/>
          <w:szCs w:val="21"/>
          <w:highlight w:val="none"/>
          <w:lang w:val="en-US" w:eastAsia="zh-CN"/>
        </w:rPr>
        <w:t xml:space="preserve"> 1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14 </w:t>
      </w:r>
      <w:r>
        <w:rPr>
          <w:rFonts w:hint="eastAsia" w:ascii="宋体" w:hAnsi="宋体"/>
          <w:color w:val="auto"/>
          <w:szCs w:val="21"/>
          <w:highlight w:val="none"/>
        </w:rPr>
        <w:t>日起至</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2</w:t>
      </w:r>
      <w:r>
        <w:rPr>
          <w:rFonts w:hint="eastAsia" w:ascii="宋体" w:hAnsi="宋体"/>
          <w:color w:val="auto"/>
          <w:szCs w:val="21"/>
          <w:highlight w:val="none"/>
        </w:rPr>
        <w:t>年</w:t>
      </w:r>
      <w:r>
        <w:rPr>
          <w:rFonts w:hint="eastAsia" w:ascii="宋体" w:hAnsi="宋体"/>
          <w:color w:val="auto"/>
          <w:szCs w:val="21"/>
          <w:highlight w:val="none"/>
          <w:lang w:val="en-US" w:eastAsia="zh-CN"/>
        </w:rPr>
        <w:t xml:space="preserve"> 1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21 </w:t>
      </w:r>
      <w:r>
        <w:rPr>
          <w:rFonts w:hint="eastAsia" w:ascii="宋体" w:hAnsi="宋体"/>
          <w:color w:val="auto"/>
          <w:szCs w:val="21"/>
          <w:highlight w:val="none"/>
        </w:rPr>
        <w:t>日(节假日除外)，</w:t>
      </w:r>
      <w:r>
        <w:rPr>
          <w:rFonts w:ascii="宋体" w:hAnsi="宋体" w:cs="宋体"/>
          <w:color w:val="auto"/>
          <w:highlight w:val="none"/>
          <w:lang w:val="zh-TW" w:eastAsia="zh-TW"/>
        </w:rPr>
        <w:t>每日上午</w:t>
      </w:r>
      <w:r>
        <w:rPr>
          <w:rFonts w:hint="eastAsia" w:ascii="宋体" w:hAnsi="宋体" w:cs="宋体"/>
          <w:color w:val="auto"/>
          <w:highlight w:val="none"/>
          <w:lang w:val="en-US" w:eastAsia="zh-CN"/>
        </w:rPr>
        <w:t>9</w:t>
      </w:r>
      <w:r>
        <w:rPr>
          <w:rFonts w:ascii="宋体" w:hAnsi="宋体" w:cs="宋体"/>
          <w:color w:val="auto"/>
          <w:highlight w:val="none"/>
        </w:rPr>
        <w:t>:00</w:t>
      </w:r>
      <w:r>
        <w:rPr>
          <w:rFonts w:ascii="宋体" w:hAnsi="宋体" w:cs="宋体"/>
          <w:color w:val="auto"/>
          <w:highlight w:val="none"/>
          <w:lang w:val="zh-TW" w:eastAsia="zh-TW"/>
        </w:rPr>
        <w:t>至</w:t>
      </w:r>
      <w:r>
        <w:rPr>
          <w:rFonts w:ascii="宋体" w:hAnsi="宋体" w:cs="宋体"/>
          <w:color w:val="auto"/>
          <w:highlight w:val="none"/>
        </w:rPr>
        <w:t>12:00</w:t>
      </w:r>
      <w:r>
        <w:rPr>
          <w:rFonts w:ascii="宋体" w:hAnsi="宋体" w:cs="宋体"/>
          <w:color w:val="auto"/>
          <w:highlight w:val="none"/>
          <w:lang w:val="zh-TW" w:eastAsia="zh-TW"/>
        </w:rPr>
        <w:t>、下午</w:t>
      </w:r>
      <w:r>
        <w:rPr>
          <w:rFonts w:ascii="宋体" w:hAnsi="宋体" w:cs="宋体"/>
          <w:color w:val="auto"/>
          <w:highlight w:val="none"/>
        </w:rPr>
        <w:t>14:30</w:t>
      </w:r>
      <w:r>
        <w:rPr>
          <w:rFonts w:ascii="宋体" w:hAnsi="宋体" w:cs="宋体"/>
          <w:color w:val="auto"/>
          <w:highlight w:val="none"/>
          <w:lang w:val="zh-TW" w:eastAsia="zh-TW"/>
        </w:rPr>
        <w:t>至</w:t>
      </w:r>
      <w:r>
        <w:rPr>
          <w:rFonts w:ascii="宋体" w:hAnsi="宋体" w:cs="宋体"/>
          <w:color w:val="auto"/>
          <w:highlight w:val="none"/>
        </w:rPr>
        <w:t>17:00(</w:t>
      </w:r>
      <w:r>
        <w:rPr>
          <w:rFonts w:ascii="宋体" w:hAnsi="宋体" w:cs="宋体"/>
          <w:color w:val="auto"/>
          <w:highlight w:val="none"/>
          <w:lang w:val="zh-TW" w:eastAsia="zh-TW"/>
        </w:rPr>
        <w:t>北京时间</w:t>
      </w:r>
      <w:r>
        <w:rPr>
          <w:rFonts w:ascii="宋体" w:hAnsi="宋体" w:cs="宋体"/>
          <w:color w:val="auto"/>
          <w:highlight w:val="none"/>
        </w:rPr>
        <w:t>)</w:t>
      </w:r>
      <w:r>
        <w:rPr>
          <w:rFonts w:hint="eastAsia" w:ascii="宋体" w:hAnsi="宋体"/>
          <w:color w:val="auto"/>
          <w:szCs w:val="21"/>
          <w:highlight w:val="none"/>
        </w:rPr>
        <w:t>，持</w:t>
      </w:r>
      <w:r>
        <w:rPr>
          <w:rFonts w:hint="eastAsia"/>
          <w:color w:val="auto"/>
          <w:highlight w:val="none"/>
        </w:rPr>
        <w:t>个人身份证、法定代表人身份证明(或者授权委托书并附法定代表人身份证明）、营业执照副本复印件</w:t>
      </w:r>
      <w:r>
        <w:rPr>
          <w:rFonts w:ascii="宋体" w:hAnsi="宋体" w:cs="宋体"/>
          <w:color w:val="auto"/>
          <w:highlight w:val="none"/>
          <w:lang w:val="zh-TW" w:eastAsia="zh-TW"/>
        </w:rPr>
        <w:t>到</w:t>
      </w:r>
      <w:r>
        <w:rPr>
          <w:rFonts w:hint="eastAsia" w:ascii="宋体" w:hAnsi="宋体" w:cs="宋体"/>
          <w:color w:val="auto"/>
          <w:highlight w:val="none"/>
          <w:lang w:val="zh-TW"/>
        </w:rPr>
        <w:t>湖南中弘项目管理有限公司（</w:t>
      </w:r>
      <w:r>
        <w:rPr>
          <w:rFonts w:ascii="宋体" w:hAnsi="宋体" w:cs="宋体"/>
          <w:color w:val="auto"/>
          <w:highlight w:val="none"/>
          <w:lang w:val="zh-TW"/>
        </w:rPr>
        <w:t>长沙市岳麓区潇湘南路1段208号柏宁地王广场南栋1212室</w:t>
      </w:r>
      <w:r>
        <w:rPr>
          <w:rFonts w:ascii="宋体" w:hAnsi="宋体" w:cs="宋体"/>
          <w:color w:val="auto"/>
          <w:highlight w:val="none"/>
          <w:lang w:val="zh-TW" w:eastAsia="zh-TW"/>
        </w:rPr>
        <w:t>）</w:t>
      </w:r>
      <w:r>
        <w:rPr>
          <w:rFonts w:hint="eastAsia" w:ascii="宋体" w:hAnsi="宋体"/>
          <w:color w:val="auto"/>
          <w:szCs w:val="21"/>
          <w:highlight w:val="none"/>
          <w:lang w:eastAsia="zh-CN"/>
        </w:rPr>
        <w:t>领取</w:t>
      </w:r>
      <w:r>
        <w:rPr>
          <w:rFonts w:hint="eastAsia" w:ascii="宋体" w:hAnsi="宋体"/>
          <w:color w:val="auto"/>
          <w:szCs w:val="21"/>
          <w:highlight w:val="none"/>
        </w:rPr>
        <w:t xml:space="preserve">磋商文件。 </w:t>
      </w:r>
    </w:p>
    <w:p>
      <w:pPr>
        <w:adjustRightInd w:val="0"/>
        <w:snapToGrid w:val="0"/>
        <w:spacing w:line="410" w:lineRule="exact"/>
        <w:ind w:firstLine="420" w:firstLineChars="200"/>
        <w:outlineLvl w:val="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、本磋商文件公告期为</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2</w:t>
      </w:r>
      <w:r>
        <w:rPr>
          <w:rFonts w:hint="eastAsia" w:ascii="宋体" w:hAnsi="宋体"/>
          <w:color w:val="auto"/>
          <w:szCs w:val="21"/>
          <w:highlight w:val="none"/>
        </w:rPr>
        <w:t>年</w:t>
      </w:r>
      <w:r>
        <w:rPr>
          <w:rFonts w:hint="eastAsia" w:ascii="宋体" w:hAnsi="宋体"/>
          <w:color w:val="auto"/>
          <w:szCs w:val="21"/>
          <w:highlight w:val="none"/>
          <w:lang w:val="en-US" w:eastAsia="zh-CN"/>
        </w:rPr>
        <w:t xml:space="preserve"> 1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14 </w:t>
      </w:r>
      <w:r>
        <w:rPr>
          <w:rFonts w:hint="eastAsia" w:ascii="宋体" w:hAnsi="宋体"/>
          <w:color w:val="auto"/>
          <w:szCs w:val="21"/>
          <w:highlight w:val="none"/>
        </w:rPr>
        <w:t>日起至202</w:t>
      </w:r>
      <w:r>
        <w:rPr>
          <w:rFonts w:hint="eastAsia" w:ascii="宋体" w:hAnsi="宋体"/>
          <w:color w:val="auto"/>
          <w:szCs w:val="21"/>
          <w:highlight w:val="none"/>
          <w:lang w:val="en-US" w:eastAsia="zh-CN"/>
        </w:rPr>
        <w:t>2</w:t>
      </w:r>
      <w:r>
        <w:rPr>
          <w:rFonts w:hint="eastAsia" w:ascii="宋体" w:hAnsi="宋体"/>
          <w:color w:val="auto"/>
          <w:szCs w:val="21"/>
          <w:highlight w:val="none"/>
        </w:rPr>
        <w:t>年</w:t>
      </w:r>
      <w:r>
        <w:rPr>
          <w:rFonts w:hint="eastAsia" w:ascii="宋体" w:hAnsi="宋体"/>
          <w:color w:val="auto"/>
          <w:szCs w:val="21"/>
          <w:highlight w:val="none"/>
          <w:lang w:val="en-US" w:eastAsia="zh-CN"/>
        </w:rPr>
        <w:t xml:space="preserve"> 1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19 </w:t>
      </w:r>
      <w:r>
        <w:rPr>
          <w:rFonts w:hint="eastAsia" w:ascii="宋体" w:hAnsi="宋体"/>
          <w:color w:val="auto"/>
          <w:szCs w:val="21"/>
          <w:highlight w:val="none"/>
        </w:rPr>
        <w:t>日。</w:t>
      </w:r>
    </w:p>
    <w:p>
      <w:pPr>
        <w:adjustRightInd w:val="0"/>
        <w:snapToGrid w:val="0"/>
        <w:spacing w:line="410" w:lineRule="exact"/>
        <w:outlineLvl w:val="0"/>
        <w:rPr>
          <w:rFonts w:ascii="宋体" w:hAnsi="宋体"/>
          <w:b/>
          <w:color w:val="auto"/>
          <w:szCs w:val="21"/>
          <w:highlight w:val="none"/>
        </w:rPr>
      </w:pPr>
      <w:r>
        <w:rPr>
          <w:rFonts w:hint="eastAsia" w:ascii="宋体" w:hAnsi="宋体"/>
          <w:b/>
          <w:color w:val="auto"/>
          <w:szCs w:val="21"/>
          <w:highlight w:val="none"/>
        </w:rPr>
        <w:t>五、响应文件提交的截止时间、开启时间及地点</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1、提</w:t>
      </w:r>
      <w:r>
        <w:rPr>
          <w:rFonts w:ascii="宋体" w:hAnsi="宋体"/>
          <w:color w:val="auto"/>
          <w:szCs w:val="21"/>
          <w:highlight w:val="none"/>
        </w:rPr>
        <w:t>交</w:t>
      </w:r>
      <w:r>
        <w:rPr>
          <w:rFonts w:hint="eastAsia" w:ascii="宋体" w:hAnsi="宋体"/>
          <w:color w:val="auto"/>
          <w:szCs w:val="21"/>
          <w:highlight w:val="none"/>
        </w:rPr>
        <w:t>首次响应</w:t>
      </w:r>
      <w:r>
        <w:rPr>
          <w:rFonts w:ascii="宋体" w:hAnsi="宋体"/>
          <w:color w:val="auto"/>
          <w:szCs w:val="21"/>
          <w:highlight w:val="none"/>
        </w:rPr>
        <w:t>文件的截止时间为</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2</w:t>
      </w:r>
      <w:r>
        <w:rPr>
          <w:rFonts w:ascii="宋体" w:hAnsi="宋体"/>
          <w:color w:val="auto"/>
          <w:szCs w:val="21"/>
          <w:highlight w:val="none"/>
        </w:rPr>
        <w:t>年</w:t>
      </w:r>
      <w:r>
        <w:rPr>
          <w:rFonts w:hint="eastAsia" w:ascii="宋体" w:hAnsi="宋体"/>
          <w:color w:val="auto"/>
          <w:szCs w:val="21"/>
          <w:highlight w:val="none"/>
          <w:lang w:val="en-US" w:eastAsia="zh-CN"/>
        </w:rPr>
        <w:t xml:space="preserve"> 1 </w:t>
      </w:r>
      <w:r>
        <w:rPr>
          <w:rFonts w:ascii="宋体" w:hAnsi="宋体"/>
          <w:color w:val="auto"/>
          <w:szCs w:val="21"/>
          <w:highlight w:val="none"/>
        </w:rPr>
        <w:t>月</w:t>
      </w:r>
      <w:r>
        <w:rPr>
          <w:rFonts w:hint="eastAsia" w:ascii="宋体" w:hAnsi="宋体"/>
          <w:color w:val="auto"/>
          <w:szCs w:val="21"/>
          <w:highlight w:val="none"/>
          <w:lang w:val="en-US" w:eastAsia="zh-CN"/>
        </w:rPr>
        <w:t xml:space="preserve"> 25 </w:t>
      </w:r>
      <w:r>
        <w:rPr>
          <w:rFonts w:ascii="宋体" w:hAnsi="宋体"/>
          <w:color w:val="auto"/>
          <w:szCs w:val="21"/>
          <w:highlight w:val="none"/>
        </w:rPr>
        <w:t>日</w:t>
      </w:r>
      <w:r>
        <w:rPr>
          <w:rFonts w:hint="eastAsia" w:ascii="宋体" w:hAnsi="宋体"/>
          <w:color w:val="auto"/>
          <w:szCs w:val="21"/>
          <w:highlight w:val="none"/>
          <w:lang w:val="en-US" w:eastAsia="zh-CN"/>
        </w:rPr>
        <w:t xml:space="preserve"> 14 </w:t>
      </w:r>
      <w:r>
        <w:rPr>
          <w:rFonts w:ascii="宋体" w:hAnsi="宋体"/>
          <w:color w:val="auto"/>
          <w:szCs w:val="21"/>
          <w:highlight w:val="none"/>
        </w:rPr>
        <w:t>时</w:t>
      </w:r>
      <w:r>
        <w:rPr>
          <w:rFonts w:hint="eastAsia" w:ascii="宋体" w:hAnsi="宋体"/>
          <w:color w:val="auto"/>
          <w:szCs w:val="21"/>
          <w:highlight w:val="none"/>
          <w:lang w:val="en-US" w:eastAsia="zh-CN"/>
        </w:rPr>
        <w:t xml:space="preserve"> 30 </w:t>
      </w:r>
      <w:r>
        <w:rPr>
          <w:rFonts w:ascii="宋体" w:hAnsi="宋体"/>
          <w:color w:val="auto"/>
          <w:szCs w:val="21"/>
          <w:highlight w:val="none"/>
        </w:rPr>
        <w:t>分</w:t>
      </w:r>
      <w:r>
        <w:rPr>
          <w:rFonts w:hint="eastAsia" w:ascii="宋体" w:hAnsi="宋体"/>
          <w:color w:val="auto"/>
          <w:szCs w:val="21"/>
          <w:highlight w:val="none"/>
        </w:rPr>
        <w:t>（北京时间）</w:t>
      </w:r>
      <w:r>
        <w:rPr>
          <w:rFonts w:ascii="宋体" w:hAnsi="宋体"/>
          <w:color w:val="auto"/>
          <w:szCs w:val="21"/>
          <w:highlight w:val="none"/>
        </w:rPr>
        <w:t>，地点</w:t>
      </w:r>
    </w:p>
    <w:p>
      <w:pPr>
        <w:adjustRightInd w:val="0"/>
        <w:snapToGrid w:val="0"/>
        <w:spacing w:line="410" w:lineRule="exact"/>
        <w:rPr>
          <w:rFonts w:ascii="宋体" w:hAnsi="宋体"/>
          <w:color w:val="auto"/>
          <w:szCs w:val="21"/>
          <w:highlight w:val="none"/>
        </w:rPr>
      </w:pPr>
      <w:r>
        <w:rPr>
          <w:rFonts w:ascii="宋体" w:hAnsi="宋体"/>
          <w:color w:val="auto"/>
          <w:szCs w:val="21"/>
          <w:highlight w:val="none"/>
        </w:rPr>
        <w:t>为</w:t>
      </w:r>
      <w:r>
        <w:rPr>
          <w:rFonts w:ascii="宋体" w:hAnsi="宋体" w:cs="宋体"/>
          <w:color w:val="auto"/>
          <w:highlight w:val="none"/>
          <w:u w:val="single"/>
          <w:lang w:val="zh-TW" w:eastAsia="zh-TW"/>
        </w:rPr>
        <w:t>到</w:t>
      </w:r>
      <w:r>
        <w:rPr>
          <w:rFonts w:hint="eastAsia" w:ascii="宋体" w:hAnsi="宋体" w:cs="宋体"/>
          <w:color w:val="auto"/>
          <w:highlight w:val="none"/>
          <w:u w:val="single"/>
          <w:lang w:val="zh-TW"/>
        </w:rPr>
        <w:t>湖南中弘项目管理有限公司开标室（</w:t>
      </w:r>
      <w:r>
        <w:rPr>
          <w:rFonts w:ascii="宋体" w:hAnsi="宋体" w:cs="宋体"/>
          <w:color w:val="auto"/>
          <w:highlight w:val="none"/>
          <w:u w:val="single"/>
          <w:lang w:val="zh-TW"/>
        </w:rPr>
        <w:t>长沙市岳麓区潇湘南路1段208号柏宁地王广场南栋1212室</w:t>
      </w:r>
      <w:r>
        <w:rPr>
          <w:rFonts w:ascii="宋体" w:hAnsi="宋体" w:cs="宋体"/>
          <w:color w:val="auto"/>
          <w:highlight w:val="none"/>
          <w:u w:val="single"/>
          <w:lang w:val="zh-TW" w:eastAsia="zh-TW"/>
        </w:rPr>
        <w:t>）</w:t>
      </w:r>
      <w:r>
        <w:rPr>
          <w:rFonts w:hint="eastAsia" w:ascii="宋体" w:hAnsi="宋体"/>
          <w:color w:val="auto"/>
          <w:szCs w:val="21"/>
          <w:highlight w:val="none"/>
        </w:rPr>
        <w:t>。在截止时间后送达的响应文件为无效文件，采购人、采购代理机构或者磋商小组应当拒收。</w:t>
      </w:r>
    </w:p>
    <w:p>
      <w:pPr>
        <w:tabs>
          <w:tab w:val="left" w:pos="360"/>
        </w:tabs>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2、首次响应文件的开启时间及地点与提交首次响应文件的截止时间及地点为同一时间及地点。</w:t>
      </w:r>
    </w:p>
    <w:p>
      <w:pPr>
        <w:adjustRightInd w:val="0"/>
        <w:snapToGrid w:val="0"/>
        <w:spacing w:line="410" w:lineRule="exact"/>
        <w:outlineLvl w:val="0"/>
        <w:rPr>
          <w:rFonts w:ascii="宋体" w:hAnsi="宋体"/>
          <w:b/>
          <w:color w:val="auto"/>
          <w:szCs w:val="21"/>
          <w:highlight w:val="none"/>
        </w:rPr>
      </w:pPr>
      <w:r>
        <w:rPr>
          <w:rFonts w:hint="eastAsia" w:ascii="宋体" w:hAnsi="宋体"/>
          <w:b/>
          <w:color w:val="auto"/>
          <w:szCs w:val="21"/>
          <w:highlight w:val="none"/>
        </w:rPr>
        <w:t>六、采购项目联系人姓名和电话</w:t>
      </w:r>
    </w:p>
    <w:p>
      <w:pPr>
        <w:adjustRightInd w:val="0"/>
        <w:snapToGrid w:val="0"/>
        <w:spacing w:line="410" w:lineRule="exact"/>
        <w:ind w:firstLine="420" w:firstLineChars="200"/>
        <w:rPr>
          <w:rFonts w:hint="eastAsia" w:eastAsia="宋体"/>
          <w:color w:val="auto"/>
          <w:highlight w:val="none"/>
          <w:lang w:eastAsia="zh-CN"/>
        </w:rPr>
      </w:pPr>
      <w:r>
        <w:rPr>
          <w:rFonts w:hint="eastAsia"/>
          <w:color w:val="auto"/>
          <w:highlight w:val="none"/>
        </w:rPr>
        <w:t>采购人：</w:t>
      </w:r>
      <w:r>
        <w:rPr>
          <w:rFonts w:hint="eastAsia" w:ascii="宋体" w:hAnsi="宋体" w:cs="宋体"/>
          <w:color w:val="auto"/>
          <w:highlight w:val="none"/>
          <w:lang w:val="zh-TW" w:eastAsia="zh-CN"/>
        </w:rPr>
        <w:t>湖南智谷投资发展集团有限公司</w:t>
      </w:r>
    </w:p>
    <w:p>
      <w:pPr>
        <w:adjustRightInd w:val="0"/>
        <w:snapToGrid w:val="0"/>
        <w:spacing w:line="410" w:lineRule="exact"/>
        <w:ind w:firstLine="420" w:firstLineChars="200"/>
        <w:rPr>
          <w:color w:val="auto"/>
          <w:highlight w:val="none"/>
        </w:rPr>
      </w:pPr>
      <w:r>
        <w:rPr>
          <w:rFonts w:hint="eastAsia"/>
          <w:color w:val="auto"/>
          <w:highlight w:val="none"/>
        </w:rPr>
        <w:t>地  址：长沙市岳麓区学士街道学士路8号岳麓高新区管委会大楼</w:t>
      </w:r>
    </w:p>
    <w:p>
      <w:pPr>
        <w:adjustRightInd w:val="0"/>
        <w:snapToGrid w:val="0"/>
        <w:spacing w:line="410" w:lineRule="exact"/>
        <w:ind w:firstLine="420" w:firstLineChars="200"/>
        <w:rPr>
          <w:rFonts w:hint="default" w:ascii="宋体" w:hAnsi="宋体" w:cs="宋体"/>
          <w:color w:val="auto"/>
          <w:highlight w:val="none"/>
          <w:lang w:val="en-US"/>
        </w:rPr>
      </w:pPr>
      <w:r>
        <w:rPr>
          <w:rFonts w:hint="eastAsia" w:ascii="宋体" w:hAnsi="宋体" w:cs="宋体"/>
          <w:color w:val="auto"/>
          <w:highlight w:val="none"/>
          <w:lang w:val="zh-TW"/>
        </w:rPr>
        <w:t>联系人：</w:t>
      </w:r>
      <w:r>
        <w:rPr>
          <w:rFonts w:hint="eastAsia" w:ascii="宋体" w:hAnsi="宋体" w:cs="宋体"/>
          <w:color w:val="auto"/>
          <w:highlight w:val="none"/>
          <w:lang w:val="en-US" w:eastAsia="zh-CN"/>
        </w:rPr>
        <w:t>戴先生</w:t>
      </w:r>
      <w:r>
        <w:rPr>
          <w:rFonts w:hint="eastAsia" w:ascii="宋体" w:hAnsi="宋体" w:cs="宋体"/>
          <w:color w:val="auto"/>
          <w:highlight w:val="none"/>
          <w:lang w:val="zh-TW"/>
        </w:rPr>
        <w:t xml:space="preserve"> </w:t>
      </w:r>
    </w:p>
    <w:p>
      <w:pPr>
        <w:adjustRightInd w:val="0"/>
        <w:snapToGrid w:val="0"/>
        <w:spacing w:line="410" w:lineRule="exact"/>
        <w:ind w:firstLine="420" w:firstLineChars="200"/>
        <w:rPr>
          <w:rFonts w:ascii="宋体" w:hAnsi="宋体" w:cs="宋体"/>
          <w:color w:val="auto"/>
          <w:highlight w:val="yellow"/>
        </w:rPr>
      </w:pPr>
      <w:r>
        <w:rPr>
          <w:rFonts w:hint="eastAsia" w:ascii="宋体" w:hAnsi="宋体" w:cs="宋体"/>
          <w:color w:val="auto"/>
          <w:highlight w:val="none"/>
          <w:lang w:val="zh-TW"/>
        </w:rPr>
        <w:t xml:space="preserve">联系电话及传真：0731-88729719 </w:t>
      </w:r>
    </w:p>
    <w:p>
      <w:pPr>
        <w:adjustRightInd w:val="0"/>
        <w:snapToGrid w:val="0"/>
        <w:spacing w:line="410" w:lineRule="exact"/>
        <w:ind w:firstLine="420" w:firstLineChars="200"/>
        <w:rPr>
          <w:color w:val="auto"/>
          <w:highlight w:val="none"/>
        </w:rPr>
      </w:pPr>
      <w:r>
        <w:rPr>
          <w:rFonts w:hint="eastAsia"/>
          <w:color w:val="auto"/>
          <w:highlight w:val="none"/>
        </w:rPr>
        <w:t>代理机构：</w:t>
      </w:r>
      <w:r>
        <w:rPr>
          <w:rFonts w:hint="eastAsia" w:ascii="宋体" w:hAnsi="宋体" w:cs="宋体"/>
          <w:color w:val="auto"/>
          <w:highlight w:val="none"/>
          <w:lang w:val="zh-TW"/>
        </w:rPr>
        <w:t>湖南中弘项目管理有限公司</w:t>
      </w:r>
    </w:p>
    <w:p>
      <w:pPr>
        <w:adjustRightInd w:val="0"/>
        <w:snapToGrid w:val="0"/>
        <w:spacing w:line="410" w:lineRule="exact"/>
        <w:ind w:firstLine="420" w:firstLineChars="200"/>
        <w:rPr>
          <w:color w:val="auto"/>
          <w:highlight w:val="none"/>
          <w:u w:val="single"/>
        </w:rPr>
      </w:pPr>
      <w:r>
        <w:rPr>
          <w:rFonts w:hint="eastAsia"/>
          <w:color w:val="auto"/>
          <w:highlight w:val="none"/>
        </w:rPr>
        <w:t>地址：</w:t>
      </w:r>
      <w:r>
        <w:rPr>
          <w:rFonts w:ascii="宋体" w:hAnsi="宋体" w:cs="宋体"/>
          <w:color w:val="auto"/>
          <w:highlight w:val="none"/>
          <w:lang w:val="zh-TW"/>
        </w:rPr>
        <w:t>长沙市岳麓区潇湘南路1段208号柏宁地王广场南栋1212室</w:t>
      </w:r>
    </w:p>
    <w:p>
      <w:pPr>
        <w:adjustRightInd w:val="0"/>
        <w:snapToGrid w:val="0"/>
        <w:spacing w:line="410" w:lineRule="exact"/>
        <w:ind w:firstLine="420" w:firstLineChars="200"/>
        <w:rPr>
          <w:rFonts w:hint="eastAsia" w:ascii="宋体" w:hAnsi="宋体" w:cs="宋体"/>
          <w:color w:val="auto"/>
          <w:highlight w:val="none"/>
          <w:lang w:val="zh-TW"/>
        </w:rPr>
      </w:pPr>
      <w:r>
        <w:rPr>
          <w:rFonts w:hint="eastAsia"/>
          <w:color w:val="auto"/>
          <w:highlight w:val="none"/>
        </w:rPr>
        <w:t>联系人：</w:t>
      </w:r>
      <w:r>
        <w:rPr>
          <w:rFonts w:hint="eastAsia" w:ascii="宋体" w:hAnsi="宋体" w:cs="宋体"/>
          <w:color w:val="auto"/>
          <w:highlight w:val="none"/>
          <w:lang w:val="zh-TW"/>
        </w:rPr>
        <w:t xml:space="preserve">陈少鹏 </w:t>
      </w:r>
    </w:p>
    <w:p>
      <w:pPr>
        <w:adjustRightInd w:val="0"/>
        <w:snapToGrid w:val="0"/>
        <w:spacing w:line="410" w:lineRule="exact"/>
        <w:ind w:firstLine="420" w:firstLineChars="200"/>
        <w:rPr>
          <w:rFonts w:hint="eastAsia" w:ascii="宋体" w:hAnsi="宋体"/>
          <w:color w:val="auto"/>
          <w:szCs w:val="21"/>
          <w:highlight w:val="none"/>
        </w:rPr>
      </w:pPr>
      <w:r>
        <w:rPr>
          <w:rFonts w:hint="eastAsia" w:ascii="宋体" w:hAnsi="宋体" w:cs="宋体"/>
          <w:color w:val="auto"/>
          <w:highlight w:val="none"/>
          <w:lang w:val="zh-TW"/>
        </w:rPr>
        <w:t>联系电话及传真：</w:t>
      </w:r>
      <w:r>
        <w:rPr>
          <w:rFonts w:hint="eastAsia" w:ascii="宋体" w:hAnsi="宋体"/>
          <w:color w:val="auto"/>
          <w:szCs w:val="21"/>
          <w:highlight w:val="none"/>
        </w:rPr>
        <w:t>0731-85058782</w:t>
      </w:r>
    </w:p>
    <w:p>
      <w:pPr>
        <w:pStyle w:val="241"/>
        <w:spacing w:line="410" w:lineRule="exact"/>
        <w:ind w:firstLine="420"/>
        <w:rPr>
          <w:rFonts w:hint="default" w:ascii="宋体" w:hAnsi="宋体" w:eastAsia="宋体" w:cs="宋体"/>
          <w:color w:val="auto"/>
          <w:highlight w:val="none"/>
          <w:lang w:val="zh-TW" w:eastAsia="zh-TW"/>
        </w:rPr>
      </w:pPr>
      <w:r>
        <w:rPr>
          <w:rFonts w:hint="default" w:ascii="宋体" w:hAnsi="宋体" w:eastAsia="宋体" w:cs="宋体"/>
          <w:color w:val="auto"/>
          <w:highlight w:val="none"/>
          <w:lang w:val="zh-TW" w:eastAsia="zh-TW"/>
        </w:rPr>
        <w:t>监管部门：审计监察部</w:t>
      </w:r>
    </w:p>
    <w:p>
      <w:pPr>
        <w:pStyle w:val="241"/>
        <w:spacing w:line="410" w:lineRule="exact"/>
        <w:ind w:firstLine="420"/>
        <w:rPr>
          <w:rFonts w:hint="default" w:ascii="宋体" w:hAnsi="宋体" w:eastAsia="宋体" w:cs="宋体"/>
          <w:color w:val="auto"/>
          <w:highlight w:val="none"/>
          <w:lang w:val="zh-TW" w:eastAsia="zh-TW"/>
        </w:rPr>
      </w:pPr>
      <w:r>
        <w:rPr>
          <w:rFonts w:hint="default" w:ascii="宋体" w:hAnsi="宋体" w:eastAsia="宋体" w:cs="宋体"/>
          <w:color w:val="auto"/>
          <w:highlight w:val="none"/>
          <w:lang w:val="zh-TW" w:eastAsia="zh-TW"/>
        </w:rPr>
        <w:t>联系人：张先生</w:t>
      </w:r>
    </w:p>
    <w:p>
      <w:pPr>
        <w:pStyle w:val="241"/>
        <w:spacing w:line="410" w:lineRule="exact"/>
        <w:ind w:firstLine="420"/>
        <w:rPr>
          <w:rFonts w:hint="default" w:ascii="宋体" w:hAnsi="宋体" w:eastAsia="宋体" w:cs="宋体"/>
          <w:color w:val="auto"/>
          <w:highlight w:val="none"/>
          <w:lang w:val="zh-TW" w:eastAsia="zh-TW"/>
        </w:rPr>
      </w:pPr>
      <w:r>
        <w:rPr>
          <w:rFonts w:hint="default" w:ascii="宋体" w:hAnsi="宋体" w:eastAsia="宋体" w:cs="宋体"/>
          <w:color w:val="auto"/>
          <w:highlight w:val="none"/>
          <w:lang w:val="zh-TW" w:eastAsia="zh-TW"/>
        </w:rPr>
        <w:t>电话：0731-85581812</w:t>
      </w:r>
    </w:p>
    <w:p>
      <w:pPr>
        <w:pStyle w:val="241"/>
        <w:spacing w:line="410" w:lineRule="exact"/>
        <w:ind w:firstLine="420"/>
        <w:rPr>
          <w:rFonts w:hint="default" w:ascii="宋体" w:hAnsi="宋体" w:eastAsia="宋体" w:cs="宋体"/>
          <w:color w:val="auto"/>
          <w:highlight w:val="none"/>
          <w:lang w:val="zh-TW" w:eastAsia="zh-TW"/>
        </w:rPr>
      </w:pPr>
    </w:p>
    <w:p>
      <w:pPr>
        <w:pStyle w:val="23"/>
        <w:jc w:val="center"/>
        <w:rPr>
          <w:rFonts w:ascii="黑体" w:eastAsia="黑体"/>
          <w:b/>
          <w:color w:val="auto"/>
          <w:sz w:val="32"/>
          <w:szCs w:val="32"/>
          <w:highlight w:val="none"/>
        </w:rPr>
      </w:pPr>
      <w:r>
        <w:rPr>
          <w:rFonts w:hint="eastAsia" w:ascii="黑体" w:eastAsia="黑体"/>
          <w:b/>
          <w:color w:val="auto"/>
          <w:sz w:val="32"/>
          <w:szCs w:val="32"/>
          <w:highlight w:val="none"/>
        </w:rPr>
        <w:br w:type="page"/>
      </w:r>
      <w:r>
        <w:rPr>
          <w:rFonts w:hint="eastAsia" w:ascii="黑体" w:eastAsia="黑体"/>
          <w:b/>
          <w:color w:val="auto"/>
          <w:sz w:val="32"/>
          <w:szCs w:val="32"/>
          <w:highlight w:val="none"/>
        </w:rPr>
        <w:t>第二章 磋商须知</w:t>
      </w:r>
    </w:p>
    <w:p>
      <w:pPr>
        <w:pStyle w:val="23"/>
        <w:jc w:val="center"/>
        <w:rPr>
          <w:rFonts w:ascii="黑体" w:eastAsia="黑体"/>
          <w:b/>
          <w:color w:val="auto"/>
          <w:sz w:val="24"/>
          <w:szCs w:val="24"/>
          <w:highlight w:val="none"/>
        </w:rPr>
      </w:pPr>
      <w:r>
        <w:rPr>
          <w:rFonts w:hint="eastAsia" w:ascii="黑体" w:eastAsia="黑体"/>
          <w:b/>
          <w:color w:val="auto"/>
          <w:sz w:val="24"/>
          <w:szCs w:val="24"/>
          <w:highlight w:val="none"/>
        </w:rPr>
        <w:t>磋商须知前附表</w:t>
      </w:r>
    </w:p>
    <w:p>
      <w:pPr>
        <w:pStyle w:val="23"/>
        <w:jc w:val="right"/>
        <w:rPr>
          <w:rFonts w:ascii="楷体_GB2312" w:hAnsi="宋体" w:eastAsia="楷体_GB2312"/>
          <w:color w:val="auto"/>
          <w:highlight w:val="none"/>
        </w:rPr>
      </w:pPr>
      <w:r>
        <w:rPr>
          <w:rFonts w:hint="eastAsia" w:ascii="楷体_GB2312" w:hAnsi="宋体" w:eastAsia="楷体_GB2312"/>
          <w:color w:val="auto"/>
          <w:highlight w:val="none"/>
        </w:rPr>
        <w:t>（本项目采用的条款用“■”标示）</w:t>
      </w:r>
    </w:p>
    <w:tbl>
      <w:tblPr>
        <w:tblStyle w:val="41"/>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1786"/>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blHeader/>
          <w:jc w:val="center"/>
        </w:trPr>
        <w:tc>
          <w:tcPr>
            <w:tcW w:w="1783" w:type="dxa"/>
            <w:noWrap/>
            <w:vAlign w:val="center"/>
          </w:tcPr>
          <w:p>
            <w:pPr>
              <w:adjustRightInd w:val="0"/>
              <w:snapToGrid w:val="0"/>
              <w:spacing w:line="360" w:lineRule="exact"/>
              <w:jc w:val="center"/>
              <w:rPr>
                <w:rFonts w:ascii="宋体" w:hAnsi="宋体"/>
                <w:b/>
                <w:color w:val="auto"/>
                <w:szCs w:val="21"/>
                <w:highlight w:val="none"/>
              </w:rPr>
            </w:pPr>
            <w:r>
              <w:rPr>
                <w:rFonts w:hint="eastAsia" w:ascii="宋体" w:hAnsi="宋体"/>
                <w:b/>
                <w:color w:val="auto"/>
                <w:szCs w:val="21"/>
                <w:highlight w:val="none"/>
              </w:rPr>
              <w:t>条款号</w:t>
            </w:r>
          </w:p>
        </w:tc>
        <w:tc>
          <w:tcPr>
            <w:tcW w:w="1786" w:type="dxa"/>
            <w:noWrap/>
            <w:vAlign w:val="center"/>
          </w:tcPr>
          <w:p>
            <w:pPr>
              <w:adjustRightInd w:val="0"/>
              <w:snapToGrid w:val="0"/>
              <w:spacing w:line="360" w:lineRule="exact"/>
              <w:jc w:val="center"/>
              <w:rPr>
                <w:rFonts w:ascii="宋体" w:hAnsi="宋体"/>
                <w:b/>
                <w:color w:val="auto"/>
                <w:szCs w:val="21"/>
                <w:highlight w:val="none"/>
              </w:rPr>
            </w:pPr>
            <w:r>
              <w:rPr>
                <w:rFonts w:hint="eastAsia" w:ascii="宋体" w:hAnsi="宋体"/>
                <w:b/>
                <w:color w:val="auto"/>
                <w:szCs w:val="21"/>
                <w:highlight w:val="none"/>
              </w:rPr>
              <w:t>条款名称</w:t>
            </w:r>
          </w:p>
        </w:tc>
        <w:tc>
          <w:tcPr>
            <w:tcW w:w="5890" w:type="dxa"/>
            <w:noWrap/>
            <w:vAlign w:val="center"/>
          </w:tcPr>
          <w:p>
            <w:pPr>
              <w:adjustRightInd w:val="0"/>
              <w:snapToGrid w:val="0"/>
              <w:spacing w:line="360" w:lineRule="exact"/>
              <w:jc w:val="center"/>
              <w:rPr>
                <w:rFonts w:ascii="宋体" w:hAnsi="宋体"/>
                <w:b/>
                <w:color w:val="auto"/>
                <w:szCs w:val="21"/>
                <w:highlight w:val="none"/>
              </w:rPr>
            </w:pPr>
            <w:r>
              <w:rPr>
                <w:rFonts w:hint="eastAsia" w:ascii="宋体" w:hAnsi="宋体"/>
                <w:b/>
                <w:color w:val="auto"/>
                <w:szCs w:val="21"/>
                <w:highlight w:val="none"/>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9459" w:type="dxa"/>
            <w:gridSpan w:val="3"/>
            <w:noWrap/>
            <w:vAlign w:val="center"/>
          </w:tcPr>
          <w:p>
            <w:pPr>
              <w:adjustRightInd w:val="0"/>
              <w:snapToGrid w:val="0"/>
              <w:spacing w:line="360" w:lineRule="exact"/>
              <w:rPr>
                <w:rFonts w:ascii="宋体" w:hAnsi="宋体"/>
                <w:color w:val="auto"/>
                <w:szCs w:val="21"/>
                <w:highlight w:val="none"/>
              </w:rPr>
            </w:pPr>
            <w:r>
              <w:rPr>
                <w:rFonts w:hint="eastAsia" w:ascii="宋体" w:hAnsi="宋体"/>
                <w:b/>
                <w:color w:val="auto"/>
                <w:szCs w:val="21"/>
                <w:highlight w:val="none"/>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采购项目</w:t>
            </w:r>
          </w:p>
        </w:tc>
        <w:tc>
          <w:tcPr>
            <w:tcW w:w="5890" w:type="dxa"/>
            <w:noWrap/>
            <w:vAlign w:val="center"/>
          </w:tcPr>
          <w:p>
            <w:pPr>
              <w:adjustRightInd w:val="0"/>
              <w:snapToGrid w:val="0"/>
              <w:spacing w:line="360" w:lineRule="exact"/>
              <w:rPr>
                <w:rFonts w:hint="eastAsia" w:eastAsia="宋体"/>
                <w:color w:val="auto"/>
                <w:highlight w:val="none"/>
                <w:lang w:eastAsia="zh-CN"/>
              </w:rPr>
            </w:pPr>
            <w:r>
              <w:rPr>
                <w:rFonts w:hint="eastAsia"/>
                <w:color w:val="auto"/>
                <w:highlight w:val="none"/>
                <w:lang w:eastAsia="zh-CN"/>
              </w:rPr>
              <w:t>湖南智谷鑫服物业管理有限公司电梯维保服务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采购人</w:t>
            </w:r>
          </w:p>
        </w:tc>
        <w:tc>
          <w:tcPr>
            <w:tcW w:w="5890" w:type="dxa"/>
            <w:noWrap/>
            <w:vAlign w:val="center"/>
          </w:tcPr>
          <w:p>
            <w:pPr>
              <w:adjustRightInd w:val="0"/>
              <w:snapToGrid w:val="0"/>
              <w:spacing w:line="360" w:lineRule="exact"/>
              <w:rPr>
                <w:rFonts w:hint="eastAsia" w:ascii="宋体" w:hAnsi="宋体" w:eastAsia="宋体"/>
                <w:color w:val="auto"/>
                <w:szCs w:val="21"/>
                <w:highlight w:val="none"/>
                <w:lang w:val="zh-TW" w:eastAsia="zh-CN"/>
              </w:rPr>
            </w:pPr>
            <w:r>
              <w:rPr>
                <w:rFonts w:hint="eastAsia" w:ascii="宋体" w:hAnsi="宋体"/>
                <w:color w:val="auto"/>
                <w:szCs w:val="21"/>
                <w:highlight w:val="none"/>
              </w:rPr>
              <w:t>名称：</w:t>
            </w:r>
            <w:r>
              <w:rPr>
                <w:rFonts w:hint="eastAsia" w:ascii="宋体" w:hAnsi="宋体"/>
                <w:color w:val="auto"/>
                <w:szCs w:val="21"/>
                <w:highlight w:val="none"/>
                <w:lang w:val="zh-TW" w:eastAsia="zh-CN"/>
              </w:rPr>
              <w:t>湖南智谷投资发展集团有限公司</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lang w:val="zh-TW" w:eastAsia="zh-TW"/>
              </w:rPr>
              <w:t>地址：长沙市岳麓区学士街道学士路8号岳麓高新区管委会大楼</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xml:space="preserve">电话：0731-88729719 </w:t>
            </w:r>
          </w:p>
          <w:p>
            <w:pPr>
              <w:adjustRightInd w:val="0"/>
              <w:snapToGrid w:val="0"/>
              <w:spacing w:line="360" w:lineRule="exact"/>
              <w:rPr>
                <w:rFonts w:hint="eastAsia" w:eastAsia="宋体"/>
                <w:color w:val="auto"/>
                <w:szCs w:val="21"/>
                <w:highlight w:val="none"/>
                <w:lang w:val="en-US" w:eastAsia="zh-CN"/>
              </w:rPr>
            </w:pPr>
            <w:r>
              <w:rPr>
                <w:rFonts w:hint="eastAsia" w:ascii="宋体" w:hAnsi="宋体"/>
                <w:color w:val="auto"/>
                <w:szCs w:val="21"/>
                <w:highlight w:val="none"/>
              </w:rPr>
              <w:t>联系人：</w:t>
            </w:r>
            <w:r>
              <w:rPr>
                <w:rFonts w:hint="eastAsia" w:ascii="宋体" w:hAnsi="宋体"/>
                <w:color w:val="auto"/>
                <w:szCs w:val="21"/>
                <w:highlight w:val="none"/>
                <w:lang w:val="en-US" w:eastAsia="zh-CN"/>
              </w:rPr>
              <w:t>戴先生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第二章第2.2款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采购代理机构</w:t>
            </w:r>
          </w:p>
        </w:tc>
        <w:tc>
          <w:tcPr>
            <w:tcW w:w="5890" w:type="dxa"/>
            <w:noWrap/>
            <w:vAlign w:val="center"/>
          </w:tcPr>
          <w:p>
            <w:pPr>
              <w:adjustRightInd w:val="0"/>
              <w:snapToGrid w:val="0"/>
              <w:spacing w:line="360" w:lineRule="exact"/>
              <w:rPr>
                <w:rFonts w:ascii="宋体" w:hAnsi="宋体"/>
                <w:color w:val="auto"/>
                <w:szCs w:val="21"/>
                <w:highlight w:val="none"/>
                <w:u w:val="single"/>
              </w:rPr>
            </w:pPr>
            <w:r>
              <w:rPr>
                <w:rFonts w:hint="eastAsia" w:ascii="宋体" w:hAnsi="宋体"/>
                <w:color w:val="auto"/>
                <w:szCs w:val="21"/>
                <w:highlight w:val="none"/>
              </w:rPr>
              <w:t>名称：</w:t>
            </w:r>
            <w:r>
              <w:rPr>
                <w:rFonts w:hint="eastAsia" w:ascii="宋体" w:hAnsi="宋体" w:cs="宋体"/>
                <w:color w:val="auto"/>
                <w:highlight w:val="none"/>
                <w:lang w:val="zh-TW"/>
              </w:rPr>
              <w:t>湖南中弘项目管理有限公司</w:t>
            </w:r>
          </w:p>
          <w:p>
            <w:pPr>
              <w:adjustRightInd w:val="0"/>
              <w:snapToGrid w:val="0"/>
              <w:spacing w:line="360" w:lineRule="exact"/>
              <w:rPr>
                <w:rFonts w:ascii="宋体" w:hAnsi="宋体" w:cs="宋体"/>
                <w:color w:val="auto"/>
                <w:highlight w:val="none"/>
                <w:lang w:val="zh-TW"/>
              </w:rPr>
            </w:pPr>
            <w:r>
              <w:rPr>
                <w:rFonts w:hint="eastAsia" w:ascii="宋体" w:hAnsi="宋体"/>
                <w:color w:val="auto"/>
                <w:szCs w:val="21"/>
                <w:highlight w:val="none"/>
              </w:rPr>
              <w:t>地址：</w:t>
            </w:r>
            <w:r>
              <w:rPr>
                <w:rFonts w:ascii="宋体" w:hAnsi="宋体" w:cs="宋体"/>
                <w:color w:val="auto"/>
                <w:highlight w:val="none"/>
                <w:lang w:val="zh-TW"/>
              </w:rPr>
              <w:t>长沙市岳麓区潇湘南路1段208号柏宁地王广场</w:t>
            </w:r>
          </w:p>
          <w:p>
            <w:pPr>
              <w:adjustRightInd w:val="0"/>
              <w:snapToGrid w:val="0"/>
              <w:spacing w:line="360" w:lineRule="exact"/>
              <w:ind w:firstLine="630" w:firstLineChars="300"/>
              <w:rPr>
                <w:rFonts w:ascii="宋体" w:hAnsi="宋体"/>
                <w:color w:val="auto"/>
                <w:szCs w:val="21"/>
                <w:highlight w:val="none"/>
                <w:u w:val="single"/>
              </w:rPr>
            </w:pPr>
            <w:r>
              <w:rPr>
                <w:rFonts w:ascii="宋体" w:hAnsi="宋体" w:cs="宋体"/>
                <w:color w:val="auto"/>
                <w:highlight w:val="none"/>
                <w:lang w:val="zh-TW"/>
              </w:rPr>
              <w:t>南栋1212室</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电话：0731-85058782</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highlight w:val="none"/>
                <w:lang w:val="zh-TW"/>
              </w:rPr>
              <w:t xml:space="preserve">陈少鹏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第二章第2.3款</w:t>
            </w:r>
          </w:p>
        </w:tc>
        <w:tc>
          <w:tcPr>
            <w:tcW w:w="1786" w:type="dxa"/>
            <w:noWrap/>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供应商的</w:t>
            </w:r>
          </w:p>
          <w:p>
            <w:pPr>
              <w:adjustRightInd w:val="0"/>
              <w:snapToGrid w:val="0"/>
              <w:spacing w:line="360" w:lineRule="exact"/>
              <w:jc w:val="center"/>
              <w:rPr>
                <w:rFonts w:ascii="宋体" w:hAnsi="宋体"/>
                <w:bCs/>
                <w:color w:val="auto"/>
                <w:szCs w:val="21"/>
                <w:highlight w:val="none"/>
              </w:rPr>
            </w:pPr>
            <w:r>
              <w:rPr>
                <w:rFonts w:hint="eastAsia" w:ascii="宋体" w:hAnsi="宋体"/>
                <w:color w:val="auto"/>
                <w:szCs w:val="21"/>
                <w:highlight w:val="none"/>
              </w:rPr>
              <w:t>邀请方式</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楷体_GB2312" w:hAnsi="宋体" w:eastAsia="楷体_GB2312"/>
                <w:color w:val="auto"/>
                <w:highlight w:val="none"/>
              </w:rPr>
              <w:t>■</w:t>
            </w:r>
            <w:r>
              <w:rPr>
                <w:rFonts w:hint="eastAsia" w:ascii="宋体" w:hAnsi="宋体"/>
                <w:color w:val="auto"/>
                <w:szCs w:val="21"/>
                <w:highlight w:val="none"/>
              </w:rPr>
              <w:t xml:space="preserve"> 发布公告</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从省级以上财政部门建立的供应商库中随机抽取</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采购人和评审专家分别书面推荐的方式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第二章第3.1款</w:t>
            </w:r>
          </w:p>
          <w:p>
            <w:pPr>
              <w:adjustRightInd w:val="0"/>
              <w:snapToGrid w:val="0"/>
              <w:spacing w:line="360" w:lineRule="exact"/>
              <w:jc w:val="center"/>
              <w:rPr>
                <w:rFonts w:ascii="宋体" w:hAnsi="宋体"/>
                <w:color w:val="auto"/>
                <w:szCs w:val="21"/>
                <w:highlight w:val="none"/>
              </w:rPr>
            </w:pPr>
          </w:p>
        </w:tc>
        <w:tc>
          <w:tcPr>
            <w:tcW w:w="1786" w:type="dxa"/>
            <w:noWrap/>
            <w:vAlign w:val="center"/>
          </w:tcPr>
          <w:p>
            <w:pPr>
              <w:adjustRightInd w:val="0"/>
              <w:snapToGrid w:val="0"/>
              <w:spacing w:line="360" w:lineRule="exact"/>
              <w:jc w:val="center"/>
              <w:rPr>
                <w:rFonts w:ascii="宋体" w:hAnsi="宋体"/>
                <w:bCs/>
                <w:color w:val="auto"/>
                <w:szCs w:val="21"/>
                <w:highlight w:val="none"/>
              </w:rPr>
            </w:pPr>
            <w:r>
              <w:rPr>
                <w:rFonts w:hint="eastAsia" w:ascii="宋体" w:hAnsi="宋体"/>
                <w:bCs/>
                <w:color w:val="auto"/>
                <w:szCs w:val="21"/>
                <w:highlight w:val="none"/>
              </w:rPr>
              <w:t>供应商</w:t>
            </w:r>
          </w:p>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资格条件</w:t>
            </w:r>
          </w:p>
          <w:p>
            <w:pPr>
              <w:adjustRightInd w:val="0"/>
              <w:snapToGrid w:val="0"/>
              <w:spacing w:line="360" w:lineRule="exact"/>
              <w:jc w:val="center"/>
              <w:rPr>
                <w:rFonts w:ascii="宋体" w:hAnsi="宋体"/>
                <w:color w:val="auto"/>
                <w:szCs w:val="21"/>
                <w:highlight w:val="none"/>
              </w:rPr>
            </w:pPr>
          </w:p>
        </w:tc>
        <w:tc>
          <w:tcPr>
            <w:tcW w:w="5890" w:type="dxa"/>
            <w:noWrap/>
            <w:vAlign w:val="center"/>
          </w:tcPr>
          <w:p>
            <w:pPr>
              <w:adjustRightInd w:val="0"/>
              <w:snapToGrid w:val="0"/>
              <w:spacing w:line="360" w:lineRule="exact"/>
              <w:rPr>
                <w:color w:val="auto"/>
                <w:highlight w:val="none"/>
              </w:rPr>
            </w:pPr>
            <w:r>
              <w:rPr>
                <w:rFonts w:hint="eastAsia"/>
                <w:color w:val="auto"/>
                <w:highlight w:val="none"/>
              </w:rPr>
              <w:t>1、基本资格条件：符合《中华人民共和国政府采购法》第二十二条规定的供应商条件，并提供以下资格证明文件：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（1）法人提交企业法人营业执照副本(或者法人登记证书)以及组织机构代码证副本复印件；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（2）依法缴纳税收和社会保险费的证明材料,各提供下列材料之一：</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（3）法人提交法定代表人身份证明书原件或者法定代表人授权委托书原件及提供被授权人在供应商单位近三个月的社保证明并附法定代表人身份证明原件；自然人提交身份证明复印件。</w:t>
            </w:r>
          </w:p>
          <w:p>
            <w:pPr>
              <w:adjustRightInd w:val="0"/>
              <w:snapToGrid w:val="0"/>
              <w:spacing w:line="41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（4）参加采购活动前三年内在经营活动中没有重大违法记录的书面声明。</w:t>
            </w:r>
          </w:p>
          <w:p>
            <w:pPr>
              <w:adjustRightInd w:val="0"/>
              <w:snapToGrid w:val="0"/>
              <w:spacing w:line="410" w:lineRule="exact"/>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（5）提供2020年度经会计师事务所审计的财务报告复印件（至少包含资产负债表、利润表和现金流量表），成立不满一年的单位提供银行出具的资信证明。</w:t>
            </w:r>
          </w:p>
          <w:p>
            <w:pPr>
              <w:adjustRightInd w:val="0"/>
              <w:snapToGrid w:val="0"/>
              <w:spacing w:line="410" w:lineRule="exact"/>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对列入失信被执行人、重大税收违法案件当事人名单、政府采购严重违法失信行为记录名单及其他不符合《中华人民共和国政府采购法》第二十二条规定条件的供应商，将被拒绝其参与政府采购活动。信用信息查询的查询渠道为“信用中国”网站（www.creditchina.gov.cn）、中国政府采购网（www.ccgp.gov.cn）；信用信息查询的截止时点为至项目提交首次响应文件的截止时间止；信用信息查询记录的具体方式为采购人及代理机构在规定的查询渠道进行查询；信用信息查询记录证据留存的具体方式为查询记录的网上打印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）其他说明：</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①非法人组织参与投标需提供的相关证明材料。</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供应商如是“三证合一</w:t>
            </w:r>
            <w:r>
              <w:rPr>
                <w:rFonts w:ascii="宋体" w:hAnsi="宋体"/>
                <w:color w:val="auto"/>
                <w:szCs w:val="21"/>
                <w:highlight w:val="none"/>
              </w:rPr>
              <w:t>”</w:t>
            </w:r>
            <w:r>
              <w:rPr>
                <w:rFonts w:hint="eastAsia" w:ascii="宋体" w:hAnsi="宋体"/>
                <w:color w:val="auto"/>
                <w:szCs w:val="21"/>
                <w:highlight w:val="none"/>
              </w:rPr>
              <w:t>或</w:t>
            </w:r>
            <w:r>
              <w:rPr>
                <w:rFonts w:ascii="宋体" w:hAnsi="宋体"/>
                <w:color w:val="auto"/>
                <w:szCs w:val="21"/>
                <w:highlight w:val="none"/>
              </w:rPr>
              <w:t>”</w:t>
            </w:r>
            <w:r>
              <w:rPr>
                <w:rFonts w:hint="eastAsia" w:ascii="宋体" w:hAnsi="宋体"/>
                <w:color w:val="auto"/>
                <w:szCs w:val="21"/>
                <w:highlight w:val="none"/>
              </w:rPr>
              <w:t>五证合一”请自行说明。</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③基本资格条件中所提到的“近三个月”指“</w:t>
            </w:r>
            <w:r>
              <w:rPr>
                <w:rFonts w:hint="eastAsia" w:ascii="宋体" w:hAnsi="宋体" w:cs="宋体"/>
                <w:color w:val="auto"/>
                <w:szCs w:val="21"/>
                <w:highlight w:val="none"/>
              </w:rPr>
              <w:t>2021年</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月-2021年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月中任意连续三个月</w:t>
            </w:r>
            <w:r>
              <w:rPr>
                <w:rFonts w:hint="eastAsia" w:ascii="宋体" w:hAnsi="宋体"/>
                <w:color w:val="auto"/>
                <w:szCs w:val="21"/>
                <w:highlight w:val="none"/>
              </w:rPr>
              <w:t>”。</w:t>
            </w:r>
          </w:p>
          <w:p>
            <w:pPr>
              <w:numPr>
                <w:ilvl w:val="0"/>
                <w:numId w:val="0"/>
              </w:numPr>
              <w:adjustRightInd w:val="0"/>
              <w:snapToGrid w:val="0"/>
              <w:spacing w:line="410" w:lineRule="exact"/>
              <w:rPr>
                <w:rFonts w:ascii="宋体" w:hAnsi="宋体"/>
                <w:color w:val="auto"/>
                <w:kern w:val="2"/>
                <w:sz w:val="21"/>
                <w:szCs w:val="21"/>
                <w:highlight w:val="none"/>
                <w:lang w:val="zh-TW"/>
              </w:rPr>
            </w:pPr>
            <w:r>
              <w:rPr>
                <w:rFonts w:hint="eastAsia" w:ascii="宋体" w:hAnsi="宋体"/>
                <w:color w:val="auto"/>
                <w:szCs w:val="21"/>
                <w:highlight w:val="none"/>
                <w:lang w:val="en-US" w:eastAsia="zh-CN"/>
              </w:rPr>
              <w:t>2、</w:t>
            </w:r>
            <w:r>
              <w:rPr>
                <w:rFonts w:hint="eastAsia" w:ascii="宋体" w:hAnsi="宋体"/>
                <w:color w:val="auto"/>
                <w:szCs w:val="21"/>
                <w:highlight w:val="none"/>
              </w:rPr>
              <w:t>供应商特定资格条件：</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中华人民共和国特种设备生产许可证</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(电梯）。</w:t>
            </w:r>
          </w:p>
          <w:p>
            <w:pPr>
              <w:adjustRightInd w:val="0"/>
              <w:snapToGrid w:val="0"/>
              <w:spacing w:line="410" w:lineRule="exact"/>
              <w:rPr>
                <w:color w:val="auto"/>
                <w:highlight w:val="none"/>
              </w:rPr>
            </w:pPr>
            <w:r>
              <w:rPr>
                <w:rFonts w:hint="eastAsia" w:ascii="宋体" w:hAnsi="宋体"/>
                <w:color w:val="auto"/>
                <w:szCs w:val="21"/>
                <w:highlight w:val="none"/>
              </w:rPr>
              <w:t>3、资格证明文件复印件须加盖供应商公章。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第二章第6.1款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联合体形式</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楷体_GB2312" w:hAnsi="宋体" w:eastAsia="楷体_GB2312"/>
                <w:color w:val="auto"/>
                <w:highlight w:val="none"/>
              </w:rPr>
              <w:t>■</w:t>
            </w:r>
            <w:r>
              <w:rPr>
                <w:rFonts w:hint="eastAsia" w:ascii="宋体" w:hAnsi="宋体"/>
                <w:color w:val="auto"/>
                <w:szCs w:val="21"/>
                <w:highlight w:val="none"/>
              </w:rPr>
              <w:t xml:space="preserve"> 不接受</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第二章第7.1款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现场勘察</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楷体_GB2312" w:hAnsi="宋体" w:eastAsia="楷体_GB2312"/>
                <w:color w:val="auto"/>
                <w:highlight w:val="none"/>
              </w:rPr>
              <w:t xml:space="preserve">■ </w:t>
            </w:r>
            <w:r>
              <w:rPr>
                <w:rFonts w:hint="eastAsia" w:ascii="宋体" w:hAnsi="宋体"/>
                <w:color w:val="auto"/>
                <w:szCs w:val="21"/>
                <w:highlight w:val="none"/>
              </w:rPr>
              <w:t>采购人不组织</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采购人组织，时间：地点：联系人：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第二章第8.1款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采购进口产品</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楷体_GB2312" w:hAnsi="宋体" w:eastAsia="楷体_GB2312"/>
                <w:color w:val="auto"/>
                <w:highlight w:val="none"/>
              </w:rPr>
              <w:t xml:space="preserve">■ </w:t>
            </w:r>
            <w:r>
              <w:rPr>
                <w:rFonts w:hint="eastAsia" w:ascii="宋体" w:hAnsi="宋体"/>
                <w:color w:val="auto"/>
                <w:szCs w:val="21"/>
                <w:highlight w:val="none"/>
              </w:rPr>
              <w:t>本项目拒绝采购进口产品</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本项目已经财政部门审核同意购买进口产品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第二章第9.1款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政府采购强制采购：1、强制采购的节能产品；</w:t>
            </w:r>
          </w:p>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2、其他。</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楷体_GB2312" w:hAnsi="宋体" w:eastAsia="楷体_GB2312"/>
                <w:color w:val="auto"/>
                <w:highlight w:val="none"/>
              </w:rPr>
              <w:t>■</w:t>
            </w:r>
            <w:r>
              <w:rPr>
                <w:rFonts w:hint="eastAsia" w:ascii="宋体" w:hAnsi="宋体"/>
                <w:color w:val="auto"/>
                <w:szCs w:val="21"/>
                <w:highlight w:val="none"/>
              </w:rPr>
              <w:t xml:space="preserve"> 否</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是，采购《节能产品政府采购品目清单》内标记★符号的节能产品。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第二章第9.2款</w:t>
            </w:r>
          </w:p>
        </w:tc>
        <w:tc>
          <w:tcPr>
            <w:tcW w:w="1786"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政府采购优先采购：</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1、非强制采购的节能产品；</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2、环境标志产品；3、两型产品；</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4、</w:t>
            </w:r>
            <w:r>
              <w:rPr>
                <w:rFonts w:hint="eastAsia" w:ascii="宋体" w:hAnsi="宋体" w:cs="宋体"/>
                <w:bCs/>
                <w:color w:val="auto"/>
                <w:kern w:val="0"/>
                <w:szCs w:val="21"/>
                <w:highlight w:val="none"/>
              </w:rPr>
              <w:t>支持</w:t>
            </w:r>
            <w:r>
              <w:rPr>
                <w:rFonts w:hint="eastAsia" w:ascii="宋体" w:hAnsi="宋体"/>
                <w:color w:val="auto"/>
                <w:szCs w:val="21"/>
                <w:highlight w:val="none"/>
              </w:rPr>
              <w:t>小微、残疾、监狱企业发展；</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5、其他。</w:t>
            </w:r>
          </w:p>
        </w:tc>
        <w:tc>
          <w:tcPr>
            <w:tcW w:w="5890" w:type="dxa"/>
            <w:noWrap/>
            <w:vAlign w:val="center"/>
          </w:tcPr>
          <w:p>
            <w:pPr>
              <w:adjustRightInd w:val="0"/>
              <w:snapToGrid w:val="0"/>
              <w:spacing w:line="360" w:lineRule="exact"/>
              <w:rPr>
                <w:color w:val="auto"/>
                <w:highlight w:val="none"/>
              </w:rPr>
            </w:pPr>
            <w:r>
              <w:rPr>
                <w:rFonts w:hint="eastAsia"/>
                <w:color w:val="auto"/>
                <w:highlight w:val="none"/>
              </w:rPr>
              <w:t xml:space="preserve">1、采购产品为《节能产品政府采购品目清单》(最新一期)内非标记★符号的，分别给予技术和价格项标准总分值4%-8%的加分。本项目具体加分比例分别为 ：技术 </w:t>
            </w:r>
            <w:r>
              <w:rPr>
                <w:rFonts w:hint="eastAsia"/>
                <w:color w:val="auto"/>
                <w:highlight w:val="none"/>
                <w:lang w:val="en-US" w:eastAsia="zh-CN"/>
              </w:rPr>
              <w:t>/</w:t>
            </w:r>
            <w:r>
              <w:rPr>
                <w:rFonts w:hint="eastAsia"/>
                <w:color w:val="auto"/>
                <w:highlight w:val="none"/>
              </w:rPr>
              <w:t xml:space="preserve"> %、价格 </w:t>
            </w:r>
            <w:r>
              <w:rPr>
                <w:rFonts w:hint="eastAsia"/>
                <w:color w:val="auto"/>
                <w:highlight w:val="none"/>
                <w:lang w:val="en-US" w:eastAsia="zh-CN"/>
              </w:rPr>
              <w:t>/</w:t>
            </w:r>
            <w:r>
              <w:rPr>
                <w:rFonts w:hint="eastAsia"/>
                <w:color w:val="auto"/>
                <w:highlight w:val="none"/>
              </w:rPr>
              <w:t xml:space="preserve"> %。</w:t>
            </w:r>
          </w:p>
          <w:p>
            <w:pPr>
              <w:adjustRightInd w:val="0"/>
              <w:snapToGrid w:val="0"/>
              <w:spacing w:line="360" w:lineRule="exact"/>
              <w:rPr>
                <w:color w:val="auto"/>
                <w:highlight w:val="none"/>
              </w:rPr>
            </w:pPr>
            <w:r>
              <w:rPr>
                <w:rFonts w:hint="eastAsia"/>
                <w:color w:val="auto"/>
                <w:highlight w:val="none"/>
              </w:rPr>
              <w:t xml:space="preserve">2、采购产品为《环境标志产品政府采购品目清单》内的，分别给予技术和价格项标准总分值4%-8%的加分。本项目具体加分比例分别为 ：技术 </w:t>
            </w:r>
            <w:r>
              <w:rPr>
                <w:rFonts w:hint="eastAsia"/>
                <w:color w:val="auto"/>
                <w:highlight w:val="none"/>
                <w:lang w:val="en-US" w:eastAsia="zh-CN"/>
              </w:rPr>
              <w:t>/</w:t>
            </w:r>
            <w:r>
              <w:rPr>
                <w:rFonts w:hint="eastAsia"/>
                <w:color w:val="auto"/>
                <w:highlight w:val="none"/>
              </w:rPr>
              <w:t xml:space="preserve"> %、价格 </w:t>
            </w:r>
            <w:r>
              <w:rPr>
                <w:rFonts w:hint="eastAsia"/>
                <w:color w:val="auto"/>
                <w:highlight w:val="none"/>
                <w:lang w:val="en-US" w:eastAsia="zh-CN"/>
              </w:rPr>
              <w:t>/</w:t>
            </w:r>
            <w:r>
              <w:rPr>
                <w:rFonts w:hint="eastAsia"/>
                <w:color w:val="auto"/>
                <w:highlight w:val="none"/>
              </w:rPr>
              <w:t>%。</w:t>
            </w:r>
          </w:p>
          <w:p>
            <w:pPr>
              <w:adjustRightInd w:val="0"/>
              <w:snapToGrid w:val="0"/>
              <w:spacing w:line="360" w:lineRule="exact"/>
              <w:rPr>
                <w:color w:val="auto"/>
                <w:highlight w:val="none"/>
              </w:rPr>
            </w:pPr>
            <w:r>
              <w:rPr>
                <w:rFonts w:hint="eastAsia"/>
                <w:color w:val="auto"/>
                <w:highlight w:val="none"/>
              </w:rPr>
              <w:t>3、采购产品为《湖南省政府采购两型产品目录》或《长沙市两型产品目录》内的：</w:t>
            </w:r>
          </w:p>
          <w:p>
            <w:pPr>
              <w:adjustRightInd w:val="0"/>
              <w:snapToGrid w:val="0"/>
              <w:spacing w:line="360" w:lineRule="exact"/>
              <w:rPr>
                <w:color w:val="auto"/>
                <w:highlight w:val="none"/>
              </w:rPr>
            </w:pPr>
            <w:r>
              <w:rPr>
                <w:rFonts w:hint="eastAsia"/>
                <w:color w:val="auto"/>
                <w:highlight w:val="none"/>
              </w:rPr>
              <w:t xml:space="preserve">（1）分别给予技术和价格项标准总分值4%-8%的加分，本项目具体加分比例分别为 ：技术 </w:t>
            </w:r>
            <w:r>
              <w:rPr>
                <w:rFonts w:hint="eastAsia"/>
                <w:color w:val="auto"/>
                <w:highlight w:val="none"/>
                <w:lang w:val="en-US" w:eastAsia="zh-CN"/>
              </w:rPr>
              <w:t>/</w:t>
            </w:r>
            <w:r>
              <w:rPr>
                <w:rFonts w:hint="eastAsia"/>
                <w:color w:val="auto"/>
                <w:highlight w:val="none"/>
              </w:rPr>
              <w:t xml:space="preserve"> %、价格 </w:t>
            </w:r>
            <w:r>
              <w:rPr>
                <w:rFonts w:hint="eastAsia"/>
                <w:color w:val="auto"/>
                <w:highlight w:val="none"/>
                <w:lang w:val="en-US" w:eastAsia="zh-CN"/>
              </w:rPr>
              <w:t>/</w:t>
            </w:r>
            <w:r>
              <w:rPr>
                <w:rFonts w:hint="eastAsia"/>
                <w:color w:val="auto"/>
                <w:highlight w:val="none"/>
              </w:rPr>
              <w:t xml:space="preserve">  %。</w:t>
            </w:r>
          </w:p>
          <w:p>
            <w:pPr>
              <w:adjustRightInd w:val="0"/>
              <w:snapToGrid w:val="0"/>
              <w:spacing w:line="360" w:lineRule="exact"/>
              <w:rPr>
                <w:color w:val="auto"/>
                <w:highlight w:val="none"/>
              </w:rPr>
            </w:pPr>
            <w:r>
              <w:rPr>
                <w:rFonts w:hint="eastAsia"/>
                <w:color w:val="auto"/>
                <w:highlight w:val="none"/>
              </w:rPr>
              <w:t xml:space="preserve">（2）对在本地设有生产基地和备品备件库、有售后服务机构和网点的两型产品，给予商务评标总分值4%-8%的加分，本项目具体加分比例为 </w:t>
            </w:r>
            <w:r>
              <w:rPr>
                <w:rFonts w:hint="eastAsia"/>
                <w:color w:val="auto"/>
                <w:highlight w:val="none"/>
                <w:lang w:val="en-US" w:eastAsia="zh-CN"/>
              </w:rPr>
              <w:t>/</w:t>
            </w:r>
            <w:r>
              <w:rPr>
                <w:rFonts w:hint="eastAsia"/>
                <w:color w:val="auto"/>
                <w:highlight w:val="none"/>
              </w:rPr>
              <w:t xml:space="preserve"> %。</w:t>
            </w:r>
          </w:p>
          <w:p>
            <w:pPr>
              <w:adjustRightInd w:val="0"/>
              <w:snapToGrid w:val="0"/>
              <w:spacing w:line="360" w:lineRule="exact"/>
              <w:rPr>
                <w:rFonts w:hint="eastAsia"/>
                <w:color w:val="auto"/>
                <w:highlight w:val="none"/>
              </w:rPr>
            </w:pPr>
            <w:r>
              <w:rPr>
                <w:rFonts w:hint="eastAsia"/>
                <w:color w:val="auto"/>
                <w:highlight w:val="none"/>
              </w:rPr>
              <w:t>4、非专门面向中小企业采购，且符合政府采购促进中小企业发展相关规定的：</w:t>
            </w:r>
          </w:p>
          <w:p>
            <w:pPr>
              <w:adjustRightInd w:val="0"/>
              <w:snapToGrid w:val="0"/>
              <w:spacing w:line="360" w:lineRule="exact"/>
              <w:rPr>
                <w:rFonts w:hint="eastAsia"/>
                <w:color w:val="auto"/>
                <w:highlight w:val="none"/>
              </w:rPr>
            </w:pPr>
            <w:r>
              <w:rPr>
                <w:rFonts w:hint="eastAsia"/>
                <w:color w:val="auto"/>
                <w:highlight w:val="none"/>
              </w:rPr>
              <w:t>①给予小型和微型企业产品的价格给予6%-10%的扣除，本项目具体扣除比例为  /  ％。</w:t>
            </w:r>
          </w:p>
          <w:p>
            <w:pPr>
              <w:adjustRightInd w:val="0"/>
              <w:snapToGrid w:val="0"/>
              <w:spacing w:line="360" w:lineRule="exact"/>
              <w:rPr>
                <w:rFonts w:hint="eastAsia"/>
                <w:color w:val="auto"/>
                <w:highlight w:val="none"/>
              </w:rPr>
            </w:pPr>
            <w:r>
              <w:rPr>
                <w:rFonts w:hint="eastAsia"/>
                <w:color w:val="auto"/>
                <w:highlight w:val="none"/>
              </w:rPr>
              <w:t>②给予中型企业产品的价格给予3%-5%的扣除，用扣除后的价格参与评审，本项目具体扣除比例为  / ％。</w:t>
            </w:r>
          </w:p>
          <w:p>
            <w:pPr>
              <w:adjustRightInd w:val="0"/>
              <w:snapToGrid w:val="0"/>
              <w:spacing w:line="360" w:lineRule="exact"/>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rPr>
              <w:t>.提供所投产品符合以上要求的相关证明材料，否则视同放弃进行价格扣除。</w:t>
            </w:r>
          </w:p>
          <w:p>
            <w:pPr>
              <w:adjustRightInd w:val="0"/>
              <w:snapToGrid w:val="0"/>
              <w:spacing w:line="360" w:lineRule="exact"/>
              <w:rPr>
                <w:color w:val="auto"/>
                <w:highlight w:val="none"/>
              </w:rPr>
            </w:pPr>
            <w:r>
              <w:rPr>
                <w:rFonts w:hint="eastAsia" w:ascii="Times New Roman" w:hAnsi="Times New Roman" w:eastAsia="宋体" w:cs="Times New Roman"/>
                <w:color w:val="auto"/>
                <w:highlight w:val="none"/>
              </w:rPr>
              <w:t>（须提供中小企业声明函及相关证明文件，如未提供或填写存在不实情况，视为放弃享受价格扣除政策）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83" w:type="dxa"/>
            <w:vMerge w:val="restart"/>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第二章第9.6款</w:t>
            </w:r>
          </w:p>
        </w:tc>
        <w:tc>
          <w:tcPr>
            <w:tcW w:w="1786" w:type="dxa"/>
            <w:noWrap/>
            <w:vAlign w:val="center"/>
          </w:tcPr>
          <w:p>
            <w:pPr>
              <w:adjustRightInd w:val="0"/>
              <w:snapToGrid w:val="0"/>
              <w:spacing w:line="360" w:lineRule="exac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政府采购支持</w:t>
            </w:r>
          </w:p>
          <w:p>
            <w:pPr>
              <w:adjustRightInd w:val="0"/>
              <w:snapToGrid w:val="0"/>
              <w:spacing w:line="360" w:lineRule="exact"/>
              <w:jc w:val="center"/>
              <w:rPr>
                <w:rFonts w:ascii="宋体" w:hAnsi="宋体"/>
                <w:color w:val="auto"/>
                <w:szCs w:val="21"/>
                <w:highlight w:val="none"/>
              </w:rPr>
            </w:pPr>
            <w:r>
              <w:rPr>
                <w:rFonts w:hint="eastAsia" w:ascii="宋体" w:hAnsi="宋体" w:cs="宋体"/>
                <w:bCs/>
                <w:color w:val="auto"/>
                <w:kern w:val="0"/>
                <w:szCs w:val="21"/>
                <w:highlight w:val="none"/>
              </w:rPr>
              <w:t>中小企业融资</w:t>
            </w:r>
          </w:p>
        </w:tc>
        <w:tc>
          <w:tcPr>
            <w:tcW w:w="5890" w:type="dxa"/>
            <w:noWrap/>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有融资需求的，可向本附表附页1所列银行咨询或登陆中国湖南政府采购网查询。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783" w:type="dxa"/>
            <w:vMerge w:val="continue"/>
            <w:noWrap/>
            <w:vAlign w:val="center"/>
          </w:tcPr>
          <w:p>
            <w:pPr>
              <w:adjustRightInd w:val="0"/>
              <w:snapToGrid w:val="0"/>
              <w:spacing w:line="360" w:lineRule="exact"/>
              <w:jc w:val="center"/>
              <w:rPr>
                <w:rFonts w:ascii="宋体" w:hAnsi="宋体"/>
                <w:color w:val="auto"/>
                <w:szCs w:val="21"/>
                <w:highlight w:val="none"/>
              </w:rPr>
            </w:pPr>
          </w:p>
        </w:tc>
        <w:tc>
          <w:tcPr>
            <w:tcW w:w="1786" w:type="dxa"/>
            <w:noWrap/>
            <w:vAlign w:val="center"/>
          </w:tcPr>
          <w:p>
            <w:pPr>
              <w:adjustRightInd w:val="0"/>
              <w:snapToGrid w:val="0"/>
              <w:spacing w:line="360" w:lineRule="exac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政府采购</w:t>
            </w:r>
          </w:p>
          <w:p>
            <w:pPr>
              <w:adjustRightInd w:val="0"/>
              <w:snapToGrid w:val="0"/>
              <w:spacing w:line="360" w:lineRule="exact"/>
              <w:jc w:val="center"/>
              <w:rPr>
                <w:rFonts w:ascii="宋体" w:hAnsi="宋体"/>
                <w:color w:val="auto"/>
                <w:szCs w:val="21"/>
                <w:highlight w:val="none"/>
              </w:rPr>
            </w:pPr>
            <w:r>
              <w:rPr>
                <w:rFonts w:hint="eastAsia" w:ascii="宋体" w:hAnsi="宋体" w:cs="宋体"/>
                <w:bCs/>
                <w:color w:val="auto"/>
                <w:kern w:val="0"/>
                <w:szCs w:val="21"/>
                <w:highlight w:val="none"/>
              </w:rPr>
              <w:t>信用担保</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有履约担保或融资担保需求的，可向本附表附页2所列担保机构咨询或登陆中国湖南政府采购网查询，格式见附页3。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9459" w:type="dxa"/>
            <w:gridSpan w:val="3"/>
            <w:noWrap/>
            <w:vAlign w:val="center"/>
          </w:tcPr>
          <w:p>
            <w:pPr>
              <w:adjustRightInd w:val="0"/>
              <w:snapToGrid w:val="0"/>
              <w:spacing w:line="360" w:lineRule="exact"/>
              <w:rPr>
                <w:rFonts w:ascii="宋体" w:hAnsi="宋体"/>
                <w:b/>
                <w:color w:val="auto"/>
                <w:szCs w:val="21"/>
                <w:highlight w:val="none"/>
              </w:rPr>
            </w:pPr>
            <w:r>
              <w:rPr>
                <w:rFonts w:hint="eastAsia" w:ascii="宋体" w:hAnsi="宋体"/>
                <w:b/>
                <w:color w:val="auto"/>
                <w:szCs w:val="21"/>
                <w:highlight w:val="none"/>
              </w:rPr>
              <w:t>二、磋商文件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第二章第10.2款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磋商文件的可能实质性变动内容</w:t>
            </w:r>
          </w:p>
        </w:tc>
        <w:tc>
          <w:tcPr>
            <w:tcW w:w="5890" w:type="dxa"/>
            <w:noWrap/>
            <w:vAlign w:val="center"/>
          </w:tcPr>
          <w:p>
            <w:pPr>
              <w:adjustRightInd w:val="0"/>
              <w:snapToGrid w:val="0"/>
              <w:spacing w:line="360" w:lineRule="exact"/>
              <w:jc w:val="left"/>
              <w:rPr>
                <w:rFonts w:ascii="宋体" w:hAnsi="宋体"/>
                <w:color w:val="auto"/>
                <w:szCs w:val="21"/>
                <w:highlight w:val="none"/>
              </w:rPr>
            </w:pPr>
            <w:r>
              <w:rPr>
                <w:rFonts w:hint="eastAsia" w:ascii="宋体" w:hAnsi="宋体" w:cs="宋体"/>
                <w:color w:val="auto"/>
                <w:szCs w:val="21"/>
                <w:highlight w:val="none"/>
              </w:rPr>
              <w:t>在磋商过程中，磋商文件的技术、商务要求以及合同草案条款可能发生实质性变动，由磋商小组根据磋商情况确定。如有变动，磋商小组将书面告知供应商。</w:t>
            </w:r>
            <w:r>
              <w:rPr>
                <w:rFonts w:hint="eastAsia" w:ascii="宋体" w:hAnsi="宋体" w:cs="宋体"/>
                <w:color w:val="auto"/>
                <w:szCs w:val="21"/>
                <w:highlight w:val="none"/>
                <w:lang w:val="en-US" w:eastAsia="zh-CN"/>
              </w:rPr>
              <w:t>30分钟内</w:t>
            </w:r>
            <w:r>
              <w:rPr>
                <w:rFonts w:hint="eastAsia" w:ascii="宋体" w:hAnsi="宋体" w:cs="宋体"/>
                <w:color w:val="auto"/>
                <w:szCs w:val="21"/>
                <w:highlight w:val="none"/>
              </w:rPr>
              <w:t>供应商书面回复和进行响应承诺。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第二章第11.1款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提供磋商文件期限</w:t>
            </w:r>
          </w:p>
        </w:tc>
        <w:tc>
          <w:tcPr>
            <w:tcW w:w="5890" w:type="dxa"/>
            <w:noWrap/>
            <w:vAlign w:val="center"/>
          </w:tcPr>
          <w:p>
            <w:pPr>
              <w:adjustRightInd w:val="0"/>
              <w:snapToGrid w:val="0"/>
              <w:spacing w:line="360" w:lineRule="exact"/>
              <w:jc w:val="left"/>
              <w:rPr>
                <w:rFonts w:ascii="宋体" w:hAnsi="宋体"/>
                <w:color w:val="auto"/>
                <w:szCs w:val="21"/>
                <w:highlight w:val="none"/>
              </w:rPr>
            </w:pPr>
            <w:r>
              <w:rPr>
                <w:rFonts w:hint="eastAsia" w:ascii="宋体" w:hAnsi="宋体"/>
                <w:color w:val="auto"/>
                <w:szCs w:val="21"/>
                <w:highlight w:val="none"/>
                <w:u w:val="single"/>
              </w:rPr>
              <w:t xml:space="preserve"> 202</w:t>
            </w:r>
            <w:r>
              <w:rPr>
                <w:rFonts w:hint="eastAsia" w:ascii="宋体" w:hAnsi="宋体"/>
                <w:color w:val="auto"/>
                <w:szCs w:val="21"/>
                <w:highlight w:val="none"/>
                <w:u w:val="single"/>
                <w:lang w:val="en-US" w:eastAsia="zh-CN"/>
              </w:rPr>
              <w:t>2</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 xml:space="preserve"> 1 </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 xml:space="preserve"> 14 </w:t>
            </w:r>
            <w:r>
              <w:rPr>
                <w:rFonts w:hint="eastAsia" w:ascii="宋体" w:hAnsi="宋体"/>
                <w:color w:val="auto"/>
                <w:szCs w:val="21"/>
                <w:highlight w:val="none"/>
              </w:rPr>
              <w:t>日至</w:t>
            </w:r>
            <w:r>
              <w:rPr>
                <w:rFonts w:hint="eastAsia" w:ascii="宋体" w:hAnsi="宋体"/>
                <w:color w:val="auto"/>
                <w:szCs w:val="21"/>
                <w:highlight w:val="none"/>
                <w:u w:val="single"/>
              </w:rPr>
              <w:t xml:space="preserve"> 202</w:t>
            </w:r>
            <w:r>
              <w:rPr>
                <w:rFonts w:hint="eastAsia" w:ascii="宋体" w:hAnsi="宋体"/>
                <w:color w:val="auto"/>
                <w:szCs w:val="21"/>
                <w:highlight w:val="none"/>
                <w:u w:val="single"/>
                <w:lang w:val="en-US" w:eastAsia="zh-CN"/>
              </w:rPr>
              <w:t>2</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 xml:space="preserve"> 1 </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 xml:space="preserve">  21 </w:t>
            </w:r>
            <w:r>
              <w:rPr>
                <w:rFonts w:hint="eastAsia" w:ascii="宋体" w:hAns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第二章第11.2款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领取或购买磋商文件时应提供的资料</w:t>
            </w:r>
          </w:p>
        </w:tc>
        <w:tc>
          <w:tcPr>
            <w:tcW w:w="5890" w:type="dxa"/>
            <w:noWrap/>
            <w:vAlign w:val="center"/>
          </w:tcPr>
          <w:p>
            <w:pPr>
              <w:adjustRightInd w:val="0"/>
              <w:snapToGrid w:val="0"/>
              <w:spacing w:line="360" w:lineRule="exact"/>
              <w:jc w:val="left"/>
              <w:rPr>
                <w:color w:val="auto"/>
                <w:highlight w:val="none"/>
              </w:rPr>
            </w:pPr>
            <w:r>
              <w:rPr>
                <w:rFonts w:hint="eastAsia"/>
                <w:color w:val="auto"/>
                <w:highlight w:val="none"/>
              </w:rPr>
              <w:t>个人身份证、法定代表人身份证明(或者授权委托书并附法定代表人身份证明)</w:t>
            </w:r>
            <w:r>
              <w:rPr>
                <w:rFonts w:hint="eastAsia"/>
                <w:color w:val="auto"/>
                <w:highlight w:val="none"/>
                <w:lang w:eastAsia="zh-CN"/>
              </w:rPr>
              <w:t>、营业执照副本复印件</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第二章第12.1款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提交首次响应文件的截止时间</w:t>
            </w:r>
          </w:p>
        </w:tc>
        <w:tc>
          <w:tcPr>
            <w:tcW w:w="5890" w:type="dxa"/>
            <w:noWrap/>
            <w:vAlign w:val="center"/>
          </w:tcPr>
          <w:p>
            <w:pPr>
              <w:adjustRightInd w:val="0"/>
              <w:snapToGrid w:val="0"/>
              <w:spacing w:line="360" w:lineRule="exact"/>
              <w:jc w:val="left"/>
              <w:rPr>
                <w:rFonts w:ascii="宋体" w:hAnsi="宋体"/>
                <w:color w:val="auto"/>
                <w:szCs w:val="21"/>
                <w:highlight w:val="none"/>
              </w:rPr>
            </w:pPr>
            <w:r>
              <w:rPr>
                <w:rFonts w:hint="eastAsia" w:ascii="宋体" w:hAnsi="宋体"/>
                <w:color w:val="auto"/>
                <w:szCs w:val="21"/>
                <w:highlight w:val="none"/>
                <w:u w:val="single"/>
              </w:rPr>
              <w:t xml:space="preserve"> 202</w:t>
            </w:r>
            <w:r>
              <w:rPr>
                <w:rFonts w:hint="eastAsia" w:ascii="宋体" w:hAnsi="宋体"/>
                <w:color w:val="auto"/>
                <w:szCs w:val="21"/>
                <w:highlight w:val="none"/>
                <w:u w:val="single"/>
                <w:lang w:val="en-US" w:eastAsia="zh-CN"/>
              </w:rPr>
              <w:t>2</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 xml:space="preserve"> 1 </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 xml:space="preserve"> 25  </w:t>
            </w:r>
            <w:r>
              <w:rPr>
                <w:rFonts w:hint="eastAsia" w:ascii="宋体" w:hAnsi="宋体"/>
                <w:color w:val="auto"/>
                <w:szCs w:val="21"/>
                <w:highlight w:val="none"/>
              </w:rPr>
              <w:t>日</w:t>
            </w:r>
            <w:r>
              <w:rPr>
                <w:rFonts w:hint="eastAsia" w:ascii="宋体" w:hAnsi="宋体"/>
                <w:color w:val="auto"/>
                <w:szCs w:val="21"/>
                <w:highlight w:val="none"/>
                <w:u w:val="single"/>
                <w:lang w:val="en-US" w:eastAsia="zh-CN"/>
              </w:rPr>
              <w:t xml:space="preserve"> 14 </w:t>
            </w:r>
            <w:r>
              <w:rPr>
                <w:rFonts w:hint="eastAsia" w:ascii="宋体" w:hAnsi="宋体"/>
                <w:color w:val="auto"/>
                <w:szCs w:val="21"/>
                <w:highlight w:val="none"/>
              </w:rPr>
              <w:t>时</w:t>
            </w:r>
            <w:r>
              <w:rPr>
                <w:rFonts w:hint="eastAsia" w:ascii="宋体" w:hAnsi="宋体"/>
                <w:color w:val="auto"/>
                <w:szCs w:val="21"/>
                <w:highlight w:val="none"/>
                <w:u w:val="single"/>
                <w:lang w:val="en-US" w:eastAsia="zh-CN"/>
              </w:rPr>
              <w:t xml:space="preserve"> 30 </w:t>
            </w:r>
            <w:r>
              <w:rPr>
                <w:rFonts w:hint="eastAsia" w:ascii="宋体" w:hAnsi="宋体"/>
                <w:color w:val="auto"/>
                <w:szCs w:val="21"/>
                <w:highlight w:val="none"/>
              </w:rPr>
              <w:t>分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9459" w:type="dxa"/>
            <w:gridSpan w:val="3"/>
            <w:noWrap/>
            <w:vAlign w:val="center"/>
          </w:tcPr>
          <w:p>
            <w:pPr>
              <w:adjustRightInd w:val="0"/>
              <w:snapToGrid w:val="0"/>
              <w:spacing w:line="360" w:lineRule="exact"/>
              <w:rPr>
                <w:rFonts w:ascii="宋体" w:hAnsi="宋体"/>
                <w:color w:val="auto"/>
                <w:szCs w:val="21"/>
                <w:highlight w:val="none"/>
              </w:rPr>
            </w:pPr>
            <w:r>
              <w:rPr>
                <w:rFonts w:hint="eastAsia" w:ascii="宋体" w:hAnsi="宋体"/>
                <w:b/>
                <w:color w:val="auto"/>
                <w:szCs w:val="21"/>
                <w:highlight w:val="none"/>
              </w:rPr>
              <w:t>三、响应文件的编写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第二章第16.4款</w:t>
            </w:r>
          </w:p>
        </w:tc>
        <w:tc>
          <w:tcPr>
            <w:tcW w:w="1786"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采购项目预算</w:t>
            </w:r>
          </w:p>
        </w:tc>
        <w:tc>
          <w:tcPr>
            <w:tcW w:w="5890" w:type="dxa"/>
            <w:noWrap/>
            <w:vAlign w:val="center"/>
          </w:tcPr>
          <w:p>
            <w:pPr>
              <w:adjustRightInd w:val="0"/>
              <w:snapToGrid w:val="0"/>
              <w:spacing w:line="360" w:lineRule="exact"/>
              <w:rPr>
                <w:rFonts w:hint="eastAsia" w:ascii="宋体" w:hAnsi="宋体" w:eastAsia="宋体"/>
                <w:color w:val="auto"/>
                <w:szCs w:val="21"/>
                <w:highlight w:val="none"/>
                <w:lang w:eastAsia="zh-CN"/>
              </w:rPr>
            </w:pPr>
            <w:bookmarkStart w:id="4" w:name="_GoBack"/>
            <w:bookmarkEnd w:id="4"/>
            <w:r>
              <w:rPr>
                <w:rFonts w:hint="eastAsia" w:ascii="宋体" w:hAnsi="宋体"/>
                <w:color w:val="auto"/>
                <w:szCs w:val="21"/>
                <w:highlight w:val="none"/>
              </w:rPr>
              <w:t>672000.00元</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最高限价：672000.00元。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第二章第19.1款</w:t>
            </w:r>
          </w:p>
        </w:tc>
        <w:tc>
          <w:tcPr>
            <w:tcW w:w="1786" w:type="dxa"/>
            <w:noWrap/>
            <w:vAlign w:val="center"/>
          </w:tcPr>
          <w:p>
            <w:pPr>
              <w:adjustRightInd w:val="0"/>
              <w:snapToGrid w:val="0"/>
              <w:spacing w:line="360" w:lineRule="exact"/>
              <w:ind w:left="-533" w:leftChars="-254" w:firstLine="533" w:firstLineChars="254"/>
              <w:jc w:val="center"/>
              <w:rPr>
                <w:rFonts w:ascii="宋体" w:hAnsi="宋体"/>
                <w:color w:val="auto"/>
                <w:szCs w:val="21"/>
                <w:highlight w:val="none"/>
              </w:rPr>
            </w:pPr>
            <w:r>
              <w:rPr>
                <w:rFonts w:hint="eastAsia" w:ascii="宋体" w:hAnsi="宋体"/>
                <w:color w:val="auto"/>
                <w:szCs w:val="21"/>
                <w:highlight w:val="none"/>
              </w:rPr>
              <w:t>磋商保证金</w:t>
            </w:r>
          </w:p>
        </w:tc>
        <w:tc>
          <w:tcPr>
            <w:tcW w:w="5890" w:type="dxa"/>
            <w:noWrap/>
            <w:vAlign w:val="center"/>
          </w:tcPr>
          <w:p>
            <w:pPr>
              <w:spacing w:line="360" w:lineRule="exact"/>
              <w:rPr>
                <w:rFonts w:ascii="宋体" w:hAnsi="宋体"/>
                <w:bCs/>
                <w:color w:val="auto"/>
                <w:szCs w:val="21"/>
                <w:highlight w:val="none"/>
              </w:rPr>
            </w:pPr>
            <w:r>
              <w:rPr>
                <w:rFonts w:hint="eastAsia" w:ascii="宋体" w:hAnsi="宋体" w:cs="宋体"/>
                <w:color w:val="auto"/>
                <w:szCs w:val="21"/>
                <w:highlight w:val="none"/>
              </w:rPr>
              <w:t>■</w:t>
            </w:r>
            <w:r>
              <w:rPr>
                <w:rFonts w:hint="eastAsia" w:ascii="宋体" w:hAnsi="宋体"/>
                <w:bCs/>
                <w:color w:val="auto"/>
                <w:szCs w:val="21"/>
                <w:highlight w:val="none"/>
              </w:rPr>
              <w:t xml:space="preserve"> 不要求提供</w:t>
            </w:r>
          </w:p>
          <w:p>
            <w:pPr>
              <w:spacing w:line="360" w:lineRule="exact"/>
              <w:rPr>
                <w:rFonts w:ascii="宋体" w:hAnsi="宋体"/>
                <w:color w:val="auto"/>
                <w:szCs w:val="21"/>
                <w:highlight w:val="none"/>
              </w:rPr>
            </w:pPr>
            <w:r>
              <w:rPr>
                <w:rFonts w:hint="eastAsia" w:ascii="宋体" w:hAnsi="宋体"/>
                <w:bCs/>
                <w:color w:val="auto"/>
                <w:szCs w:val="21"/>
                <w:highlight w:val="none"/>
              </w:rPr>
              <w:t>□要求提供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第二章第20.1款</w:t>
            </w:r>
          </w:p>
        </w:tc>
        <w:tc>
          <w:tcPr>
            <w:tcW w:w="1786" w:type="dxa"/>
            <w:noWrap/>
            <w:vAlign w:val="center"/>
          </w:tcPr>
          <w:p>
            <w:pPr>
              <w:adjustRightInd w:val="0"/>
              <w:snapToGrid w:val="0"/>
              <w:spacing w:line="360" w:lineRule="exact"/>
              <w:jc w:val="center"/>
              <w:rPr>
                <w:rFonts w:ascii="宋体" w:hAnsi="宋体"/>
                <w:bCs/>
                <w:color w:val="auto"/>
                <w:szCs w:val="21"/>
                <w:highlight w:val="none"/>
              </w:rPr>
            </w:pPr>
            <w:r>
              <w:rPr>
                <w:rFonts w:hint="eastAsia" w:ascii="宋体" w:hAnsi="宋体"/>
                <w:bCs/>
                <w:color w:val="auto"/>
                <w:szCs w:val="21"/>
                <w:highlight w:val="none"/>
              </w:rPr>
              <w:t>响应文件有效期</w:t>
            </w:r>
          </w:p>
        </w:tc>
        <w:tc>
          <w:tcPr>
            <w:tcW w:w="5890" w:type="dxa"/>
            <w:noWrap/>
            <w:vAlign w:val="center"/>
          </w:tcPr>
          <w:p>
            <w:pPr>
              <w:adjustRightInd w:val="0"/>
              <w:snapToGrid w:val="0"/>
              <w:spacing w:line="360" w:lineRule="exact"/>
              <w:rPr>
                <w:rFonts w:ascii="宋体" w:hAnsi="宋体"/>
                <w:bCs/>
                <w:color w:val="auto"/>
                <w:szCs w:val="21"/>
                <w:highlight w:val="none"/>
              </w:rPr>
            </w:pPr>
            <w:r>
              <w:rPr>
                <w:rFonts w:hint="eastAsia" w:ascii="宋体" w:hAnsi="宋体"/>
                <w:color w:val="auto"/>
                <w:szCs w:val="21"/>
                <w:highlight w:val="none"/>
                <w:u w:val="single"/>
                <w:lang w:val="en-US" w:eastAsia="zh-CN"/>
              </w:rPr>
              <w:t>90</w:t>
            </w:r>
            <w:r>
              <w:rPr>
                <w:rFonts w:hint="eastAsia" w:ascii="宋体" w:hAnsi="宋体"/>
                <w:color w:val="auto"/>
                <w:szCs w:val="21"/>
                <w:highlight w:val="none"/>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第二章第21.1款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bCs/>
                <w:color w:val="auto"/>
                <w:szCs w:val="21"/>
                <w:highlight w:val="none"/>
              </w:rPr>
              <w:t>响应</w:t>
            </w:r>
            <w:r>
              <w:rPr>
                <w:rFonts w:hint="eastAsia" w:ascii="宋体" w:hAnsi="宋体"/>
                <w:color w:val="auto"/>
                <w:szCs w:val="21"/>
                <w:highlight w:val="none"/>
              </w:rPr>
              <w:t>文件副本份数</w:t>
            </w:r>
          </w:p>
        </w:tc>
        <w:tc>
          <w:tcPr>
            <w:tcW w:w="5890" w:type="dxa"/>
            <w:noWrap/>
            <w:vAlign w:val="center"/>
          </w:tcPr>
          <w:p>
            <w:pPr>
              <w:adjustRightInd w:val="0"/>
              <w:snapToGrid w:val="0"/>
              <w:spacing w:line="360" w:lineRule="exact"/>
              <w:rPr>
                <w:rFonts w:ascii="宋体" w:hAnsi="宋体" w:cs="宋体"/>
                <w:color w:val="auto"/>
                <w:highlight w:val="none"/>
                <w:lang w:val="zh-TW" w:eastAsia="zh-TW"/>
              </w:rPr>
            </w:pPr>
            <w:r>
              <w:rPr>
                <w:rFonts w:ascii="宋体" w:hAnsi="宋体" w:cs="宋体"/>
                <w:color w:val="auto"/>
                <w:highlight w:val="none"/>
                <w:lang w:val="zh-TW"/>
              </w:rPr>
              <w:t>叁</w:t>
            </w:r>
            <w:r>
              <w:rPr>
                <w:rFonts w:ascii="宋体" w:hAnsi="宋体" w:cs="宋体"/>
                <w:color w:val="auto"/>
                <w:highlight w:val="none"/>
                <w:lang w:val="zh-TW" w:eastAsia="zh-TW"/>
              </w:rPr>
              <w:t>份</w:t>
            </w:r>
          </w:p>
          <w:p>
            <w:pPr>
              <w:numPr>
                <w:ilvl w:val="0"/>
                <w:numId w:val="2"/>
              </w:numPr>
              <w:adjustRightInd w:val="0"/>
              <w:snapToGrid w:val="0"/>
              <w:spacing w:line="360" w:lineRule="exact"/>
              <w:rPr>
                <w:rFonts w:ascii="宋体" w:hAnsi="宋体" w:cs="宋体"/>
                <w:color w:val="auto"/>
                <w:highlight w:val="none"/>
                <w:lang w:val="zh-TW"/>
              </w:rPr>
            </w:pPr>
            <w:r>
              <w:rPr>
                <w:rFonts w:hint="eastAsia" w:ascii="宋体" w:hAnsi="宋体" w:cs="宋体"/>
                <w:color w:val="auto"/>
                <w:highlight w:val="none"/>
                <w:lang w:val="zh-TW"/>
              </w:rPr>
              <w:t>正本：壹份，副本：贰份。副本可为正本复印件，正副本均可双面打印，响应文件须装订成册。</w:t>
            </w:r>
          </w:p>
          <w:p>
            <w:pPr>
              <w:numPr>
                <w:ilvl w:val="0"/>
                <w:numId w:val="2"/>
              </w:numPr>
              <w:adjustRightInd w:val="0"/>
              <w:snapToGrid w:val="0"/>
              <w:spacing w:line="360" w:lineRule="exact"/>
              <w:rPr>
                <w:rFonts w:ascii="宋体" w:hAnsi="宋体"/>
                <w:color w:val="auto"/>
                <w:szCs w:val="21"/>
                <w:highlight w:val="none"/>
                <w:u w:val="single"/>
              </w:rPr>
            </w:pPr>
            <w:r>
              <w:rPr>
                <w:rFonts w:hint="eastAsia" w:ascii="宋体" w:hAnsi="宋体" w:cs="宋体"/>
                <w:color w:val="auto"/>
                <w:highlight w:val="none"/>
                <w:lang w:val="zh-TW"/>
              </w:rPr>
              <w:t>供应商须递交与正本内容一致的电子文件壹份</w:t>
            </w:r>
            <w:r>
              <w:rPr>
                <w:rFonts w:hint="eastAsia"/>
                <w:color w:val="auto"/>
                <w:highlight w:val="none"/>
              </w:rPr>
              <w:t>（响应文件正本PDF扫描件电子文档一份存至U盘或光盘随响应文件同时密封递交）</w:t>
            </w:r>
          </w:p>
          <w:p>
            <w:pPr>
              <w:numPr>
                <w:ilvl w:val="0"/>
                <w:numId w:val="2"/>
              </w:numPr>
              <w:adjustRightInd w:val="0"/>
              <w:snapToGrid w:val="0"/>
              <w:spacing w:line="360" w:lineRule="exact"/>
              <w:rPr>
                <w:rFonts w:ascii="宋体" w:hAnsi="宋体"/>
                <w:color w:val="auto"/>
                <w:szCs w:val="21"/>
                <w:highlight w:val="none"/>
                <w:u w:val="single"/>
              </w:rPr>
            </w:pPr>
            <w:r>
              <w:rPr>
                <w:rFonts w:hint="eastAsia" w:ascii="宋体" w:hAnsi="宋体" w:cs="宋体"/>
                <w:color w:val="auto"/>
                <w:highlight w:val="none"/>
                <w:lang w:val="zh-TW"/>
              </w:rPr>
              <w:t>正本和副本的封面上应标记“正本”或“副本”的字样，当正本和副本有差异时，以正本为准。）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9459" w:type="dxa"/>
            <w:gridSpan w:val="3"/>
            <w:noWrap/>
            <w:vAlign w:val="center"/>
          </w:tcPr>
          <w:p>
            <w:pPr>
              <w:adjustRightInd w:val="0"/>
              <w:snapToGrid w:val="0"/>
              <w:spacing w:line="360" w:lineRule="exact"/>
              <w:rPr>
                <w:rFonts w:ascii="宋体" w:hAnsi="宋体"/>
                <w:b/>
                <w:bCs/>
                <w:color w:val="auto"/>
                <w:szCs w:val="21"/>
                <w:highlight w:val="none"/>
              </w:rPr>
            </w:pPr>
            <w:r>
              <w:rPr>
                <w:rFonts w:hint="eastAsia" w:ascii="宋体" w:hAnsi="宋体"/>
                <w:b/>
                <w:color w:val="auto"/>
                <w:szCs w:val="21"/>
                <w:highlight w:val="none"/>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第二章第22.2款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封套上应载明的信息</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采购项目响应文件</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lang w:eastAsia="zh-CN"/>
              </w:rPr>
              <w:t>项目编号</w:t>
            </w:r>
            <w:r>
              <w:rPr>
                <w:rFonts w:hint="eastAsia" w:ascii="宋体" w:hAnsi="宋体"/>
                <w:color w:val="auto"/>
                <w:szCs w:val="21"/>
                <w:highlight w:val="none"/>
              </w:rPr>
              <w:t>：</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委托代理编号：</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供应商名称：</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在年月日（星期）时分之前不得启封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第二章第24.1款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响应文件的递交地点</w:t>
            </w:r>
          </w:p>
        </w:tc>
        <w:tc>
          <w:tcPr>
            <w:tcW w:w="5890" w:type="dxa"/>
            <w:noWrap/>
            <w:vAlign w:val="center"/>
          </w:tcPr>
          <w:p>
            <w:pPr>
              <w:adjustRightInd w:val="0"/>
              <w:snapToGrid w:val="0"/>
              <w:spacing w:line="360" w:lineRule="exact"/>
              <w:rPr>
                <w:rFonts w:ascii="宋体" w:hAnsi="宋体"/>
                <w:bCs/>
                <w:color w:val="auto"/>
                <w:szCs w:val="21"/>
                <w:highlight w:val="none"/>
              </w:rPr>
            </w:pPr>
            <w:r>
              <w:rPr>
                <w:rFonts w:hint="eastAsia" w:ascii="宋体" w:hAnsi="宋体" w:cs="宋体"/>
                <w:color w:val="auto"/>
                <w:highlight w:val="none"/>
                <w:lang w:val="zh-TW"/>
              </w:rPr>
              <w:t>湖南中弘项目管理有限公司开标室（</w:t>
            </w:r>
            <w:r>
              <w:rPr>
                <w:rFonts w:ascii="宋体" w:hAnsi="宋体" w:cs="宋体"/>
                <w:color w:val="auto"/>
                <w:highlight w:val="none"/>
                <w:lang w:val="zh-TW"/>
              </w:rPr>
              <w:t>长沙市岳麓区潇湘南路1段208号柏宁地王广场南栋1212室</w:t>
            </w:r>
            <w:r>
              <w:rPr>
                <w:rFonts w:ascii="宋体" w:hAnsi="宋体" w:cs="宋体"/>
                <w:color w:val="auto"/>
                <w:highlight w:val="none"/>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9459" w:type="dxa"/>
            <w:gridSpan w:val="3"/>
            <w:noWrap/>
            <w:vAlign w:val="center"/>
          </w:tcPr>
          <w:p>
            <w:pPr>
              <w:adjustRightInd w:val="0"/>
              <w:snapToGrid w:val="0"/>
              <w:spacing w:line="360" w:lineRule="exact"/>
              <w:rPr>
                <w:rFonts w:ascii="宋体" w:hAnsi="宋体"/>
                <w:b/>
                <w:bCs/>
                <w:color w:val="auto"/>
                <w:szCs w:val="21"/>
                <w:highlight w:val="none"/>
              </w:rPr>
            </w:pPr>
            <w:r>
              <w:rPr>
                <w:rFonts w:hint="eastAsia" w:ascii="宋体" w:hAnsi="宋体"/>
                <w:b/>
                <w:bCs/>
                <w:color w:val="auto"/>
                <w:szCs w:val="21"/>
                <w:highlight w:val="none"/>
              </w:rPr>
              <w:t>五、响应文件的磋商与评审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第二章第31.2款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评审因素和标准</w:t>
            </w:r>
          </w:p>
        </w:tc>
        <w:tc>
          <w:tcPr>
            <w:tcW w:w="5890" w:type="dxa"/>
            <w:noWrap/>
            <w:vAlign w:val="center"/>
          </w:tcPr>
          <w:p>
            <w:pPr>
              <w:adjustRightInd w:val="0"/>
              <w:snapToGrid w:val="0"/>
              <w:spacing w:line="360" w:lineRule="exact"/>
              <w:rPr>
                <w:rFonts w:ascii="宋体" w:hAnsi="宋体"/>
                <w:bCs/>
                <w:color w:val="auto"/>
                <w:szCs w:val="21"/>
                <w:highlight w:val="none"/>
              </w:rPr>
            </w:pPr>
            <w:r>
              <w:rPr>
                <w:rFonts w:hint="eastAsia" w:ascii="宋体" w:hAnsi="宋体"/>
                <w:bCs/>
                <w:color w:val="auto"/>
                <w:szCs w:val="21"/>
                <w:highlight w:val="none"/>
              </w:rPr>
              <w:t>见附页4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第二章第31.3款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s="宋体"/>
                <w:color w:val="auto"/>
                <w:kern w:val="0"/>
                <w:szCs w:val="21"/>
                <w:highlight w:val="none"/>
              </w:rPr>
              <w:t>最后报价</w:t>
            </w:r>
            <w:r>
              <w:rPr>
                <w:rFonts w:hint="eastAsia" w:ascii="宋体" w:hAnsi="宋体"/>
                <w:color w:val="auto"/>
                <w:szCs w:val="21"/>
                <w:highlight w:val="none"/>
              </w:rPr>
              <w:t>调整</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s="宋体"/>
                <w:bCs/>
                <w:color w:val="auto"/>
                <w:kern w:val="0"/>
                <w:szCs w:val="21"/>
                <w:highlight w:val="none"/>
              </w:rPr>
              <w:t>政府采购支持小微企业、福利和监狱企业发展</w:t>
            </w:r>
            <w:r>
              <w:rPr>
                <w:rFonts w:hint="eastAsia" w:ascii="宋体" w:hAnsi="宋体"/>
                <w:color w:val="auto"/>
                <w:szCs w:val="21"/>
                <w:highlight w:val="none"/>
              </w:rPr>
              <w:t>（货物类供应商和产品制造商应同时满足小微企业、福利和监狱企业的条件）</w:t>
            </w:r>
            <w:r>
              <w:rPr>
                <w:rFonts w:hint="eastAsia" w:ascii="宋体" w:hAnsi="宋体" w:cs="宋体"/>
                <w:bCs/>
                <w:color w:val="auto"/>
                <w:kern w:val="0"/>
                <w:szCs w:val="21"/>
                <w:highlight w:val="none"/>
              </w:rPr>
              <w:t>：</w:t>
            </w:r>
            <w:r>
              <w:rPr>
                <w:rFonts w:hint="eastAsia" w:ascii="宋体" w:hAnsi="宋体"/>
                <w:color w:val="auto"/>
                <w:szCs w:val="21"/>
                <w:highlight w:val="none"/>
              </w:rPr>
              <w:t>小型、微型企业、福利和监狱企业，</w:t>
            </w:r>
            <w:r>
              <w:rPr>
                <w:rFonts w:hint="eastAsia" w:ascii="宋体" w:hAnsi="宋体" w:cs="宋体"/>
                <w:color w:val="auto"/>
                <w:kern w:val="0"/>
                <w:szCs w:val="21"/>
                <w:highlight w:val="none"/>
              </w:rPr>
              <w:t>最后报价</w:t>
            </w:r>
            <w:r>
              <w:rPr>
                <w:rFonts w:hint="eastAsia" w:ascii="宋体" w:hAnsi="宋体"/>
                <w:color w:val="auto"/>
                <w:szCs w:val="21"/>
                <w:highlight w:val="none"/>
              </w:rPr>
              <w:t>扣除比例为</w:t>
            </w:r>
            <w:r>
              <w:rPr>
                <w:rFonts w:hint="eastAsia" w:ascii="宋体" w:hAnsi="宋体"/>
                <w:color w:val="auto"/>
                <w:szCs w:val="21"/>
                <w:highlight w:val="none"/>
                <w:u w:val="single"/>
              </w:rPr>
              <w:t xml:space="preserve">/ </w:t>
            </w:r>
            <w:r>
              <w:rPr>
                <w:rFonts w:hint="eastAsia" w:ascii="宋体" w:hAnsi="宋体"/>
                <w:color w:val="auto"/>
                <w:szCs w:val="21"/>
                <w:highlight w:val="none"/>
              </w:rPr>
              <w:t>％；联合体参与磋商的，最后报价扣除比例为</w:t>
            </w:r>
            <w:r>
              <w:rPr>
                <w:rFonts w:hint="eastAsia" w:ascii="宋体" w:hAnsi="宋体"/>
                <w:color w:val="auto"/>
                <w:szCs w:val="21"/>
                <w:highlight w:val="none"/>
                <w:u w:val="single"/>
              </w:rPr>
              <w:t>/</w:t>
            </w:r>
            <w:r>
              <w:rPr>
                <w:rFonts w:hint="eastAsia" w:ascii="宋体" w:hAnsi="宋体"/>
                <w:color w:val="auto"/>
                <w:szCs w:val="21"/>
                <w:highlight w:val="none"/>
              </w:rPr>
              <w:t xml:space="preserve"> %。评审时，用扣除后的最后报价计算价格分。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459" w:type="dxa"/>
            <w:gridSpan w:val="3"/>
            <w:noWrap/>
            <w:vAlign w:val="center"/>
          </w:tcPr>
          <w:p>
            <w:pPr>
              <w:adjustRightInd w:val="0"/>
              <w:snapToGrid w:val="0"/>
              <w:spacing w:line="360" w:lineRule="exact"/>
              <w:rPr>
                <w:rFonts w:ascii="宋体" w:hAnsi="宋体"/>
                <w:color w:val="auto"/>
                <w:szCs w:val="21"/>
                <w:highlight w:val="none"/>
              </w:rPr>
            </w:pPr>
            <w:r>
              <w:rPr>
                <w:rFonts w:hint="eastAsia" w:ascii="宋体" w:hAnsi="宋体"/>
                <w:b/>
                <w:color w:val="auto"/>
                <w:szCs w:val="21"/>
                <w:highlight w:val="none"/>
              </w:rPr>
              <w:t>六、成交结果信息公布与授予合同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第二章第37.1款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财政部门指定的媒体</w:t>
            </w:r>
          </w:p>
        </w:tc>
        <w:tc>
          <w:tcPr>
            <w:tcW w:w="5890" w:type="dxa"/>
            <w:noWrap/>
            <w:vAlign w:val="center"/>
          </w:tcPr>
          <w:p>
            <w:pPr>
              <w:adjustRightInd w:val="0"/>
              <w:snapToGrid w:val="0"/>
              <w:spacing w:line="360" w:lineRule="exact"/>
              <w:rPr>
                <w:rFonts w:ascii="宋体" w:hAnsi="宋体"/>
                <w:color w:val="auto"/>
                <w:szCs w:val="21"/>
                <w:highlight w:val="none"/>
                <w:u w:val="single"/>
              </w:rPr>
            </w:pPr>
            <w:r>
              <w:rPr>
                <w:rFonts w:hint="eastAsia" w:ascii="宋体" w:hAnsi="宋体"/>
                <w:color w:val="auto"/>
                <w:szCs w:val="21"/>
                <w:highlight w:val="none"/>
              </w:rPr>
              <w:t>长沙政府采购网</w:t>
            </w:r>
            <w:r>
              <w:rPr>
                <w:rFonts w:hint="eastAsia" w:ascii="宋体" w:hAnsi="宋体"/>
                <w:color w:val="auto"/>
                <w:szCs w:val="21"/>
                <w:highlight w:val="none"/>
                <w:lang w:eastAsia="zh-CN"/>
              </w:rPr>
              <w:t>（</w:t>
            </w:r>
            <w:r>
              <w:rPr>
                <w:rFonts w:ascii="宋体" w:hAnsi="宋体"/>
                <w:color w:val="auto"/>
                <w:szCs w:val="21"/>
                <w:highlight w:val="none"/>
                <w:u w:val="single"/>
              </w:rPr>
              <w:t>http://changs.ccgp-hunan.gov.cn</w:t>
            </w:r>
            <w:r>
              <w:rPr>
                <w:rFonts w:hint="eastAsia" w:ascii="宋体" w:hAnsi="宋体"/>
                <w:color w:val="auto"/>
                <w:szCs w:val="21"/>
                <w:highlight w:val="none"/>
                <w:lang w:eastAsia="zh-CN"/>
              </w:rPr>
              <w:t>）、湖南智谷投资发展集团有限公司官方网站（www.hnzhigu.cn）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第二章第39.3款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履约担保</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olor w:val="auto"/>
                <w:szCs w:val="21"/>
                <w:highlight w:val="none"/>
              </w:rPr>
              <w:t xml:space="preserve"> 不要求提供</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要求提供，履约担保的金额为：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9459" w:type="dxa"/>
            <w:gridSpan w:val="3"/>
            <w:noWrap/>
            <w:vAlign w:val="center"/>
          </w:tcPr>
          <w:p>
            <w:pPr>
              <w:adjustRightInd w:val="0"/>
              <w:snapToGrid w:val="0"/>
              <w:spacing w:line="360" w:lineRule="exact"/>
              <w:rPr>
                <w:rFonts w:ascii="宋体" w:hAnsi="宋体"/>
                <w:b/>
                <w:color w:val="auto"/>
                <w:szCs w:val="21"/>
                <w:highlight w:val="none"/>
              </w:rPr>
            </w:pPr>
            <w:r>
              <w:rPr>
                <w:rFonts w:hint="eastAsia" w:ascii="宋体" w:hAnsi="宋体"/>
                <w:b/>
                <w:color w:val="auto"/>
                <w:szCs w:val="21"/>
                <w:highlight w:val="none"/>
              </w:rPr>
              <w:t>七、其他规定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第二章第41.1款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采购代理服务费</w:t>
            </w:r>
          </w:p>
        </w:tc>
        <w:tc>
          <w:tcPr>
            <w:tcW w:w="5890" w:type="dxa"/>
            <w:noWrap/>
            <w:vAlign w:val="center"/>
          </w:tcPr>
          <w:p>
            <w:pPr>
              <w:adjustRightInd w:val="0"/>
              <w:snapToGrid w:val="0"/>
              <w:spacing w:line="360" w:lineRule="exact"/>
              <w:rPr>
                <w:rFonts w:ascii="宋体" w:hAnsi="宋体"/>
                <w:color w:val="auto"/>
                <w:szCs w:val="21"/>
                <w:highlight w:val="none"/>
                <w:u w:val="single"/>
              </w:rPr>
            </w:pPr>
            <w:r>
              <w:rPr>
                <w:rFonts w:hint="eastAsia" w:ascii="宋体" w:hAnsi="宋体" w:cs="Times New Roman"/>
                <w:color w:val="auto"/>
                <w:sz w:val="21"/>
                <w:szCs w:val="21"/>
                <w:highlight w:val="none"/>
                <w:lang w:eastAsia="zh-CN"/>
              </w:rPr>
              <w:t>参照《国家计委关于印发【招标代理服务收费管理暂行办法】的通知》（计价格【</w:t>
            </w:r>
            <w:r>
              <w:rPr>
                <w:rFonts w:hint="eastAsia" w:ascii="宋体" w:hAnsi="宋体" w:cs="Times New Roman"/>
                <w:color w:val="auto"/>
                <w:sz w:val="21"/>
                <w:szCs w:val="21"/>
                <w:highlight w:val="none"/>
                <w:lang w:val="en-US" w:eastAsia="zh-CN"/>
              </w:rPr>
              <w:t>2002</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1980号</w:t>
            </w:r>
            <w:r>
              <w:rPr>
                <w:rFonts w:hint="eastAsia" w:ascii="宋体" w:hAnsi="宋体" w:cs="Times New Roman"/>
                <w:color w:val="auto"/>
                <w:sz w:val="21"/>
                <w:szCs w:val="21"/>
                <w:highlight w:val="none"/>
                <w:lang w:eastAsia="zh-CN"/>
              </w:rPr>
              <w:t>）的规定收取代理服务费。</w:t>
            </w:r>
            <w:r>
              <w:rPr>
                <w:rFonts w:hint="eastAsia" w:ascii="宋体" w:hAnsi="宋体" w:cs="宋体"/>
                <w:color w:val="auto"/>
                <w:highlight w:val="none"/>
                <w:lang w:val="zh-TW" w:eastAsia="zh-TW"/>
              </w:rPr>
              <w:t>由</w:t>
            </w:r>
            <w:r>
              <w:rPr>
                <w:rFonts w:hint="eastAsia" w:ascii="宋体" w:hAnsi="宋体" w:cs="宋体"/>
                <w:color w:val="auto"/>
                <w:highlight w:val="none"/>
                <w:lang w:val="zh-TW" w:eastAsia="zh-CN"/>
              </w:rPr>
              <w:t>成交供应商在领取成交通知书前</w:t>
            </w:r>
            <w:r>
              <w:rPr>
                <w:rFonts w:hint="eastAsia" w:ascii="宋体" w:hAnsi="宋体" w:cs="宋体"/>
                <w:color w:val="auto"/>
                <w:highlight w:val="none"/>
                <w:lang w:val="zh-TW" w:eastAsia="zh-TW"/>
              </w:rPr>
              <w:t>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第二章第42.1款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其他规定</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bCs/>
                <w:color w:val="auto"/>
                <w:szCs w:val="21"/>
                <w:highlight w:val="none"/>
              </w:rPr>
              <w:t>代理委托内容：至本项目结束。</w:t>
            </w:r>
          </w:p>
        </w:tc>
      </w:tr>
    </w:tbl>
    <w:p>
      <w:pPr>
        <w:rPr>
          <w:rFonts w:ascii="黑体" w:eastAsia="黑体"/>
          <w:color w:val="auto"/>
          <w:sz w:val="24"/>
          <w:highlight w:val="none"/>
        </w:rPr>
      </w:pPr>
    </w:p>
    <w:p>
      <w:pPr>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firstLine="480"/>
        <w:rPr>
          <w:rFonts w:ascii="黑体" w:eastAsia="黑体"/>
          <w:color w:val="auto"/>
          <w:sz w:val="24"/>
          <w:highlight w:val="none"/>
        </w:rPr>
      </w:pPr>
    </w:p>
    <w:p>
      <w:pPr>
        <w:pStyle w:val="76"/>
        <w:ind w:left="0" w:leftChars="0" w:firstLine="0" w:firstLineChars="0"/>
        <w:rPr>
          <w:rFonts w:ascii="黑体" w:eastAsia="黑体"/>
          <w:color w:val="auto"/>
          <w:sz w:val="24"/>
          <w:highlight w:val="none"/>
        </w:rPr>
      </w:pPr>
    </w:p>
    <w:p>
      <w:pPr>
        <w:pStyle w:val="76"/>
        <w:ind w:left="0" w:leftChars="0" w:firstLine="0" w:firstLineChars="0"/>
        <w:rPr>
          <w:rFonts w:ascii="黑体" w:eastAsia="黑体"/>
          <w:color w:val="auto"/>
          <w:sz w:val="24"/>
          <w:highlight w:val="none"/>
        </w:rPr>
      </w:pPr>
    </w:p>
    <w:p>
      <w:pPr>
        <w:pStyle w:val="76"/>
        <w:ind w:left="0" w:leftChars="0" w:firstLine="0" w:firstLineChars="0"/>
        <w:rPr>
          <w:rFonts w:ascii="黑体" w:eastAsia="黑体"/>
          <w:color w:val="auto"/>
          <w:sz w:val="24"/>
          <w:highlight w:val="none"/>
        </w:rPr>
      </w:pPr>
    </w:p>
    <w:p>
      <w:pPr>
        <w:pStyle w:val="76"/>
        <w:ind w:left="0" w:leftChars="0" w:firstLine="0" w:firstLineChars="0"/>
        <w:rPr>
          <w:rFonts w:ascii="黑体" w:eastAsia="黑体"/>
          <w:color w:val="auto"/>
          <w:sz w:val="24"/>
          <w:highlight w:val="none"/>
        </w:rPr>
      </w:pPr>
    </w:p>
    <w:p>
      <w:pPr>
        <w:pStyle w:val="76"/>
        <w:ind w:left="0" w:leftChars="0" w:firstLine="0" w:firstLineChars="0"/>
        <w:rPr>
          <w:rFonts w:ascii="黑体" w:eastAsia="黑体"/>
          <w:color w:val="auto"/>
          <w:sz w:val="24"/>
          <w:highlight w:val="none"/>
        </w:rPr>
      </w:pPr>
    </w:p>
    <w:p>
      <w:pPr>
        <w:pStyle w:val="76"/>
        <w:ind w:left="0" w:leftChars="0" w:firstLine="0" w:firstLineChars="0"/>
        <w:rPr>
          <w:rFonts w:ascii="黑体" w:eastAsia="黑体"/>
          <w:color w:val="auto"/>
          <w:sz w:val="24"/>
          <w:highlight w:val="none"/>
        </w:rPr>
      </w:pPr>
    </w:p>
    <w:p>
      <w:pPr>
        <w:pStyle w:val="76"/>
        <w:ind w:left="0" w:leftChars="0" w:firstLine="0" w:firstLineChars="0"/>
        <w:rPr>
          <w:rFonts w:ascii="黑体" w:eastAsia="黑体"/>
          <w:color w:val="auto"/>
          <w:sz w:val="24"/>
          <w:highlight w:val="none"/>
        </w:rPr>
      </w:pP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附页1</w:t>
      </w:r>
    </w:p>
    <w:p>
      <w:pPr>
        <w:adjustRightInd w:val="0"/>
        <w:snapToGrid w:val="0"/>
        <w:spacing w:line="360" w:lineRule="auto"/>
        <w:jc w:val="center"/>
        <w:rPr>
          <w:rFonts w:ascii="宋体" w:hAnsi="宋体"/>
          <w:b/>
          <w:bCs/>
          <w:color w:val="auto"/>
          <w:sz w:val="28"/>
          <w:szCs w:val="28"/>
          <w:highlight w:val="none"/>
        </w:rPr>
      </w:pPr>
      <w:r>
        <w:rPr>
          <w:rFonts w:hint="eastAsia" w:ascii="宋体" w:hAnsi="宋体" w:cs="宋体"/>
          <w:b/>
          <w:bCs/>
          <w:color w:val="auto"/>
          <w:kern w:val="0"/>
          <w:sz w:val="28"/>
          <w:szCs w:val="28"/>
          <w:highlight w:val="none"/>
        </w:rPr>
        <w:t>湖南省政府采购支持中小企业融资合作银行及联系人名单</w:t>
      </w:r>
    </w:p>
    <w:tbl>
      <w:tblPr>
        <w:tblStyle w:val="4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260"/>
        <w:gridCol w:w="32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70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银行名称</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联系人</w:t>
            </w:r>
          </w:p>
        </w:tc>
        <w:tc>
          <w:tcPr>
            <w:tcW w:w="324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职 务</w:t>
            </w:r>
          </w:p>
        </w:tc>
        <w:tc>
          <w:tcPr>
            <w:tcW w:w="198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交通银行湖南省分行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刘 波</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名城支行客户经理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13874998873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交通银行湖南省分行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肖勇光</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分行高级经理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13755192647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中国民生银行长沙分行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黄飞燕</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营业部总经理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13308463468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中国民生银行长沙分行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蒋寒奇</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营业部中小企业客户经理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13548982975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兴业银行长沙分行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刘栅延</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支行行长</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13337316405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兴业银行长沙分行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蒋修远</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支行客户经理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18607310422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中国光大银行长沙分行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邓永胜</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岳麓支行副行长</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13617319650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中信银行长沙分行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蔡学军</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公司银行部负责人</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13055167195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中信银行长沙分行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宋学农</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银行部综合管理部副总经理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0731-845822141</w:t>
            </w:r>
          </w:p>
        </w:tc>
      </w:tr>
    </w:tbl>
    <w:p>
      <w:pPr>
        <w:adjustRightInd w:val="0"/>
        <w:snapToGrid w:val="0"/>
        <w:spacing w:line="360" w:lineRule="auto"/>
        <w:jc w:val="center"/>
        <w:rPr>
          <w:rFonts w:ascii="宋体" w:hAnsi="宋体"/>
          <w:b/>
          <w:bCs/>
          <w:color w:val="auto"/>
          <w:sz w:val="28"/>
          <w:szCs w:val="28"/>
          <w:highlight w:val="none"/>
        </w:rPr>
      </w:pPr>
      <w:r>
        <w:rPr>
          <w:rFonts w:hint="eastAsia" w:ascii="宋体" w:hAnsi="宋体" w:cs="宋体"/>
          <w:b/>
          <w:bCs/>
          <w:color w:val="auto"/>
          <w:kern w:val="0"/>
          <w:sz w:val="28"/>
          <w:szCs w:val="28"/>
          <w:highlight w:val="none"/>
        </w:rPr>
        <w:t>长沙市政府采购支持中小企业融资合作银行及联系人名单</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1230"/>
        <w:gridCol w:w="3270"/>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608"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银行名称</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联系人</w:t>
            </w:r>
          </w:p>
        </w:tc>
        <w:tc>
          <w:tcPr>
            <w:tcW w:w="327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职 务</w:t>
            </w:r>
          </w:p>
        </w:tc>
        <w:tc>
          <w:tcPr>
            <w:tcW w:w="2072"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交通银行湖南省分行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谢俊峰</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湘江中路支行公司业务管理经理</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84919503；13687320956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光大银行长沙分行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唐红英</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溁湾支行行长</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89750053；18673166920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建设银行湖南省分行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颜国恒</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芙蓉中路支行</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88665238；13574801920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农业银行湖南省分行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李 宁</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天心区支行副行长</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85114839；13975813058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中国银行湖南省分行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刘 毅</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丽臣路支行行长</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82741897；13808436058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长沙银行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廖 科</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金城支行公司业务部总经理</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84413595；13707319275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邮储银行长沙分行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严春燕</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岳麓支行副行长</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85579459；13875864330</w:t>
            </w:r>
          </w:p>
        </w:tc>
      </w:tr>
    </w:tbl>
    <w:p>
      <w:pPr>
        <w:adjustRightInd w:val="0"/>
        <w:snapToGrid w:val="0"/>
        <w:spacing w:line="360" w:lineRule="auto"/>
        <w:rPr>
          <w:rFonts w:ascii="宋体" w:hAnsi="宋体"/>
          <w:b/>
          <w:bCs/>
          <w:color w:val="auto"/>
          <w:szCs w:val="21"/>
          <w:highlight w:val="none"/>
        </w:rPr>
      </w:pP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附页2</w:t>
      </w:r>
    </w:p>
    <w:p>
      <w:pPr>
        <w:adjustRightInd w:val="0"/>
        <w:snapToGrid w:val="0"/>
        <w:spacing w:line="360" w:lineRule="auto"/>
        <w:jc w:val="center"/>
        <w:rPr>
          <w:rFonts w:ascii="宋体" w:hAnsi="宋体"/>
          <w:b/>
          <w:bCs/>
          <w:color w:val="auto"/>
          <w:sz w:val="28"/>
          <w:szCs w:val="28"/>
          <w:highlight w:val="none"/>
        </w:rPr>
      </w:pPr>
      <w:r>
        <w:rPr>
          <w:rFonts w:hint="eastAsia" w:ascii="宋体" w:hAnsi="宋体" w:cs="宋体"/>
          <w:b/>
          <w:bCs/>
          <w:color w:val="auto"/>
          <w:kern w:val="0"/>
          <w:sz w:val="28"/>
          <w:szCs w:val="28"/>
          <w:highlight w:val="none"/>
        </w:rPr>
        <w:t>湖南省政府采购信用担保试点工作的</w:t>
      </w:r>
      <w:r>
        <w:rPr>
          <w:rFonts w:hint="eastAsia" w:ascii="宋体" w:hAnsi="宋体"/>
          <w:b/>
          <w:color w:val="auto"/>
          <w:sz w:val="28"/>
          <w:szCs w:val="28"/>
          <w:highlight w:val="none"/>
        </w:rPr>
        <w:t>信用担保机构名单</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108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320" w:type="dxa"/>
            <w:noWrap/>
            <w:vAlign w:val="center"/>
          </w:tcPr>
          <w:p>
            <w:pPr>
              <w:adjustRightInd w:val="0"/>
              <w:snapToGrid w:val="0"/>
              <w:spacing w:line="400" w:lineRule="exact"/>
              <w:jc w:val="center"/>
              <w:rPr>
                <w:rFonts w:ascii="宋体" w:hAnsi="宋体" w:cs="宋体"/>
                <w:b/>
                <w:bCs/>
                <w:color w:val="auto"/>
                <w:kern w:val="0"/>
                <w:szCs w:val="21"/>
                <w:highlight w:val="none"/>
              </w:rPr>
            </w:pPr>
            <w:r>
              <w:rPr>
                <w:rFonts w:hint="eastAsia" w:ascii="宋体" w:hAnsi="宋体"/>
                <w:b/>
                <w:color w:val="auto"/>
                <w:szCs w:val="21"/>
                <w:highlight w:val="none"/>
              </w:rPr>
              <w:t>信用担保机构</w:t>
            </w:r>
          </w:p>
        </w:tc>
        <w:tc>
          <w:tcPr>
            <w:tcW w:w="1080" w:type="dxa"/>
            <w:noWrap/>
            <w:vAlign w:val="center"/>
          </w:tcPr>
          <w:p>
            <w:pPr>
              <w:adjustRightInd w:val="0"/>
              <w:snapToGrid w:val="0"/>
              <w:spacing w:line="400" w:lineRule="exact"/>
              <w:jc w:val="center"/>
              <w:rPr>
                <w:rFonts w:ascii="宋体" w:hAnsi="宋体" w:cs="宋体"/>
                <w:b/>
                <w:bCs/>
                <w:color w:val="auto"/>
                <w:kern w:val="0"/>
                <w:szCs w:val="21"/>
                <w:highlight w:val="none"/>
              </w:rPr>
            </w:pPr>
            <w:r>
              <w:rPr>
                <w:rFonts w:hint="eastAsia" w:ascii="宋体" w:hAnsi="宋体"/>
                <w:b/>
                <w:color w:val="auto"/>
                <w:szCs w:val="21"/>
                <w:highlight w:val="none"/>
              </w:rPr>
              <w:t>联系人</w:t>
            </w:r>
          </w:p>
        </w:tc>
        <w:tc>
          <w:tcPr>
            <w:tcW w:w="3780" w:type="dxa"/>
            <w:noWrap/>
            <w:vAlign w:val="center"/>
          </w:tcPr>
          <w:p>
            <w:pPr>
              <w:adjustRightInd w:val="0"/>
              <w:snapToGrid w:val="0"/>
              <w:spacing w:line="400" w:lineRule="exact"/>
              <w:jc w:val="center"/>
              <w:rPr>
                <w:rFonts w:ascii="宋体" w:hAnsi="宋体" w:cs="宋体"/>
                <w:b/>
                <w:bCs/>
                <w:color w:val="auto"/>
                <w:kern w:val="0"/>
                <w:szCs w:val="21"/>
                <w:highlight w:val="none"/>
              </w:rPr>
            </w:pPr>
            <w:r>
              <w:rPr>
                <w:rFonts w:hint="eastAsia" w:ascii="宋体" w:hAnsi="宋体"/>
                <w:b/>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320" w:type="dxa"/>
            <w:noWrap/>
            <w:vAlign w:val="center"/>
          </w:tcPr>
          <w:p>
            <w:pPr>
              <w:adjustRightInd w:val="0"/>
              <w:snapToGrid w:val="0"/>
              <w:spacing w:line="400" w:lineRule="exact"/>
              <w:jc w:val="left"/>
              <w:rPr>
                <w:rFonts w:ascii="宋体" w:hAnsi="宋体" w:cs="宋体"/>
                <w:bCs/>
                <w:color w:val="auto"/>
                <w:kern w:val="0"/>
                <w:szCs w:val="21"/>
                <w:highlight w:val="none"/>
              </w:rPr>
            </w:pPr>
            <w:r>
              <w:rPr>
                <w:rFonts w:hint="eastAsia" w:ascii="宋体" w:hAnsi="宋体"/>
                <w:color w:val="auto"/>
                <w:szCs w:val="21"/>
                <w:highlight w:val="none"/>
              </w:rPr>
              <w:t>中国投资担保公司</w:t>
            </w:r>
          </w:p>
        </w:tc>
        <w:tc>
          <w:tcPr>
            <w:tcW w:w="1080" w:type="dxa"/>
            <w:noWrap/>
            <w:vAlign w:val="center"/>
          </w:tcPr>
          <w:p>
            <w:pPr>
              <w:adjustRightInd w:val="0"/>
              <w:snapToGrid w:val="0"/>
              <w:spacing w:line="400" w:lineRule="exact"/>
              <w:jc w:val="center"/>
              <w:rPr>
                <w:rFonts w:ascii="宋体" w:hAnsi="宋体" w:cs="宋体"/>
                <w:bCs/>
                <w:color w:val="auto"/>
                <w:kern w:val="0"/>
                <w:szCs w:val="21"/>
                <w:highlight w:val="none"/>
              </w:rPr>
            </w:pPr>
            <w:r>
              <w:rPr>
                <w:rFonts w:hint="eastAsia" w:ascii="宋体" w:hAnsi="宋体"/>
                <w:color w:val="auto"/>
                <w:szCs w:val="21"/>
                <w:highlight w:val="none"/>
              </w:rPr>
              <w:t>何  嘉</w:t>
            </w:r>
          </w:p>
        </w:tc>
        <w:tc>
          <w:tcPr>
            <w:tcW w:w="3780" w:type="dxa"/>
            <w:noWrap/>
            <w:vAlign w:val="center"/>
          </w:tcPr>
          <w:p>
            <w:pPr>
              <w:adjustRightInd w:val="0"/>
              <w:snapToGrid w:val="0"/>
              <w:spacing w:line="400" w:lineRule="exact"/>
              <w:jc w:val="left"/>
              <w:rPr>
                <w:rFonts w:ascii="宋体" w:hAnsi="宋体" w:cs="宋体"/>
                <w:bCs/>
                <w:color w:val="auto"/>
                <w:kern w:val="0"/>
                <w:szCs w:val="21"/>
                <w:highlight w:val="none"/>
              </w:rPr>
            </w:pPr>
            <w:r>
              <w:rPr>
                <w:rFonts w:hint="eastAsia" w:ascii="宋体" w:hAnsi="宋体"/>
                <w:color w:val="auto"/>
                <w:szCs w:val="21"/>
                <w:highlight w:val="none"/>
              </w:rPr>
              <w:t>010-88822659/13718642233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320" w:type="dxa"/>
            <w:noWrap/>
            <w:vAlign w:val="center"/>
          </w:tcPr>
          <w:p>
            <w:pPr>
              <w:adjustRightInd w:val="0"/>
              <w:snapToGrid w:val="0"/>
              <w:spacing w:line="400" w:lineRule="exact"/>
              <w:jc w:val="left"/>
              <w:rPr>
                <w:rFonts w:ascii="宋体" w:hAnsi="宋体" w:cs="宋体"/>
                <w:bCs/>
                <w:color w:val="auto"/>
                <w:kern w:val="0"/>
                <w:szCs w:val="21"/>
                <w:highlight w:val="none"/>
              </w:rPr>
            </w:pPr>
            <w:r>
              <w:rPr>
                <w:rFonts w:hint="eastAsia" w:ascii="宋体" w:hAnsi="宋体"/>
                <w:color w:val="auto"/>
                <w:szCs w:val="21"/>
                <w:highlight w:val="none"/>
              </w:rPr>
              <w:t>湖南省中小企业信用担保有限责任公司</w:t>
            </w:r>
          </w:p>
        </w:tc>
        <w:tc>
          <w:tcPr>
            <w:tcW w:w="1080" w:type="dxa"/>
            <w:noWrap/>
            <w:vAlign w:val="center"/>
          </w:tcPr>
          <w:p>
            <w:pPr>
              <w:adjustRightInd w:val="0"/>
              <w:snapToGrid w:val="0"/>
              <w:spacing w:line="400" w:lineRule="exact"/>
              <w:jc w:val="center"/>
              <w:rPr>
                <w:rFonts w:ascii="宋体" w:hAnsi="宋体" w:cs="宋体"/>
                <w:bCs/>
                <w:color w:val="auto"/>
                <w:kern w:val="0"/>
                <w:szCs w:val="21"/>
                <w:highlight w:val="none"/>
              </w:rPr>
            </w:pPr>
            <w:r>
              <w:rPr>
                <w:rFonts w:hint="eastAsia" w:ascii="宋体" w:hAnsi="宋体"/>
                <w:color w:val="auto"/>
                <w:szCs w:val="21"/>
                <w:highlight w:val="none"/>
              </w:rPr>
              <w:t>蔡建雄</w:t>
            </w:r>
          </w:p>
        </w:tc>
        <w:tc>
          <w:tcPr>
            <w:tcW w:w="3780" w:type="dxa"/>
            <w:noWrap/>
            <w:vAlign w:val="center"/>
          </w:tcPr>
          <w:p>
            <w:pPr>
              <w:adjustRightInd w:val="0"/>
              <w:snapToGrid w:val="0"/>
              <w:spacing w:line="400" w:lineRule="exact"/>
              <w:jc w:val="left"/>
              <w:rPr>
                <w:rFonts w:ascii="宋体" w:hAnsi="宋体" w:cs="宋体"/>
                <w:bCs/>
                <w:color w:val="auto"/>
                <w:kern w:val="0"/>
                <w:szCs w:val="21"/>
                <w:highlight w:val="none"/>
              </w:rPr>
            </w:pPr>
            <w:r>
              <w:rPr>
                <w:rFonts w:hint="eastAsia" w:ascii="宋体" w:hAnsi="宋体"/>
                <w:color w:val="auto"/>
                <w:szCs w:val="21"/>
                <w:highlight w:val="none"/>
              </w:rPr>
              <w:t>0731-84172390-201/15573193555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320" w:type="dxa"/>
            <w:noWrap/>
            <w:vAlign w:val="center"/>
          </w:tcPr>
          <w:p>
            <w:pPr>
              <w:adjustRightInd w:val="0"/>
              <w:snapToGrid w:val="0"/>
              <w:spacing w:line="400" w:lineRule="exact"/>
              <w:rPr>
                <w:rFonts w:ascii="宋体" w:hAnsi="宋体" w:cs="宋体"/>
                <w:color w:val="auto"/>
                <w:szCs w:val="21"/>
                <w:highlight w:val="none"/>
              </w:rPr>
            </w:pPr>
            <w:r>
              <w:rPr>
                <w:rFonts w:hint="eastAsia" w:ascii="宋体" w:hAnsi="宋体"/>
                <w:color w:val="auto"/>
                <w:szCs w:val="21"/>
                <w:highlight w:val="none"/>
              </w:rPr>
              <w:t>湖南农业信用担保有限公司</w:t>
            </w:r>
          </w:p>
        </w:tc>
        <w:tc>
          <w:tcPr>
            <w:tcW w:w="1080" w:type="dxa"/>
            <w:noWrap/>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彭  球</w:t>
            </w:r>
          </w:p>
          <w:p>
            <w:pPr>
              <w:adjustRightInd w:val="0"/>
              <w:snapToGrid w:val="0"/>
              <w:spacing w:line="400" w:lineRule="exact"/>
              <w:jc w:val="center"/>
              <w:rPr>
                <w:rFonts w:ascii="宋体" w:hAnsi="宋体" w:cs="宋体"/>
                <w:bCs/>
                <w:color w:val="auto"/>
                <w:kern w:val="0"/>
                <w:szCs w:val="21"/>
                <w:highlight w:val="none"/>
              </w:rPr>
            </w:pPr>
            <w:r>
              <w:rPr>
                <w:rFonts w:hint="eastAsia" w:ascii="宋体" w:hAnsi="宋体"/>
                <w:color w:val="auto"/>
                <w:szCs w:val="21"/>
                <w:highlight w:val="none"/>
              </w:rPr>
              <w:t>邓霞英</w:t>
            </w:r>
          </w:p>
        </w:tc>
        <w:tc>
          <w:tcPr>
            <w:tcW w:w="3780" w:type="dxa"/>
            <w:noWrap/>
            <w:vAlign w:val="center"/>
          </w:tcPr>
          <w:p>
            <w:pPr>
              <w:adjustRightInd w:val="0"/>
              <w:snapToGrid w:val="0"/>
              <w:spacing w:line="400" w:lineRule="exact"/>
              <w:jc w:val="left"/>
              <w:rPr>
                <w:rFonts w:ascii="宋体" w:hAnsi="宋体" w:cs="宋体"/>
                <w:bCs/>
                <w:color w:val="auto"/>
                <w:kern w:val="0"/>
                <w:szCs w:val="21"/>
                <w:highlight w:val="none"/>
              </w:rPr>
            </w:pPr>
            <w:r>
              <w:rPr>
                <w:rFonts w:hint="eastAsia" w:ascii="宋体" w:hAnsi="宋体"/>
                <w:color w:val="auto"/>
                <w:szCs w:val="21"/>
                <w:highlight w:val="none"/>
              </w:rPr>
              <w:t>0731-89761702/13875980906 0731-89761706/13574125851</w:t>
            </w:r>
          </w:p>
        </w:tc>
      </w:tr>
    </w:tbl>
    <w:p>
      <w:pPr>
        <w:adjustRightInd w:val="0"/>
        <w:snapToGrid w:val="0"/>
        <w:spacing w:line="360" w:lineRule="auto"/>
        <w:rPr>
          <w:rFonts w:ascii="宋体" w:hAnsi="宋体"/>
          <w:b/>
          <w:color w:val="auto"/>
          <w:szCs w:val="21"/>
          <w:highlight w:val="none"/>
        </w:rPr>
        <w:sectPr>
          <w:headerReference r:id="rId3" w:type="default"/>
          <w:footerReference r:id="rId4" w:type="default"/>
          <w:footerReference r:id="rId5" w:type="even"/>
          <w:pgSz w:w="11906" w:h="16838"/>
          <w:pgMar w:top="1440" w:right="1474" w:bottom="1440" w:left="1474" w:header="851" w:footer="992" w:gutter="0"/>
          <w:cols w:space="720" w:num="1"/>
          <w:docGrid w:type="lines" w:linePitch="312" w:charSpace="0"/>
        </w:sectPr>
      </w:pP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附页3</w:t>
      </w:r>
    </w:p>
    <w:p>
      <w:pPr>
        <w:adjustRightInd w:val="0"/>
        <w:snapToGrid w:val="0"/>
        <w:spacing w:line="360" w:lineRule="auto"/>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履约担保函</w:t>
      </w:r>
    </w:p>
    <w:p>
      <w:pPr>
        <w:adjustRightInd w:val="0"/>
        <w:snapToGrid w:val="0"/>
        <w:spacing w:line="360" w:lineRule="auto"/>
        <w:ind w:firstLine="6510" w:firstLineChars="3100"/>
        <w:rPr>
          <w:rFonts w:ascii="宋体" w:hAnsi="宋体" w:cs="宋体"/>
          <w:b/>
          <w:color w:val="auto"/>
          <w:kern w:val="0"/>
          <w:szCs w:val="21"/>
          <w:highlight w:val="none"/>
        </w:rPr>
      </w:pPr>
      <w:r>
        <w:rPr>
          <w:rFonts w:hint="eastAsia" w:ascii="宋体" w:hAnsi="宋体" w:cs="宋体"/>
          <w:color w:val="auto"/>
          <w:kern w:val="0"/>
          <w:szCs w:val="21"/>
          <w:highlight w:val="none"/>
        </w:rPr>
        <w:t>编号：</w:t>
      </w:r>
    </w:p>
    <w:p>
      <w:pPr>
        <w:adjustRightInd w:val="0"/>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 xml:space="preserve">（采购人）： </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鉴于你方与（以下简称供应商）于年月日签订编号为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一、保证责任的情形及保证金额</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（一）在供应商出现下列情形之一时，我方承担保证责任：</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1．将中标项目转让给他人，或者在投标文件中未说明，且未经采购人同意，将中标项目分包给他人的；</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2．主合同约定的应当缴纳履约保证金的情形: </w:t>
      </w:r>
    </w:p>
    <w:p>
      <w:pPr>
        <w:adjustRightInd w:val="0"/>
        <w:snapToGrid w:val="0"/>
        <w:spacing w:line="360" w:lineRule="auto"/>
        <w:ind w:firstLine="420" w:firstLineChars="200"/>
        <w:rPr>
          <w:rFonts w:ascii="宋体" w:hAnsi="宋体" w:cs="宋体"/>
          <w:b/>
          <w:color w:val="auto"/>
          <w:kern w:val="0"/>
          <w:szCs w:val="21"/>
          <w:highlight w:val="none"/>
        </w:rPr>
      </w:pPr>
      <w:r>
        <w:rPr>
          <w:rFonts w:hint="eastAsia" w:ascii="宋体" w:hAnsi="宋体" w:cs="宋体"/>
          <w:color w:val="auto"/>
          <w:kern w:val="0"/>
          <w:szCs w:val="21"/>
          <w:highlight w:val="none"/>
        </w:rPr>
        <w:t xml:space="preserve">（1）未按主合同约定的质量、数量和期限供应货物/提供服务/完成工程的； </w:t>
      </w:r>
    </w:p>
    <w:p>
      <w:pPr>
        <w:adjustRightInd w:val="0"/>
        <w:snapToGrid w:val="0"/>
        <w:spacing w:line="360" w:lineRule="auto"/>
        <w:ind w:firstLine="420" w:firstLineChars="200"/>
        <w:rPr>
          <w:rFonts w:ascii="宋体" w:hAnsi="宋体" w:cs="宋体"/>
          <w:color w:val="auto"/>
          <w:kern w:val="0"/>
          <w:szCs w:val="21"/>
          <w:highlight w:val="none"/>
          <w:u w:val="single"/>
        </w:rPr>
      </w:pPr>
      <w:r>
        <w:rPr>
          <w:rFonts w:hint="eastAsia" w:ascii="宋体" w:hAnsi="宋体" w:cs="宋体"/>
          <w:color w:val="auto"/>
          <w:kern w:val="0"/>
          <w:szCs w:val="21"/>
          <w:highlight w:val="none"/>
        </w:rPr>
        <w:t>（2）。</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（二）我方的保证范围是主合同约定的合同价款总额的%数额为元（大写），币种为。（即主合同履约保证金金额）</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二、保证的方式及保证期间 </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我方保证的方式为：连带责任保证。 </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我方保证的期间为：自本合同生效之日起至供应商按照主合同约定的供货/完工期限届满后日内。</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三、承担保证责任的程序</w:t>
      </w:r>
    </w:p>
    <w:p>
      <w:pPr>
        <w:adjustRightInd w:val="0"/>
        <w:snapToGrid w:val="0"/>
        <w:spacing w:line="360" w:lineRule="auto"/>
        <w:ind w:firstLine="420" w:firstLineChars="200"/>
        <w:rPr>
          <w:rFonts w:ascii="宋体" w:hAnsi="宋体" w:cs="宋体"/>
          <w:b/>
          <w:color w:val="auto"/>
          <w:kern w:val="0"/>
          <w:szCs w:val="21"/>
          <w:highlight w:val="none"/>
        </w:rPr>
      </w:pPr>
      <w:r>
        <w:rPr>
          <w:rFonts w:hint="eastAsia" w:ascii="宋体" w:hAnsi="宋体" w:cs="宋体"/>
          <w:color w:val="auto"/>
          <w:kern w:val="0"/>
          <w:szCs w:val="21"/>
          <w:highlight w:val="none"/>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如果你方与供应商因货物质量问题产生争议，你方还需同时提供部门出具的质量检测报告，或经诉讼（仲裁）程序裁决后的裁决书、调解书，本保证人即按照检测结果或裁决书、调解书决定是否承担保证责任。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2．我方收到你方的书面索赔通知及相应证明材料，在工作日内进行核定后按照本保函的承诺承担保证责任。</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四、保证责任的终止</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3．按照法律法规的规定或出现应终止我方保证责任的其它情形的，我方在本保函项下的保证责任亦终止。</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五、免责条款</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1．因你方违反主合同约定致使供应商不能履行义务的，我方不承担保证责任。</w:t>
      </w:r>
    </w:p>
    <w:p>
      <w:pPr>
        <w:adjustRightInd w:val="0"/>
        <w:snapToGrid w:val="0"/>
        <w:spacing w:line="360" w:lineRule="auto"/>
        <w:ind w:firstLine="420" w:firstLineChars="200"/>
        <w:rPr>
          <w:rFonts w:ascii="宋体" w:hAnsi="宋体" w:cs="宋体"/>
          <w:b/>
          <w:color w:val="auto"/>
          <w:kern w:val="0"/>
          <w:szCs w:val="21"/>
          <w:highlight w:val="none"/>
        </w:rPr>
      </w:pPr>
      <w:r>
        <w:rPr>
          <w:rFonts w:hint="eastAsia" w:ascii="宋体" w:hAnsi="宋体" w:cs="宋体"/>
          <w:color w:val="auto"/>
          <w:kern w:val="0"/>
          <w:szCs w:val="21"/>
          <w:highlight w:val="none"/>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3．因不可抗力造成供应商不能履行供货义务的，我方不承担保证责任。</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六、争议的解决</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因本保函发生的纠纷，由你我双方协商解决，协商不成的，通过诉讼程序解决，诉讼管辖地法院为法院。</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七、保函的生效 </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本保函自我方加盖公章之日起生效。 </w:t>
      </w:r>
    </w:p>
    <w:p>
      <w:pPr>
        <w:tabs>
          <w:tab w:val="left" w:pos="2850"/>
        </w:tabs>
        <w:adjustRightInd w:val="0"/>
        <w:snapToGrid w:val="0"/>
        <w:spacing w:line="360" w:lineRule="auto"/>
        <w:rPr>
          <w:rFonts w:ascii="宋体" w:hAnsi="宋体" w:cs="宋体"/>
          <w:color w:val="auto"/>
          <w:kern w:val="0"/>
          <w:szCs w:val="21"/>
          <w:highlight w:val="none"/>
        </w:rPr>
      </w:pPr>
      <w:r>
        <w:rPr>
          <w:rFonts w:ascii="宋体" w:hAnsi="宋体" w:cs="宋体"/>
          <w:color w:val="auto"/>
          <w:kern w:val="0"/>
          <w:szCs w:val="21"/>
          <w:highlight w:val="none"/>
        </w:rPr>
        <w:tab/>
      </w: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 xml:space="preserve"> 保证人：（公章） </w:t>
      </w:r>
    </w:p>
    <w:p>
      <w:pPr>
        <w:adjustRightInd w:val="0"/>
        <w:snapToGrid w:val="0"/>
        <w:spacing w:line="360" w:lineRule="auto"/>
        <w:ind w:firstLine="3990" w:firstLineChars="1900"/>
        <w:rPr>
          <w:rFonts w:ascii="宋体" w:hAnsi="宋体" w:cs="宋体"/>
          <w:color w:val="auto"/>
          <w:kern w:val="0"/>
          <w:szCs w:val="21"/>
          <w:highlight w:val="none"/>
        </w:rPr>
        <w:sectPr>
          <w:pgSz w:w="11906" w:h="16838"/>
          <w:pgMar w:top="1440" w:right="1531" w:bottom="1440" w:left="1531" w:header="851" w:footer="992" w:gutter="0"/>
          <w:cols w:space="720" w:num="1"/>
          <w:docGrid w:type="lines" w:linePitch="312" w:charSpace="0"/>
        </w:sectPr>
      </w:pPr>
      <w:r>
        <w:rPr>
          <w:rFonts w:hint="eastAsia" w:ascii="宋体" w:hAnsi="宋体" w:cs="宋体"/>
          <w:color w:val="auto"/>
          <w:kern w:val="0"/>
          <w:szCs w:val="21"/>
          <w:highlight w:val="none"/>
        </w:rPr>
        <w:t xml:space="preserve"> 年月 日</w:t>
      </w:r>
    </w:p>
    <w:p>
      <w:pPr>
        <w:rPr>
          <w:rFonts w:ascii="宋体" w:hAnsi="宋体"/>
          <w:b/>
          <w:color w:val="auto"/>
          <w:szCs w:val="21"/>
          <w:highlight w:val="none"/>
        </w:rPr>
      </w:pPr>
      <w:r>
        <w:rPr>
          <w:rFonts w:hint="eastAsia" w:ascii="宋体" w:hAnsi="宋体"/>
          <w:b/>
          <w:bCs/>
          <w:color w:val="auto"/>
          <w:szCs w:val="21"/>
          <w:highlight w:val="none"/>
        </w:rPr>
        <w:t>附页4</w:t>
      </w:r>
    </w:p>
    <w:p>
      <w:pPr>
        <w:jc w:val="center"/>
        <w:rPr>
          <w:rFonts w:ascii="宋体" w:hAnsi="宋体"/>
          <w:b/>
          <w:color w:val="auto"/>
          <w:sz w:val="28"/>
          <w:szCs w:val="28"/>
          <w:highlight w:val="none"/>
        </w:rPr>
      </w:pPr>
      <w:r>
        <w:rPr>
          <w:rFonts w:hint="eastAsia" w:ascii="宋体" w:hAnsi="宋体"/>
          <w:b/>
          <w:color w:val="auto"/>
          <w:sz w:val="28"/>
          <w:szCs w:val="28"/>
          <w:highlight w:val="none"/>
        </w:rPr>
        <w:t>评审因素和标准</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8"/>
        <w:gridCol w:w="1135"/>
        <w:gridCol w:w="992"/>
        <w:gridCol w:w="668"/>
        <w:gridCol w:w="49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8"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135"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评审因素</w:t>
            </w:r>
          </w:p>
        </w:tc>
        <w:tc>
          <w:tcPr>
            <w:tcW w:w="992"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w:t>
            </w:r>
          </w:p>
        </w:tc>
        <w:tc>
          <w:tcPr>
            <w:tcW w:w="668"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分值</w:t>
            </w:r>
          </w:p>
        </w:tc>
        <w:tc>
          <w:tcPr>
            <w:tcW w:w="4942"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8" w:type="dxa"/>
            <w:noWrap w:val="0"/>
            <w:vAlign w:val="center"/>
          </w:tcPr>
          <w:p>
            <w:pPr>
              <w:spacing w:line="280" w:lineRule="exact"/>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1</w:t>
            </w:r>
          </w:p>
        </w:tc>
        <w:tc>
          <w:tcPr>
            <w:tcW w:w="1135" w:type="dxa"/>
            <w:noWrap w:val="0"/>
            <w:vAlign w:val="center"/>
          </w:tcPr>
          <w:p>
            <w:pPr>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报价</w:t>
            </w:r>
            <w:r>
              <w:rPr>
                <w:rFonts w:hint="eastAsia" w:ascii="宋体" w:hAnsi="宋体" w:eastAsia="宋体" w:cs="宋体"/>
                <w:sz w:val="21"/>
                <w:szCs w:val="21"/>
                <w:highlight w:val="none"/>
                <w:lang w:val="en-US" w:eastAsia="zh-CN"/>
              </w:rPr>
              <w:t>部分</w:t>
            </w: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rPr>
              <w:t>分</w:t>
            </w:r>
          </w:p>
        </w:tc>
        <w:tc>
          <w:tcPr>
            <w:tcW w:w="992"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磋商报价</w:t>
            </w:r>
          </w:p>
        </w:tc>
        <w:tc>
          <w:tcPr>
            <w:tcW w:w="668"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rPr>
              <w:t>分</w:t>
            </w:r>
          </w:p>
        </w:tc>
        <w:tc>
          <w:tcPr>
            <w:tcW w:w="4942" w:type="dxa"/>
            <w:noWrap w:val="0"/>
            <w:vAlign w:val="center"/>
          </w:tcPr>
          <w:p>
            <w:pPr>
              <w:spacing w:line="28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1、满足磋商文件要求且最后报价最低的供应商的价格为磋商基准价，其价格分为满分。其他供应商的价格分统一按照下列公式计算：</w:t>
            </w:r>
          </w:p>
          <w:p>
            <w:pPr>
              <w:spacing w:line="28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磋商报价得分=（磋商基准价/最后磋商报价）×价格权值</w:t>
            </w:r>
            <w:r>
              <w:rPr>
                <w:rFonts w:hint="eastAsia" w:ascii="宋体" w:hAnsi="宋体" w:eastAsia="宋体" w:cs="宋体"/>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8" w:type="dxa"/>
            <w:vMerge w:val="restart"/>
            <w:noWrap w:val="0"/>
            <w:vAlign w:val="center"/>
          </w:tcPr>
          <w:p>
            <w:pPr>
              <w:spacing w:line="280" w:lineRule="exact"/>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2</w:t>
            </w:r>
          </w:p>
        </w:tc>
        <w:tc>
          <w:tcPr>
            <w:tcW w:w="1135" w:type="dxa"/>
            <w:vMerge w:val="restart"/>
            <w:noWrap w:val="0"/>
            <w:vAlign w:val="center"/>
          </w:tcPr>
          <w:p>
            <w:pPr>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技术</w:t>
            </w:r>
            <w:r>
              <w:rPr>
                <w:rFonts w:hint="eastAsia" w:ascii="宋体" w:hAnsi="宋体" w:eastAsia="宋体" w:cs="宋体"/>
                <w:sz w:val="21"/>
                <w:szCs w:val="21"/>
                <w:highlight w:val="none"/>
                <w:lang w:val="en-US" w:eastAsia="zh-CN"/>
              </w:rPr>
              <w:t>部分</w:t>
            </w:r>
            <w:r>
              <w:rPr>
                <w:rFonts w:hint="eastAsia" w:ascii="宋体" w:hAnsi="宋体" w:cs="宋体"/>
                <w:sz w:val="21"/>
                <w:szCs w:val="21"/>
                <w:highlight w:val="none"/>
                <w:lang w:val="en-US" w:eastAsia="zh-CN"/>
              </w:rPr>
              <w:t>50</w:t>
            </w:r>
            <w:r>
              <w:rPr>
                <w:rFonts w:hint="eastAsia" w:ascii="宋体" w:hAnsi="宋体" w:eastAsia="宋体" w:cs="宋体"/>
                <w:sz w:val="21"/>
                <w:szCs w:val="21"/>
                <w:highlight w:val="none"/>
              </w:rPr>
              <w:t>分</w:t>
            </w:r>
          </w:p>
        </w:tc>
        <w:tc>
          <w:tcPr>
            <w:tcW w:w="992"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服务质量控制</w:t>
            </w:r>
          </w:p>
        </w:tc>
        <w:tc>
          <w:tcPr>
            <w:tcW w:w="668" w:type="dxa"/>
            <w:noWrap w:val="0"/>
            <w:vAlign w:val="center"/>
          </w:tcPr>
          <w:p>
            <w:pPr>
              <w:spacing w:line="280" w:lineRule="exact"/>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rPr>
              <w:t>分</w:t>
            </w:r>
          </w:p>
        </w:tc>
        <w:tc>
          <w:tcPr>
            <w:tcW w:w="4942" w:type="dxa"/>
            <w:noWrap w:val="0"/>
            <w:vAlign w:val="center"/>
          </w:tcPr>
          <w:p>
            <w:pPr>
              <w:spacing w:line="280" w:lineRule="exact"/>
              <w:ind w:firstLine="210" w:firstLineChars="100"/>
              <w:rPr>
                <w:rFonts w:hint="eastAsia" w:ascii="宋体" w:hAnsi="宋体" w:eastAsia="宋体" w:cs="宋体"/>
                <w:sz w:val="21"/>
                <w:szCs w:val="21"/>
                <w:highlight w:val="none"/>
              </w:rPr>
            </w:pPr>
            <w:r>
              <w:rPr>
                <w:rFonts w:hint="eastAsia" w:ascii="宋体" w:hAnsi="宋体" w:cs="宋体"/>
                <w:highlight w:val="none"/>
                <w:lang w:val="en-US" w:eastAsia="zh-CN"/>
              </w:rPr>
              <w:t>供应商</w:t>
            </w:r>
            <w:r>
              <w:rPr>
                <w:rFonts w:hint="eastAsia" w:ascii="宋体" w:hAnsi="宋体" w:cs="宋体"/>
                <w:highlight w:val="none"/>
              </w:rPr>
              <w:t>根据项目内容提供</w:t>
            </w:r>
            <w:r>
              <w:rPr>
                <w:rFonts w:hint="eastAsia" w:ascii="宋体" w:hAnsi="宋体" w:eastAsia="宋体" w:cs="宋体"/>
                <w:sz w:val="21"/>
                <w:szCs w:val="21"/>
                <w:highlight w:val="none"/>
              </w:rPr>
              <w:t>的服务质量控制方案，</w:t>
            </w:r>
            <w:r>
              <w:rPr>
                <w:rFonts w:hint="eastAsia" w:ascii="宋体" w:hAnsi="宋体" w:cs="宋体"/>
                <w:sz w:val="21"/>
                <w:szCs w:val="21"/>
                <w:highlight w:val="none"/>
                <w:lang w:val="en-US" w:eastAsia="zh-CN"/>
              </w:rPr>
              <w:t>应包括但不限于：</w:t>
            </w:r>
            <w:r>
              <w:rPr>
                <w:rFonts w:hint="eastAsia" w:ascii="宋体" w:hAnsi="宋体" w:eastAsia="宋体" w:cs="宋体"/>
                <w:sz w:val="21"/>
                <w:szCs w:val="21"/>
                <w:highlight w:val="none"/>
              </w:rPr>
              <w:t>故障响应时效、故障处理时效、故障隐患防范措施等方面</w:t>
            </w:r>
            <w:r>
              <w:rPr>
                <w:rFonts w:hint="eastAsia" w:ascii="宋体" w:hAnsi="宋体" w:cs="宋体"/>
                <w:sz w:val="21"/>
                <w:szCs w:val="21"/>
                <w:highlight w:val="none"/>
                <w:lang w:eastAsia="zh-CN"/>
              </w:rPr>
              <w:t>。需求理解透彻、方案完整全面、合理的计</w:t>
            </w:r>
            <w:r>
              <w:rPr>
                <w:rFonts w:hint="eastAsia" w:ascii="宋体" w:hAnsi="宋体" w:cs="宋体"/>
                <w:sz w:val="21"/>
                <w:szCs w:val="21"/>
                <w:highlight w:val="none"/>
                <w:lang w:val="en-US" w:eastAsia="zh-CN"/>
              </w:rPr>
              <w:t>20</w:t>
            </w:r>
            <w:r>
              <w:rPr>
                <w:rFonts w:hint="eastAsia" w:ascii="宋体" w:hAnsi="宋体" w:cs="宋体"/>
                <w:sz w:val="21"/>
                <w:szCs w:val="21"/>
                <w:highlight w:val="none"/>
                <w:lang w:eastAsia="zh-CN"/>
              </w:rPr>
              <w:t>分，缺漏项、不完整、不合理的每处扣</w:t>
            </w:r>
            <w:r>
              <w:rPr>
                <w:rFonts w:hint="eastAsia" w:ascii="宋体" w:hAnsi="宋体" w:cs="宋体"/>
                <w:sz w:val="21"/>
                <w:szCs w:val="21"/>
                <w:highlight w:val="none"/>
                <w:lang w:val="en-US" w:eastAsia="zh-CN"/>
              </w:rPr>
              <w:t>4</w:t>
            </w:r>
            <w:r>
              <w:rPr>
                <w:rFonts w:hint="eastAsia" w:ascii="宋体" w:hAnsi="宋体" w:cs="宋体"/>
                <w:sz w:val="21"/>
                <w:szCs w:val="21"/>
                <w:highlight w:val="none"/>
                <w:lang w:eastAsia="zh-CN"/>
              </w:rPr>
              <w:t>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8" w:type="dxa"/>
            <w:vMerge w:val="continue"/>
            <w:noWrap w:val="0"/>
            <w:vAlign w:val="center"/>
          </w:tcPr>
          <w:p>
            <w:pPr>
              <w:spacing w:line="280" w:lineRule="exact"/>
              <w:rPr>
                <w:rFonts w:hint="eastAsia" w:ascii="宋体" w:hAnsi="宋体" w:eastAsia="宋体" w:cs="宋体"/>
                <w:sz w:val="21"/>
                <w:szCs w:val="21"/>
                <w:highlight w:val="none"/>
              </w:rPr>
            </w:pPr>
          </w:p>
        </w:tc>
        <w:tc>
          <w:tcPr>
            <w:tcW w:w="1135" w:type="dxa"/>
            <w:vMerge w:val="continue"/>
            <w:noWrap w:val="0"/>
            <w:vAlign w:val="center"/>
          </w:tcPr>
          <w:p>
            <w:pPr>
              <w:spacing w:line="280" w:lineRule="exact"/>
              <w:rPr>
                <w:rFonts w:hint="eastAsia" w:ascii="宋体" w:hAnsi="宋体" w:eastAsia="宋体" w:cs="宋体"/>
                <w:sz w:val="21"/>
                <w:szCs w:val="21"/>
                <w:highlight w:val="none"/>
              </w:rPr>
            </w:pPr>
          </w:p>
        </w:tc>
        <w:tc>
          <w:tcPr>
            <w:tcW w:w="992"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维保服务管理</w:t>
            </w:r>
          </w:p>
        </w:tc>
        <w:tc>
          <w:tcPr>
            <w:tcW w:w="668" w:type="dxa"/>
            <w:noWrap w:val="0"/>
            <w:vAlign w:val="center"/>
          </w:tcPr>
          <w:p>
            <w:pPr>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分</w:t>
            </w:r>
          </w:p>
        </w:tc>
        <w:tc>
          <w:tcPr>
            <w:tcW w:w="4942" w:type="dxa"/>
            <w:noWrap w:val="0"/>
            <w:vAlign w:val="center"/>
          </w:tcPr>
          <w:p>
            <w:pPr>
              <w:spacing w:line="28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cs="宋体"/>
                <w:highlight w:val="none"/>
                <w:lang w:val="en-US" w:eastAsia="zh-CN"/>
              </w:rPr>
              <w:t>供应商</w:t>
            </w:r>
            <w:r>
              <w:rPr>
                <w:rFonts w:hint="eastAsia" w:ascii="宋体" w:hAnsi="宋体" w:cs="宋体"/>
                <w:highlight w:val="none"/>
              </w:rPr>
              <w:t>根据项目内容提供应急处理方案</w:t>
            </w:r>
            <w:r>
              <w:rPr>
                <w:rFonts w:hint="eastAsia" w:ascii="宋体" w:hAnsi="宋体" w:cs="宋体"/>
                <w:highlight w:val="none"/>
                <w:lang w:eastAsia="zh-CN"/>
              </w:rPr>
              <w:t>，</w:t>
            </w:r>
            <w:r>
              <w:rPr>
                <w:rFonts w:hint="eastAsia" w:ascii="宋体" w:hAnsi="宋体" w:cs="宋体"/>
                <w:highlight w:val="none"/>
              </w:rPr>
              <w:t>应包括：指定现场责任人、工作目标、具体应急措施等要求。</w:t>
            </w:r>
            <w:r>
              <w:rPr>
                <w:rFonts w:hint="eastAsia" w:ascii="宋体" w:hAnsi="宋体" w:cs="宋体"/>
                <w:szCs w:val="21"/>
                <w:highlight w:val="none"/>
              </w:rPr>
              <w:t>需求理解透彻、方案完整全面、合理的计10分，缺漏项、不完整、不合理的每处扣2分，扣完为止。</w:t>
            </w:r>
          </w:p>
          <w:p>
            <w:pPr>
              <w:spacing w:line="28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cs="宋体"/>
                <w:highlight w:val="none"/>
                <w:lang w:val="en-US" w:eastAsia="zh-CN"/>
              </w:rPr>
              <w:t>供应商</w:t>
            </w:r>
            <w:r>
              <w:rPr>
                <w:rFonts w:hint="eastAsia" w:ascii="宋体" w:hAnsi="宋体" w:cs="宋体"/>
                <w:highlight w:val="none"/>
              </w:rPr>
              <w:t>根据项目内容提供</w:t>
            </w:r>
            <w:r>
              <w:rPr>
                <w:rFonts w:hint="eastAsia" w:ascii="宋体" w:hAnsi="宋体" w:cs="宋体"/>
                <w:highlight w:val="none"/>
                <w:lang w:val="en-US" w:eastAsia="zh-CN"/>
              </w:rPr>
              <w:t>的</w:t>
            </w:r>
            <w:r>
              <w:rPr>
                <w:rFonts w:hint="eastAsia" w:ascii="宋体" w:hAnsi="宋体" w:eastAsia="宋体" w:cs="宋体"/>
                <w:sz w:val="21"/>
                <w:szCs w:val="21"/>
                <w:highlight w:val="none"/>
              </w:rPr>
              <w:t>文明作业保障措施</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应包括：</w:t>
            </w:r>
            <w:r>
              <w:rPr>
                <w:rFonts w:hint="eastAsia" w:ascii="宋体" w:hAnsi="宋体" w:eastAsia="宋体" w:cs="宋体"/>
                <w:sz w:val="21"/>
                <w:szCs w:val="21"/>
                <w:highlight w:val="none"/>
              </w:rPr>
              <w:t>维保员统一着装，配备专业维保工具、文明作业、工作纪律强</w:t>
            </w:r>
            <w:r>
              <w:rPr>
                <w:rFonts w:hint="eastAsia" w:ascii="宋体" w:hAnsi="宋体" w:cs="宋体"/>
                <w:sz w:val="21"/>
                <w:szCs w:val="21"/>
                <w:highlight w:val="none"/>
                <w:lang w:val="en-US" w:eastAsia="zh-CN"/>
              </w:rPr>
              <w:t>等方面。</w:t>
            </w:r>
            <w:r>
              <w:rPr>
                <w:rFonts w:hint="eastAsia" w:ascii="宋体" w:hAnsi="宋体" w:cs="宋体"/>
                <w:szCs w:val="21"/>
                <w:highlight w:val="none"/>
              </w:rPr>
              <w:t>需求理解透彻、方案完整全面、合理的计10分，缺漏项、不完整、不合理的每处扣2分，扣完为止。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8" w:type="dxa"/>
            <w:vMerge w:val="continue"/>
            <w:noWrap w:val="0"/>
            <w:vAlign w:val="center"/>
          </w:tcPr>
          <w:p>
            <w:pPr>
              <w:spacing w:line="280" w:lineRule="exact"/>
              <w:rPr>
                <w:rFonts w:hint="eastAsia" w:ascii="宋体" w:hAnsi="宋体" w:eastAsia="宋体" w:cs="宋体"/>
                <w:sz w:val="21"/>
                <w:szCs w:val="21"/>
                <w:highlight w:val="none"/>
              </w:rPr>
            </w:pPr>
          </w:p>
        </w:tc>
        <w:tc>
          <w:tcPr>
            <w:tcW w:w="1135" w:type="dxa"/>
            <w:vMerge w:val="continue"/>
            <w:noWrap w:val="0"/>
            <w:vAlign w:val="center"/>
          </w:tcPr>
          <w:p>
            <w:pPr>
              <w:spacing w:line="280" w:lineRule="exact"/>
              <w:rPr>
                <w:rFonts w:hint="eastAsia" w:ascii="宋体" w:hAnsi="宋体" w:eastAsia="宋体" w:cs="宋体"/>
                <w:sz w:val="21"/>
                <w:szCs w:val="21"/>
                <w:highlight w:val="none"/>
              </w:rPr>
            </w:pPr>
          </w:p>
        </w:tc>
        <w:tc>
          <w:tcPr>
            <w:tcW w:w="992" w:type="dxa"/>
            <w:noWrap w:val="0"/>
            <w:vAlign w:val="center"/>
          </w:tcPr>
          <w:p>
            <w:pPr>
              <w:adjustRightInd w:val="0"/>
              <w:snapToGrid w:val="0"/>
              <w:jc w:val="center"/>
              <w:rPr>
                <w:rFonts w:hint="eastAsia" w:ascii="宋体" w:hAnsi="宋体" w:eastAsia="宋体" w:cs="宋体"/>
                <w:sz w:val="21"/>
                <w:szCs w:val="21"/>
                <w:highlight w:val="none"/>
              </w:rPr>
            </w:pPr>
            <w:r>
              <w:rPr>
                <w:rStyle w:val="43"/>
                <w:rFonts w:hint="eastAsia" w:ascii="宋体" w:hAnsi="宋体" w:eastAsia="宋体" w:cs="宋体"/>
                <w:b w:val="0"/>
                <w:kern w:val="2"/>
                <w:sz w:val="21"/>
                <w:szCs w:val="24"/>
                <w:highlight w:val="none"/>
                <w:lang w:val="en-US" w:eastAsia="zh-CN" w:bidi="ar-SA"/>
              </w:rPr>
              <w:t>内部管理、考核制度、员工培训计划及内容</w:t>
            </w:r>
          </w:p>
        </w:tc>
        <w:tc>
          <w:tcPr>
            <w:tcW w:w="668" w:type="dxa"/>
            <w:noWrap w:val="0"/>
            <w:vAlign w:val="center"/>
          </w:tcPr>
          <w:p>
            <w:pPr>
              <w:adjustRightInd w:val="0"/>
              <w:snapToGrid w:val="0"/>
              <w:jc w:val="center"/>
              <w:rPr>
                <w:rFonts w:hint="default" w:ascii="宋体" w:hAnsi="宋体" w:eastAsia="宋体" w:cs="宋体"/>
                <w:sz w:val="21"/>
                <w:szCs w:val="21"/>
                <w:highlight w:val="none"/>
                <w:lang w:val="en-US" w:eastAsia="zh-CN"/>
              </w:rPr>
            </w:pPr>
            <w:r>
              <w:rPr>
                <w:rStyle w:val="43"/>
                <w:rFonts w:hint="eastAsia" w:ascii="宋体" w:hAnsi="宋体" w:cs="宋体"/>
                <w:b w:val="0"/>
                <w:kern w:val="2"/>
                <w:sz w:val="21"/>
                <w:szCs w:val="24"/>
                <w:highlight w:val="none"/>
                <w:lang w:val="en-US" w:eastAsia="zh-CN" w:bidi="ar-SA"/>
              </w:rPr>
              <w:t>1</w:t>
            </w:r>
            <w:r>
              <w:rPr>
                <w:rStyle w:val="43"/>
                <w:rFonts w:hint="eastAsia" w:ascii="宋体" w:hAnsi="宋体" w:eastAsia="宋体" w:cs="宋体"/>
                <w:b w:val="0"/>
                <w:kern w:val="2"/>
                <w:sz w:val="21"/>
                <w:szCs w:val="24"/>
                <w:highlight w:val="none"/>
                <w:lang w:val="en-US" w:eastAsia="zh-CN" w:bidi="ar-SA"/>
              </w:rPr>
              <w:t>0</w:t>
            </w:r>
            <w:r>
              <w:rPr>
                <w:rFonts w:hint="eastAsia" w:ascii="宋体" w:hAnsi="宋体" w:eastAsia="宋体" w:cs="宋体"/>
                <w:sz w:val="21"/>
                <w:szCs w:val="21"/>
                <w:highlight w:val="none"/>
              </w:rPr>
              <w:t>分</w:t>
            </w:r>
          </w:p>
        </w:tc>
        <w:tc>
          <w:tcPr>
            <w:tcW w:w="4942" w:type="dxa"/>
            <w:noWrap w:val="0"/>
            <w:vAlign w:val="center"/>
          </w:tcPr>
          <w:p>
            <w:pPr>
              <w:snapToGrid w:val="0"/>
              <w:spacing w:line="240" w:lineRule="auto"/>
              <w:jc w:val="left"/>
              <w:rPr>
                <w:rFonts w:hint="eastAsia" w:ascii="宋体" w:hAnsi="宋体" w:eastAsia="宋体" w:cs="宋体"/>
                <w:sz w:val="21"/>
                <w:szCs w:val="21"/>
                <w:highlight w:val="none"/>
                <w:lang w:val="en-US" w:eastAsia="zh-CN"/>
              </w:rPr>
            </w:pPr>
            <w:r>
              <w:rPr>
                <w:rStyle w:val="43"/>
                <w:rFonts w:hint="eastAsia" w:ascii="宋体" w:hAnsi="宋体" w:eastAsia="宋体" w:cs="宋体"/>
                <w:b w:val="0"/>
                <w:sz w:val="21"/>
                <w:szCs w:val="24"/>
                <w:highlight w:val="none"/>
                <w:lang w:val="en-US" w:eastAsia="zh-CN"/>
              </w:rPr>
              <w:t>根据供应商</w:t>
            </w:r>
            <w:r>
              <w:rPr>
                <w:rStyle w:val="43"/>
                <w:rFonts w:hint="eastAsia" w:ascii="宋体" w:hAnsi="宋体" w:eastAsia="宋体" w:cs="宋体"/>
                <w:b w:val="0"/>
                <w:sz w:val="21"/>
                <w:szCs w:val="24"/>
                <w:highlight w:val="none"/>
              </w:rPr>
              <w:t>内部管理、考核制度、员工培训计划及内容（包括但不限于新进员工培训、上岗前培训、在职培训、素质培训等）和稳定员工队伍的措施（包括对现有延续员工的处理措施）进行综合评</w:t>
            </w:r>
            <w:r>
              <w:rPr>
                <w:rStyle w:val="43"/>
                <w:rFonts w:hint="eastAsia" w:ascii="宋体" w:hAnsi="宋体" w:eastAsia="宋体" w:cs="宋体"/>
                <w:b w:val="0"/>
                <w:sz w:val="21"/>
                <w:szCs w:val="24"/>
                <w:highlight w:val="none"/>
                <w:lang w:eastAsia="zh-CN"/>
              </w:rPr>
              <w:t>审</w:t>
            </w:r>
            <w:r>
              <w:rPr>
                <w:rStyle w:val="43"/>
                <w:rFonts w:hint="eastAsia" w:ascii="宋体" w:hAnsi="宋体" w:cs="宋体"/>
                <w:b w:val="0"/>
                <w:sz w:val="21"/>
                <w:szCs w:val="24"/>
                <w:highlight w:val="none"/>
                <w:lang w:eastAsia="zh-CN"/>
              </w:rPr>
              <w:t>。</w:t>
            </w:r>
            <w:r>
              <w:rPr>
                <w:rFonts w:hint="eastAsia" w:ascii="宋体" w:hAnsi="宋体" w:cs="宋体"/>
                <w:szCs w:val="21"/>
                <w:highlight w:val="none"/>
              </w:rPr>
              <w:t>需求理解透彻、方案完整全面、合理的计10分，缺漏项、不完整、不合理的每处扣2分，扣完为止。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8" w:type="dxa"/>
            <w:vMerge w:val="restart"/>
            <w:noWrap w:val="0"/>
            <w:vAlign w:val="center"/>
          </w:tcPr>
          <w:p>
            <w:pPr>
              <w:spacing w:line="280" w:lineRule="exac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p>
        </w:tc>
        <w:tc>
          <w:tcPr>
            <w:tcW w:w="1135" w:type="dxa"/>
            <w:vMerge w:val="restart"/>
            <w:noWrap w:val="0"/>
            <w:vAlign w:val="center"/>
          </w:tcPr>
          <w:p>
            <w:pPr>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商务</w:t>
            </w:r>
            <w:r>
              <w:rPr>
                <w:rFonts w:hint="eastAsia" w:ascii="宋体" w:hAnsi="宋体" w:eastAsia="宋体" w:cs="宋体"/>
                <w:sz w:val="21"/>
                <w:szCs w:val="21"/>
                <w:highlight w:val="none"/>
                <w:lang w:val="en-US" w:eastAsia="zh-CN"/>
              </w:rPr>
              <w:t>部分</w:t>
            </w:r>
            <w:r>
              <w:rPr>
                <w:rFonts w:hint="eastAsia" w:ascii="宋体" w:hAnsi="宋体" w:cs="宋体"/>
                <w:sz w:val="21"/>
                <w:szCs w:val="21"/>
                <w:highlight w:val="none"/>
                <w:lang w:val="en-US" w:eastAsia="zh-CN"/>
              </w:rPr>
              <w:t>30</w:t>
            </w:r>
            <w:r>
              <w:rPr>
                <w:rFonts w:hint="eastAsia" w:ascii="宋体" w:hAnsi="宋体" w:eastAsia="宋体" w:cs="宋体"/>
                <w:sz w:val="21"/>
                <w:szCs w:val="21"/>
                <w:highlight w:val="none"/>
              </w:rPr>
              <w:t>分</w:t>
            </w:r>
          </w:p>
        </w:tc>
        <w:tc>
          <w:tcPr>
            <w:tcW w:w="992"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服务团队</w:t>
            </w:r>
          </w:p>
        </w:tc>
        <w:tc>
          <w:tcPr>
            <w:tcW w:w="668" w:type="dxa"/>
            <w:noWrap w:val="0"/>
            <w:vAlign w:val="center"/>
          </w:tcPr>
          <w:p>
            <w:pPr>
              <w:spacing w:line="280" w:lineRule="exact"/>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lang w:val="en-US" w:eastAsia="zh-CN"/>
              </w:rPr>
              <w:t>分</w:t>
            </w:r>
          </w:p>
        </w:tc>
        <w:tc>
          <w:tcPr>
            <w:tcW w:w="4942" w:type="dxa"/>
            <w:noWrap w:val="0"/>
            <w:vAlign w:val="center"/>
          </w:tcPr>
          <w:p>
            <w:pPr>
              <w:widowControl/>
              <w:ind w:firstLine="210" w:firstLineChars="100"/>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bidi="ar"/>
              </w:rPr>
              <w:t>1、供应商(或</w:t>
            </w:r>
            <w:r>
              <w:rPr>
                <w:rFonts w:hint="eastAsia" w:ascii="宋体" w:hAnsi="宋体" w:eastAsia="宋体" w:cs="宋体"/>
                <w:color w:val="000000"/>
                <w:kern w:val="0"/>
                <w:sz w:val="21"/>
                <w:szCs w:val="21"/>
                <w:highlight w:val="none"/>
                <w:lang w:eastAsia="zh-CN" w:bidi="ar"/>
              </w:rPr>
              <w:t>分</w:t>
            </w:r>
            <w:r>
              <w:rPr>
                <w:rFonts w:hint="eastAsia" w:ascii="宋体" w:hAnsi="宋体" w:eastAsia="宋体" w:cs="宋体"/>
                <w:color w:val="000000"/>
                <w:kern w:val="0"/>
                <w:sz w:val="21"/>
                <w:szCs w:val="21"/>
                <w:highlight w:val="none"/>
                <w:lang w:bidi="ar"/>
              </w:rPr>
              <w:t>公司)</w:t>
            </w:r>
            <w:r>
              <w:rPr>
                <w:rFonts w:hint="eastAsia" w:ascii="宋体" w:hAnsi="宋体" w:eastAsia="宋体" w:cs="宋体"/>
                <w:color w:val="000000"/>
                <w:kern w:val="0"/>
                <w:sz w:val="21"/>
                <w:szCs w:val="21"/>
                <w:highlight w:val="none"/>
                <w:lang w:val="en-US" w:eastAsia="zh-CN" w:bidi="ar"/>
              </w:rPr>
              <w:t>拟投入本项目团队人员中</w:t>
            </w:r>
            <w:r>
              <w:rPr>
                <w:rFonts w:hint="eastAsia" w:ascii="宋体" w:hAnsi="宋体" w:eastAsia="宋体" w:cs="宋体"/>
                <w:color w:val="000000"/>
                <w:kern w:val="0"/>
                <w:sz w:val="21"/>
                <w:szCs w:val="21"/>
                <w:highlight w:val="none"/>
                <w:lang w:bidi="ar"/>
              </w:rPr>
              <w:t>具备高级工程师职称的专业人员，每提供一个计</w:t>
            </w:r>
            <w:r>
              <w:rPr>
                <w:rFonts w:hint="eastAsia" w:ascii="宋体" w:hAnsi="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bidi="ar"/>
              </w:rPr>
              <w:t>分</w:t>
            </w:r>
            <w:r>
              <w:rPr>
                <w:rFonts w:hint="eastAsia" w:ascii="宋体" w:hAnsi="宋体" w:eastAsia="宋体" w:cs="宋体"/>
                <w:color w:val="000000"/>
                <w:kern w:val="0"/>
                <w:sz w:val="21"/>
                <w:szCs w:val="21"/>
                <w:highlight w:val="none"/>
                <w:lang w:eastAsia="zh-CN" w:bidi="ar"/>
              </w:rPr>
              <w:t>；具有中级职称的，</w:t>
            </w:r>
            <w:r>
              <w:rPr>
                <w:rFonts w:hint="eastAsia" w:ascii="宋体" w:hAnsi="宋体" w:eastAsia="宋体" w:cs="宋体"/>
                <w:color w:val="000000"/>
                <w:kern w:val="0"/>
                <w:sz w:val="21"/>
                <w:szCs w:val="21"/>
                <w:highlight w:val="none"/>
                <w:lang w:bidi="ar"/>
              </w:rPr>
              <w:t>每提供一个计</w:t>
            </w:r>
            <w:r>
              <w:rPr>
                <w:rFonts w:hint="eastAsia" w:ascii="宋体" w:hAnsi="宋体" w:cs="宋体"/>
                <w:color w:val="000000"/>
                <w:kern w:val="0"/>
                <w:sz w:val="21"/>
                <w:szCs w:val="21"/>
                <w:highlight w:val="none"/>
                <w:lang w:val="en-US" w:eastAsia="zh-CN" w:bidi="ar"/>
              </w:rPr>
              <w:t>2.5</w:t>
            </w:r>
            <w:r>
              <w:rPr>
                <w:rFonts w:hint="eastAsia" w:ascii="宋体" w:hAnsi="宋体" w:eastAsia="宋体" w:cs="宋体"/>
                <w:color w:val="000000"/>
                <w:kern w:val="0"/>
                <w:sz w:val="21"/>
                <w:szCs w:val="21"/>
                <w:highlight w:val="none"/>
                <w:lang w:bidi="ar"/>
              </w:rPr>
              <w:t>分</w:t>
            </w:r>
            <w:r>
              <w:rPr>
                <w:rFonts w:hint="eastAsia" w:ascii="宋体" w:hAnsi="宋体" w:eastAsia="宋体" w:cs="宋体"/>
                <w:color w:val="000000"/>
                <w:kern w:val="0"/>
                <w:sz w:val="21"/>
                <w:szCs w:val="21"/>
                <w:highlight w:val="none"/>
                <w:lang w:eastAsia="zh-CN" w:bidi="ar"/>
              </w:rPr>
              <w:t>，本项最多计</w:t>
            </w:r>
            <w:r>
              <w:rPr>
                <w:rFonts w:hint="eastAsia" w:ascii="宋体" w:hAnsi="宋体" w:cs="宋体"/>
                <w:color w:val="000000"/>
                <w:kern w:val="0"/>
                <w:sz w:val="21"/>
                <w:szCs w:val="21"/>
                <w:highlight w:val="none"/>
                <w:lang w:val="en-US" w:eastAsia="zh-CN" w:bidi="ar"/>
              </w:rPr>
              <w:t>10</w:t>
            </w:r>
            <w:r>
              <w:rPr>
                <w:rFonts w:hint="eastAsia" w:ascii="宋体" w:hAnsi="宋体" w:eastAsia="宋体" w:cs="宋体"/>
                <w:color w:val="000000"/>
                <w:kern w:val="0"/>
                <w:sz w:val="21"/>
                <w:szCs w:val="21"/>
                <w:highlight w:val="none"/>
                <w:lang w:val="en-US" w:eastAsia="zh-CN" w:bidi="ar"/>
              </w:rPr>
              <w:t>分。</w:t>
            </w:r>
          </w:p>
          <w:p>
            <w:pPr>
              <w:widowControl/>
              <w:ind w:firstLine="210" w:firstLineChars="100"/>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2、供应商</w:t>
            </w:r>
            <w:r>
              <w:rPr>
                <w:rFonts w:hint="eastAsia" w:ascii="宋体" w:hAnsi="宋体" w:eastAsia="宋体" w:cs="宋体"/>
                <w:color w:val="000000"/>
                <w:kern w:val="0"/>
                <w:sz w:val="21"/>
                <w:szCs w:val="21"/>
                <w:highlight w:val="none"/>
                <w:lang w:val="en-US" w:eastAsia="zh-CN" w:bidi="ar"/>
              </w:rPr>
              <w:t>拟投入本项目团队人员中</w:t>
            </w:r>
            <w:r>
              <w:rPr>
                <w:rFonts w:hint="eastAsia" w:ascii="宋体" w:hAnsi="宋体" w:eastAsia="宋体" w:cs="宋体"/>
                <w:color w:val="000000"/>
                <w:kern w:val="0"/>
                <w:sz w:val="21"/>
                <w:szCs w:val="21"/>
                <w:highlight w:val="none"/>
                <w:lang w:bidi="ar"/>
              </w:rPr>
              <w:t>具有特种设备作业人员证（T1或T2），同时服务人员具备</w:t>
            </w:r>
            <w:r>
              <w:rPr>
                <w:rFonts w:hint="eastAsia" w:ascii="宋体" w:hAnsi="宋体" w:eastAsia="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bidi="ar"/>
              </w:rPr>
              <w:t>年</w:t>
            </w:r>
            <w:r>
              <w:rPr>
                <w:rFonts w:hint="eastAsia" w:ascii="宋体" w:hAnsi="宋体" w:eastAsia="宋体" w:cs="宋体"/>
                <w:color w:val="000000"/>
                <w:kern w:val="0"/>
                <w:sz w:val="21"/>
                <w:szCs w:val="21"/>
                <w:highlight w:val="none"/>
                <w:lang w:eastAsia="zh-CN" w:bidi="ar"/>
              </w:rPr>
              <w:t>（含）</w:t>
            </w:r>
            <w:r>
              <w:rPr>
                <w:rFonts w:hint="eastAsia" w:ascii="宋体" w:hAnsi="宋体" w:eastAsia="宋体" w:cs="宋体"/>
                <w:color w:val="000000"/>
                <w:kern w:val="0"/>
                <w:sz w:val="21"/>
                <w:szCs w:val="21"/>
                <w:highlight w:val="none"/>
                <w:lang w:bidi="ar"/>
              </w:rPr>
              <w:t>以上电梯维保经验的计</w:t>
            </w:r>
            <w:r>
              <w:rPr>
                <w:rFonts w:hint="eastAsia" w:ascii="宋体" w:hAnsi="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bidi="ar"/>
              </w:rPr>
              <w:t>分，具备</w:t>
            </w:r>
            <w:r>
              <w:rPr>
                <w:rFonts w:hint="eastAsia" w:ascii="宋体" w:hAnsi="宋体" w:eastAsia="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bidi="ar"/>
              </w:rPr>
              <w:t>年</w:t>
            </w:r>
            <w:r>
              <w:rPr>
                <w:rFonts w:hint="eastAsia" w:ascii="宋体" w:hAnsi="宋体" w:eastAsia="宋体" w:cs="宋体"/>
                <w:color w:val="000000"/>
                <w:kern w:val="0"/>
                <w:sz w:val="21"/>
                <w:szCs w:val="21"/>
                <w:highlight w:val="none"/>
                <w:lang w:eastAsia="zh-CN" w:bidi="ar"/>
              </w:rPr>
              <w:t>（不含）</w:t>
            </w:r>
            <w:r>
              <w:rPr>
                <w:rFonts w:hint="eastAsia" w:ascii="宋体" w:hAnsi="宋体" w:eastAsia="宋体" w:cs="宋体"/>
                <w:color w:val="000000"/>
                <w:kern w:val="0"/>
                <w:sz w:val="21"/>
                <w:szCs w:val="21"/>
                <w:highlight w:val="none"/>
                <w:lang w:bidi="ar"/>
              </w:rPr>
              <w:t>以</w:t>
            </w:r>
            <w:r>
              <w:rPr>
                <w:rFonts w:hint="eastAsia" w:ascii="宋体" w:hAnsi="宋体" w:eastAsia="宋体" w:cs="宋体"/>
                <w:color w:val="000000"/>
                <w:kern w:val="0"/>
                <w:sz w:val="21"/>
                <w:szCs w:val="21"/>
                <w:highlight w:val="none"/>
                <w:lang w:eastAsia="zh-CN" w:bidi="ar"/>
              </w:rPr>
              <w:t>下</w:t>
            </w:r>
            <w:r>
              <w:rPr>
                <w:rFonts w:hint="eastAsia" w:ascii="宋体" w:hAnsi="宋体" w:eastAsia="宋体" w:cs="宋体"/>
                <w:color w:val="000000"/>
                <w:kern w:val="0"/>
                <w:sz w:val="21"/>
                <w:szCs w:val="21"/>
                <w:highlight w:val="none"/>
                <w:lang w:bidi="ar"/>
              </w:rPr>
              <w:t>电梯维保经验的计</w:t>
            </w:r>
            <w:r>
              <w:rPr>
                <w:rFonts w:hint="eastAsia" w:ascii="宋体" w:hAnsi="宋体" w:cs="宋体"/>
                <w:color w:val="000000"/>
                <w:kern w:val="0"/>
                <w:sz w:val="21"/>
                <w:szCs w:val="21"/>
                <w:highlight w:val="none"/>
                <w:lang w:val="en-US" w:eastAsia="zh-CN" w:bidi="ar"/>
              </w:rPr>
              <w:t>2.5</w:t>
            </w:r>
            <w:r>
              <w:rPr>
                <w:rFonts w:hint="eastAsia" w:ascii="宋体" w:hAnsi="宋体" w:eastAsia="宋体" w:cs="宋体"/>
                <w:color w:val="000000"/>
                <w:kern w:val="0"/>
                <w:sz w:val="21"/>
                <w:szCs w:val="21"/>
                <w:highlight w:val="none"/>
                <w:lang w:bidi="ar"/>
              </w:rPr>
              <w:t>分，提供的人员计分可累计，</w:t>
            </w:r>
            <w:r>
              <w:rPr>
                <w:rFonts w:hint="eastAsia" w:ascii="宋体" w:hAnsi="宋体" w:eastAsia="宋体" w:cs="宋体"/>
                <w:color w:val="000000"/>
                <w:kern w:val="0"/>
                <w:sz w:val="21"/>
                <w:szCs w:val="21"/>
                <w:highlight w:val="none"/>
                <w:lang w:eastAsia="zh-CN" w:bidi="ar"/>
              </w:rPr>
              <w:t>本项最多计</w:t>
            </w:r>
            <w:r>
              <w:rPr>
                <w:rFonts w:hint="eastAsia" w:ascii="宋体" w:hAnsi="宋体" w:cs="宋体"/>
                <w:color w:val="000000"/>
                <w:kern w:val="0"/>
                <w:sz w:val="21"/>
                <w:szCs w:val="21"/>
                <w:highlight w:val="none"/>
                <w:lang w:val="en-US" w:eastAsia="zh-CN" w:bidi="ar"/>
              </w:rPr>
              <w:t>10</w:t>
            </w:r>
            <w:r>
              <w:rPr>
                <w:rFonts w:hint="eastAsia" w:ascii="宋体" w:hAnsi="宋体" w:eastAsia="宋体" w:cs="宋体"/>
                <w:color w:val="000000"/>
                <w:kern w:val="0"/>
                <w:sz w:val="21"/>
                <w:szCs w:val="21"/>
                <w:highlight w:val="none"/>
                <w:lang w:bidi="ar"/>
              </w:rPr>
              <w:t>分。</w:t>
            </w:r>
          </w:p>
          <w:p>
            <w:pPr>
              <w:widowControl/>
              <w:ind w:firstLine="211" w:firstLineChars="100"/>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b/>
                <w:bCs/>
                <w:color w:val="000000"/>
                <w:kern w:val="0"/>
                <w:sz w:val="21"/>
                <w:szCs w:val="21"/>
                <w:highlight w:val="none"/>
                <w:lang w:bidi="ar"/>
              </w:rPr>
              <w:t>注：响应文件中提供证</w:t>
            </w:r>
            <w:r>
              <w:rPr>
                <w:rFonts w:hint="eastAsia" w:ascii="宋体" w:hAnsi="宋体" w:eastAsia="宋体" w:cs="宋体"/>
                <w:b/>
                <w:bCs/>
                <w:color w:val="000000"/>
                <w:kern w:val="0"/>
                <w:sz w:val="21"/>
                <w:szCs w:val="21"/>
                <w:highlight w:val="none"/>
                <w:lang w:eastAsia="zh-CN" w:bidi="ar"/>
              </w:rPr>
              <w:t>明材料</w:t>
            </w:r>
            <w:r>
              <w:rPr>
                <w:rFonts w:hint="eastAsia" w:ascii="宋体" w:hAnsi="宋体" w:eastAsia="宋体" w:cs="宋体"/>
                <w:b/>
                <w:bCs/>
                <w:color w:val="000000"/>
                <w:kern w:val="0"/>
                <w:sz w:val="21"/>
                <w:szCs w:val="21"/>
                <w:highlight w:val="none"/>
                <w:lang w:bidi="ar"/>
              </w:rPr>
              <w:t>复印件并加盖供应商公章，否则不计分。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8" w:type="dxa"/>
            <w:vMerge w:val="continue"/>
            <w:noWrap w:val="0"/>
            <w:vAlign w:val="center"/>
          </w:tcPr>
          <w:p>
            <w:pPr>
              <w:spacing w:line="280" w:lineRule="exact"/>
              <w:rPr>
                <w:rFonts w:hint="eastAsia" w:ascii="宋体" w:hAnsi="宋体" w:eastAsia="宋体" w:cs="宋体"/>
                <w:sz w:val="21"/>
                <w:szCs w:val="21"/>
                <w:highlight w:val="none"/>
              </w:rPr>
            </w:pPr>
          </w:p>
        </w:tc>
        <w:tc>
          <w:tcPr>
            <w:tcW w:w="1135" w:type="dxa"/>
            <w:vMerge w:val="continue"/>
            <w:noWrap w:val="0"/>
            <w:vAlign w:val="center"/>
          </w:tcPr>
          <w:p>
            <w:pPr>
              <w:spacing w:line="280" w:lineRule="exact"/>
              <w:rPr>
                <w:rFonts w:hint="eastAsia" w:ascii="宋体" w:hAnsi="宋体" w:eastAsia="宋体" w:cs="宋体"/>
                <w:sz w:val="21"/>
                <w:szCs w:val="21"/>
                <w:highlight w:val="none"/>
              </w:rPr>
            </w:pPr>
          </w:p>
        </w:tc>
        <w:tc>
          <w:tcPr>
            <w:tcW w:w="992"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服务措施</w:t>
            </w:r>
          </w:p>
        </w:tc>
        <w:tc>
          <w:tcPr>
            <w:tcW w:w="668" w:type="dxa"/>
            <w:noWrap w:val="0"/>
            <w:vAlign w:val="center"/>
          </w:tcPr>
          <w:p>
            <w:pPr>
              <w:spacing w:line="280" w:lineRule="exact"/>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8</w:t>
            </w:r>
            <w:r>
              <w:rPr>
                <w:rFonts w:hint="eastAsia" w:ascii="宋体" w:hAnsi="宋体" w:eastAsia="宋体" w:cs="宋体"/>
                <w:sz w:val="21"/>
                <w:szCs w:val="21"/>
                <w:highlight w:val="none"/>
                <w:lang w:val="en-US" w:eastAsia="zh-CN"/>
              </w:rPr>
              <w:t>分</w:t>
            </w:r>
          </w:p>
        </w:tc>
        <w:tc>
          <w:tcPr>
            <w:tcW w:w="4942" w:type="dxa"/>
            <w:noWrap w:val="0"/>
            <w:vAlign w:val="center"/>
          </w:tcPr>
          <w:p>
            <w:pPr>
              <w:widowControl/>
              <w:ind w:firstLine="210" w:firstLineChars="100"/>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供应商设有免费服务电话、固定服务电话、24小时应急响应服务的评</w:t>
            </w:r>
            <w:r>
              <w:rPr>
                <w:rFonts w:hint="eastAsia" w:ascii="宋体" w:hAnsi="宋体" w:cs="宋体"/>
                <w:color w:val="000000"/>
                <w:kern w:val="0"/>
                <w:sz w:val="21"/>
                <w:szCs w:val="21"/>
                <w:highlight w:val="none"/>
                <w:lang w:val="en-US" w:eastAsia="zh-CN" w:bidi="ar"/>
              </w:rPr>
              <w:t>8</w:t>
            </w:r>
            <w:r>
              <w:rPr>
                <w:rFonts w:hint="eastAsia" w:ascii="宋体" w:hAnsi="宋体" w:eastAsia="宋体" w:cs="宋体"/>
                <w:color w:val="000000"/>
                <w:kern w:val="0"/>
                <w:sz w:val="21"/>
                <w:szCs w:val="21"/>
                <w:highlight w:val="none"/>
                <w:lang w:bidi="ar"/>
              </w:rPr>
              <w:t>分；设有固定服务电话、24小时应急响应服务的评</w:t>
            </w:r>
            <w:r>
              <w:rPr>
                <w:rFonts w:hint="eastAsia" w:ascii="宋体" w:hAnsi="宋体" w:cs="宋体"/>
                <w:color w:val="000000"/>
                <w:kern w:val="0"/>
                <w:sz w:val="21"/>
                <w:szCs w:val="21"/>
                <w:highlight w:val="none"/>
                <w:lang w:val="en-US" w:eastAsia="zh-CN" w:bidi="ar"/>
              </w:rPr>
              <w:t>4</w:t>
            </w:r>
            <w:r>
              <w:rPr>
                <w:rFonts w:hint="eastAsia" w:ascii="宋体" w:hAnsi="宋体" w:eastAsia="宋体" w:cs="宋体"/>
                <w:color w:val="000000"/>
                <w:kern w:val="0"/>
                <w:sz w:val="21"/>
                <w:szCs w:val="21"/>
                <w:highlight w:val="none"/>
                <w:lang w:bidi="ar"/>
              </w:rPr>
              <w:t>分；只设有移动服务电话的1分，该项服务将计入合同，如</w:t>
            </w:r>
            <w:r>
              <w:rPr>
                <w:rFonts w:hint="eastAsia" w:ascii="宋体" w:hAnsi="宋体" w:eastAsia="宋体" w:cs="宋体"/>
                <w:color w:val="000000"/>
                <w:kern w:val="0"/>
                <w:sz w:val="21"/>
                <w:szCs w:val="21"/>
                <w:highlight w:val="none"/>
                <w:lang w:eastAsia="zh-CN" w:bidi="ar"/>
              </w:rPr>
              <w:t>供应商</w:t>
            </w:r>
            <w:r>
              <w:rPr>
                <w:rFonts w:hint="eastAsia" w:ascii="宋体" w:hAnsi="宋体" w:eastAsia="宋体" w:cs="宋体"/>
                <w:color w:val="000000"/>
                <w:kern w:val="0"/>
                <w:sz w:val="21"/>
                <w:szCs w:val="21"/>
                <w:highlight w:val="none"/>
                <w:lang w:bidi="ar"/>
              </w:rPr>
              <w:t>达不到要求，</w:t>
            </w:r>
            <w:r>
              <w:rPr>
                <w:rFonts w:hint="eastAsia" w:ascii="宋体" w:hAnsi="宋体" w:eastAsia="宋体" w:cs="宋体"/>
                <w:color w:val="000000"/>
                <w:kern w:val="0"/>
                <w:sz w:val="21"/>
                <w:szCs w:val="21"/>
                <w:highlight w:val="none"/>
                <w:lang w:eastAsia="zh-CN" w:bidi="ar"/>
              </w:rPr>
              <w:t>采购人</w:t>
            </w:r>
            <w:r>
              <w:rPr>
                <w:rFonts w:hint="eastAsia" w:ascii="宋体" w:hAnsi="宋体" w:eastAsia="宋体" w:cs="宋体"/>
                <w:color w:val="000000"/>
                <w:kern w:val="0"/>
                <w:sz w:val="21"/>
                <w:szCs w:val="21"/>
                <w:highlight w:val="none"/>
                <w:lang w:bidi="ar"/>
              </w:rPr>
              <w:t>有权取消</w:t>
            </w:r>
            <w:r>
              <w:rPr>
                <w:rFonts w:hint="eastAsia" w:ascii="宋体" w:hAnsi="宋体" w:eastAsia="宋体" w:cs="宋体"/>
                <w:color w:val="000000"/>
                <w:kern w:val="0"/>
                <w:sz w:val="21"/>
                <w:szCs w:val="21"/>
                <w:highlight w:val="none"/>
                <w:lang w:eastAsia="zh-CN" w:bidi="ar"/>
              </w:rPr>
              <w:t>供应商</w:t>
            </w:r>
            <w:r>
              <w:rPr>
                <w:rFonts w:hint="eastAsia" w:ascii="宋体" w:hAnsi="宋体" w:eastAsia="宋体" w:cs="宋体"/>
                <w:color w:val="000000"/>
                <w:kern w:val="0"/>
                <w:sz w:val="21"/>
                <w:szCs w:val="21"/>
                <w:highlight w:val="none"/>
                <w:lang w:bidi="ar"/>
              </w:rPr>
              <w:t>中标资格。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8" w:type="dxa"/>
            <w:vMerge w:val="continue"/>
            <w:noWrap w:val="0"/>
            <w:vAlign w:val="center"/>
          </w:tcPr>
          <w:p>
            <w:pPr>
              <w:spacing w:line="280" w:lineRule="exact"/>
              <w:rPr>
                <w:rFonts w:hint="eastAsia" w:ascii="宋体" w:hAnsi="宋体" w:eastAsia="宋体" w:cs="宋体"/>
                <w:sz w:val="21"/>
                <w:szCs w:val="21"/>
                <w:highlight w:val="none"/>
              </w:rPr>
            </w:pPr>
          </w:p>
        </w:tc>
        <w:tc>
          <w:tcPr>
            <w:tcW w:w="1135" w:type="dxa"/>
            <w:vMerge w:val="continue"/>
            <w:noWrap w:val="0"/>
            <w:vAlign w:val="center"/>
          </w:tcPr>
          <w:p>
            <w:pPr>
              <w:spacing w:line="280" w:lineRule="exact"/>
              <w:rPr>
                <w:rFonts w:hint="eastAsia" w:ascii="宋体" w:hAnsi="宋体" w:eastAsia="宋体" w:cs="宋体"/>
                <w:sz w:val="21"/>
                <w:szCs w:val="21"/>
                <w:highlight w:val="none"/>
              </w:rPr>
            </w:pPr>
          </w:p>
        </w:tc>
        <w:tc>
          <w:tcPr>
            <w:tcW w:w="992" w:type="dxa"/>
            <w:noWrap w:val="0"/>
            <w:vAlign w:val="center"/>
          </w:tcPr>
          <w:p>
            <w:pPr>
              <w:spacing w:line="2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响应文件编制</w:t>
            </w:r>
          </w:p>
        </w:tc>
        <w:tc>
          <w:tcPr>
            <w:tcW w:w="668" w:type="dxa"/>
            <w:noWrap w:val="0"/>
            <w:vAlign w:val="center"/>
          </w:tcPr>
          <w:p>
            <w:pPr>
              <w:spacing w:line="28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2</w:t>
            </w:r>
            <w:r>
              <w:rPr>
                <w:rFonts w:hint="eastAsia" w:ascii="宋体" w:hAnsi="宋体" w:eastAsia="宋体" w:cs="宋体"/>
                <w:color w:val="000000"/>
                <w:sz w:val="21"/>
                <w:szCs w:val="21"/>
                <w:highlight w:val="none"/>
              </w:rPr>
              <w:t>分</w:t>
            </w:r>
          </w:p>
        </w:tc>
        <w:tc>
          <w:tcPr>
            <w:tcW w:w="4942" w:type="dxa"/>
            <w:noWrap w:val="0"/>
            <w:vAlign w:val="center"/>
          </w:tcPr>
          <w:p>
            <w:pPr>
              <w:spacing w:line="28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响应文件按磋商文件规定的格式、顺序编制，有目录、编页码，装订成册，书面整洁无涂改，没有缺漏项，价格数量等计算准确的，计</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分；不符合要求的，每处扣</w:t>
            </w:r>
            <w:r>
              <w:rPr>
                <w:rFonts w:hint="eastAsia" w:ascii="宋体" w:hAnsi="宋体" w:cs="宋体"/>
                <w:sz w:val="21"/>
                <w:szCs w:val="21"/>
                <w:highlight w:val="none"/>
                <w:lang w:val="en-US" w:eastAsia="zh-CN"/>
              </w:rPr>
              <w:t>0.5</w:t>
            </w:r>
            <w:r>
              <w:rPr>
                <w:rFonts w:hint="eastAsia" w:ascii="宋体" w:hAnsi="宋体" w:eastAsia="宋体" w:cs="宋体"/>
                <w:sz w:val="21"/>
                <w:szCs w:val="21"/>
                <w:highlight w:val="none"/>
              </w:rPr>
              <w:t>分，扣完为止。</w:t>
            </w:r>
          </w:p>
        </w:tc>
      </w:tr>
    </w:tbl>
    <w:p>
      <w:pPr>
        <w:spacing w:line="360" w:lineRule="auto"/>
        <w:rPr>
          <w:b/>
          <w:color w:val="auto"/>
          <w:szCs w:val="21"/>
          <w:highlight w:val="none"/>
        </w:rPr>
      </w:pPr>
      <w:r>
        <w:rPr>
          <w:rFonts w:hAnsi="宋体"/>
          <w:b/>
          <w:color w:val="auto"/>
          <w:szCs w:val="21"/>
          <w:highlight w:val="none"/>
        </w:rPr>
        <w:t>推荐</w:t>
      </w:r>
      <w:r>
        <w:rPr>
          <w:rFonts w:hint="eastAsia" w:hAnsi="宋体"/>
          <w:b/>
          <w:color w:val="auto"/>
          <w:szCs w:val="21"/>
          <w:highlight w:val="none"/>
        </w:rPr>
        <w:t>成交</w:t>
      </w:r>
      <w:r>
        <w:rPr>
          <w:rFonts w:hAnsi="宋体"/>
          <w:b/>
          <w:color w:val="auto"/>
          <w:szCs w:val="21"/>
          <w:highlight w:val="none"/>
        </w:rPr>
        <w:t>候选人计算方法：</w:t>
      </w:r>
    </w:p>
    <w:p>
      <w:pPr>
        <w:spacing w:line="360" w:lineRule="auto"/>
        <w:rPr>
          <w:color w:val="auto"/>
          <w:szCs w:val="21"/>
          <w:highlight w:val="none"/>
        </w:rPr>
      </w:pPr>
      <w:r>
        <w:rPr>
          <w:color w:val="auto"/>
          <w:szCs w:val="21"/>
          <w:highlight w:val="none"/>
        </w:rPr>
        <w:t>1</w:t>
      </w:r>
      <w:r>
        <w:rPr>
          <w:rFonts w:hAnsi="宋体"/>
          <w:color w:val="auto"/>
          <w:szCs w:val="21"/>
          <w:highlight w:val="none"/>
        </w:rPr>
        <w:t>）</w:t>
      </w:r>
      <w:r>
        <w:rPr>
          <w:rFonts w:hint="eastAsia" w:ascii="宋体" w:hAnsi="宋体" w:cs="宋体"/>
          <w:color w:val="auto"/>
          <w:szCs w:val="21"/>
          <w:highlight w:val="none"/>
        </w:rPr>
        <w:t>供应商</w:t>
      </w:r>
      <w:r>
        <w:rPr>
          <w:rFonts w:hAnsi="宋体"/>
          <w:color w:val="auto"/>
          <w:szCs w:val="21"/>
          <w:highlight w:val="none"/>
        </w:rPr>
        <w:t>的综合得分为：所有</w:t>
      </w:r>
      <w:r>
        <w:rPr>
          <w:rFonts w:hint="eastAsia" w:ascii="宋体" w:hAnsi="宋体" w:cs="宋体"/>
          <w:color w:val="auto"/>
          <w:szCs w:val="21"/>
          <w:highlight w:val="none"/>
        </w:rPr>
        <w:t>磋商小组</w:t>
      </w:r>
      <w:r>
        <w:rPr>
          <w:rFonts w:hAnsi="宋体"/>
          <w:color w:val="auto"/>
          <w:szCs w:val="21"/>
          <w:highlight w:val="none"/>
        </w:rPr>
        <w:t>成员对其评标的综合得分；</w:t>
      </w:r>
    </w:p>
    <w:p>
      <w:pPr>
        <w:spacing w:line="360" w:lineRule="auto"/>
        <w:rPr>
          <w:color w:val="auto"/>
          <w:szCs w:val="21"/>
          <w:highlight w:val="none"/>
        </w:rPr>
      </w:pPr>
      <w:r>
        <w:rPr>
          <w:color w:val="auto"/>
          <w:szCs w:val="21"/>
          <w:highlight w:val="none"/>
        </w:rPr>
        <w:t>2</w:t>
      </w:r>
      <w:r>
        <w:rPr>
          <w:rFonts w:hAnsi="宋体"/>
          <w:color w:val="auto"/>
          <w:szCs w:val="21"/>
          <w:highlight w:val="none"/>
        </w:rPr>
        <w:t>）计算过程中，算术平均值保留</w:t>
      </w:r>
      <w:r>
        <w:rPr>
          <w:color w:val="auto"/>
          <w:szCs w:val="21"/>
          <w:highlight w:val="none"/>
        </w:rPr>
        <w:t>2</w:t>
      </w:r>
      <w:r>
        <w:rPr>
          <w:rFonts w:hAnsi="宋体"/>
          <w:color w:val="auto"/>
          <w:szCs w:val="21"/>
          <w:highlight w:val="none"/>
        </w:rPr>
        <w:t>位小数（百分比亦取</w:t>
      </w:r>
      <w:r>
        <w:rPr>
          <w:color w:val="auto"/>
          <w:szCs w:val="21"/>
          <w:highlight w:val="none"/>
        </w:rPr>
        <w:t>2</w:t>
      </w:r>
      <w:r>
        <w:rPr>
          <w:rFonts w:hAnsi="宋体"/>
          <w:color w:val="auto"/>
          <w:szCs w:val="21"/>
          <w:highlight w:val="none"/>
        </w:rPr>
        <w:t>位小数），第三位小数四舍五入。</w:t>
      </w:r>
    </w:p>
    <w:p>
      <w:pPr>
        <w:spacing w:line="360" w:lineRule="auto"/>
        <w:rPr>
          <w:rFonts w:hAnsi="宋体"/>
          <w:color w:val="auto"/>
          <w:szCs w:val="21"/>
          <w:highlight w:val="none"/>
        </w:rPr>
      </w:pPr>
      <w:r>
        <w:rPr>
          <w:rFonts w:hAnsi="宋体"/>
          <w:color w:val="auto"/>
          <w:szCs w:val="21"/>
          <w:highlight w:val="none"/>
        </w:rPr>
        <w:t>3）按评审后得分由高到低顺序排列。得分相同的，按投标报价由低到高顺序排列。得分且投标报价相同的，按技术指标优劣顺序排列。</w:t>
      </w:r>
    </w:p>
    <w:p>
      <w:pPr>
        <w:spacing w:line="360" w:lineRule="auto"/>
        <w:rPr>
          <w:rFonts w:hAnsi="宋体"/>
          <w:color w:val="auto"/>
          <w:szCs w:val="21"/>
          <w:highlight w:val="none"/>
        </w:rPr>
      </w:pPr>
      <w:r>
        <w:rPr>
          <w:rFonts w:hint="eastAsia" w:hAnsi="宋体"/>
          <w:color w:val="auto"/>
          <w:szCs w:val="21"/>
          <w:highlight w:val="none"/>
        </w:rPr>
        <w:t>4）竞争性磋商文件中要求“原件备查”的应当在投标截止时间之前递交至投标文件递交地点。</w:t>
      </w:r>
    </w:p>
    <w:p>
      <w:pPr>
        <w:spacing w:line="360" w:lineRule="auto"/>
        <w:rPr>
          <w:rFonts w:hAnsi="宋体"/>
          <w:color w:val="auto"/>
          <w:szCs w:val="21"/>
          <w:highlight w:val="none"/>
        </w:rPr>
      </w:pPr>
      <w:r>
        <w:rPr>
          <w:rFonts w:hint="eastAsia" w:hAnsi="宋体"/>
          <w:color w:val="auto"/>
          <w:szCs w:val="21"/>
          <w:highlight w:val="none"/>
        </w:rPr>
        <w:t>5）磋商响应人以虚假资料意图牟取</w:t>
      </w:r>
      <w:r>
        <w:rPr>
          <w:rFonts w:hint="eastAsia" w:hAnsi="宋体"/>
          <w:color w:val="auto"/>
          <w:szCs w:val="21"/>
          <w:highlight w:val="none"/>
          <w:lang w:eastAsia="zh-CN"/>
        </w:rPr>
        <w:t>成交</w:t>
      </w:r>
      <w:r>
        <w:rPr>
          <w:rFonts w:hint="eastAsia" w:hAnsi="宋体"/>
          <w:color w:val="auto"/>
          <w:szCs w:val="21"/>
          <w:highlight w:val="none"/>
        </w:rPr>
        <w:t>的，一经查实，投标无效且按磋商文件及《政府采购法》有关规定处理。</w:t>
      </w:r>
    </w:p>
    <w:p>
      <w:pPr>
        <w:adjustRightInd w:val="0"/>
        <w:snapToGrid w:val="0"/>
        <w:spacing w:line="360" w:lineRule="auto"/>
        <w:rPr>
          <w:rFonts w:ascii="黑体" w:hAnsi="宋体" w:eastAsia="黑体"/>
          <w:b/>
          <w:bCs/>
          <w:color w:val="auto"/>
          <w:sz w:val="32"/>
          <w:szCs w:val="32"/>
          <w:highlight w:val="none"/>
        </w:rPr>
      </w:pPr>
      <w:r>
        <w:rPr>
          <w:rFonts w:hint="eastAsia" w:ascii="黑体" w:eastAsia="黑体"/>
          <w:color w:val="auto"/>
          <w:sz w:val="24"/>
          <w:highlight w:val="none"/>
        </w:rPr>
        <w:br w:type="page"/>
      </w:r>
      <w:r>
        <w:rPr>
          <w:rFonts w:hint="eastAsia" w:ascii="黑体" w:eastAsia="黑体"/>
          <w:b/>
          <w:bCs/>
          <w:color w:val="auto"/>
          <w:sz w:val="32"/>
          <w:szCs w:val="32"/>
          <w:highlight w:val="none"/>
        </w:rPr>
        <w:t>磋商须知</w:t>
      </w:r>
      <w:r>
        <w:rPr>
          <w:rFonts w:hint="eastAsia" w:ascii="黑体" w:hAnsi="宋体" w:eastAsia="黑体"/>
          <w:b/>
          <w:bCs/>
          <w:color w:val="auto"/>
          <w:sz w:val="32"/>
          <w:szCs w:val="32"/>
          <w:highlight w:val="none"/>
        </w:rPr>
        <w:t>正文</w:t>
      </w:r>
    </w:p>
    <w:p>
      <w:pPr>
        <w:adjustRightInd w:val="0"/>
        <w:snapToGrid w:val="0"/>
        <w:spacing w:line="360" w:lineRule="auto"/>
        <w:jc w:val="center"/>
        <w:rPr>
          <w:rFonts w:ascii="黑体" w:hAnsi="宋体" w:eastAsia="黑体"/>
          <w:b/>
          <w:bCs/>
          <w:color w:val="auto"/>
          <w:sz w:val="24"/>
          <w:highlight w:val="none"/>
        </w:rPr>
      </w:pPr>
      <w:r>
        <w:rPr>
          <w:rFonts w:hint="eastAsia" w:ascii="黑体" w:hAnsi="宋体" w:eastAsia="黑体"/>
          <w:b/>
          <w:bCs/>
          <w:color w:val="auto"/>
          <w:sz w:val="24"/>
          <w:highlight w:val="none"/>
        </w:rPr>
        <w:t>一、说明</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1.适用范围</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1.1 本磋商文件仅适用于磋商须知前附表(以下简称</w:t>
      </w:r>
      <w:r>
        <w:rPr>
          <w:rFonts w:hint="eastAsia" w:ascii="宋体" w:hAnsi="宋体"/>
          <w:b/>
          <w:color w:val="auto"/>
          <w:szCs w:val="21"/>
          <w:highlight w:val="none"/>
        </w:rPr>
        <w:t>磋商须知前附表)</w:t>
      </w:r>
      <w:r>
        <w:rPr>
          <w:rFonts w:hint="eastAsia" w:ascii="宋体" w:hAnsi="宋体"/>
          <w:color w:val="auto"/>
          <w:szCs w:val="21"/>
          <w:highlight w:val="none"/>
        </w:rPr>
        <w:t>中所叙述的采购项目。</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2.定义</w:t>
      </w:r>
    </w:p>
    <w:p>
      <w:pPr>
        <w:adjustRightInd w:val="0"/>
        <w:snapToGrid w:val="0"/>
        <w:spacing w:line="380" w:lineRule="exact"/>
        <w:ind w:firstLine="420" w:firstLineChars="200"/>
        <w:rPr>
          <w:rFonts w:ascii="宋体" w:hAnsi="宋体"/>
          <w:b/>
          <w:color w:val="auto"/>
          <w:szCs w:val="21"/>
          <w:highlight w:val="none"/>
        </w:rPr>
      </w:pPr>
      <w:r>
        <w:rPr>
          <w:rFonts w:hint="eastAsia" w:ascii="宋体" w:hAnsi="宋体"/>
          <w:color w:val="auto"/>
          <w:szCs w:val="21"/>
          <w:highlight w:val="none"/>
        </w:rPr>
        <w:t>2.1 “采购人”是指依法进行政府采购的国家机关、事业单位、团体组织。本次政府采购的采购人名称、地址、电话、联系人见</w:t>
      </w:r>
      <w:r>
        <w:rPr>
          <w:rFonts w:hint="eastAsia" w:ascii="宋体" w:hAnsi="宋体"/>
          <w:b/>
          <w:color w:val="auto"/>
          <w:szCs w:val="21"/>
          <w:highlight w:val="none"/>
        </w:rPr>
        <w:t>磋商须知前附表</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b/>
          <w:color w:val="auto"/>
          <w:szCs w:val="21"/>
          <w:highlight w:val="none"/>
        </w:rPr>
      </w:pPr>
      <w:r>
        <w:rPr>
          <w:rFonts w:hint="eastAsia" w:ascii="宋体" w:hAnsi="宋体"/>
          <w:color w:val="auto"/>
          <w:szCs w:val="21"/>
          <w:highlight w:val="none"/>
        </w:rPr>
        <w:t>2.2 “采购代理机构”是指接受采购人委托，代理采购项目的集中采购机构和其他采购代理机构。本次政府采购的采购代理机构名称、地址、电话、联系人见</w:t>
      </w:r>
      <w:r>
        <w:rPr>
          <w:rFonts w:hint="eastAsia" w:ascii="宋体" w:hAnsi="宋体"/>
          <w:b/>
          <w:color w:val="auto"/>
          <w:szCs w:val="21"/>
          <w:highlight w:val="none"/>
        </w:rPr>
        <w:t>磋商须知前附表。</w:t>
      </w:r>
    </w:p>
    <w:p>
      <w:pPr>
        <w:adjustRightInd w:val="0"/>
        <w:snapToGrid w:val="0"/>
        <w:spacing w:line="380" w:lineRule="exact"/>
        <w:ind w:firstLine="420" w:firstLineChars="200"/>
        <w:rPr>
          <w:rFonts w:ascii="宋体" w:hAnsi="宋体" w:cs="宋体"/>
          <w:bCs/>
          <w:color w:val="auto"/>
          <w:kern w:val="36"/>
          <w:szCs w:val="21"/>
          <w:highlight w:val="none"/>
        </w:rPr>
      </w:pPr>
      <w:r>
        <w:rPr>
          <w:rFonts w:hint="eastAsia" w:ascii="宋体" w:hAnsi="宋体"/>
          <w:color w:val="auto"/>
          <w:szCs w:val="21"/>
          <w:highlight w:val="none"/>
        </w:rPr>
        <w:t>2.3 “供应商”是指响应磋商文件要求、参加竞争性磋商采购的法人、其他组织或者自然人。本次政府采购项目</w:t>
      </w:r>
      <w:r>
        <w:rPr>
          <w:rFonts w:hint="eastAsia" w:ascii="宋体" w:hAnsi="宋体" w:cs="宋体"/>
          <w:color w:val="auto"/>
          <w:kern w:val="0"/>
          <w:szCs w:val="21"/>
          <w:highlight w:val="none"/>
        </w:rPr>
        <w:t>邀请</w:t>
      </w:r>
      <w:r>
        <w:rPr>
          <w:rFonts w:hint="eastAsia" w:ascii="宋体" w:hAnsi="宋体"/>
          <w:color w:val="auto"/>
          <w:szCs w:val="21"/>
          <w:highlight w:val="none"/>
        </w:rPr>
        <w:t>的</w:t>
      </w:r>
      <w:r>
        <w:rPr>
          <w:rFonts w:hint="eastAsia" w:ascii="宋体" w:hAnsi="宋体" w:cs="宋体"/>
          <w:color w:val="auto"/>
          <w:kern w:val="0"/>
          <w:szCs w:val="21"/>
          <w:highlight w:val="none"/>
        </w:rPr>
        <w:t>供应商通过</w:t>
      </w:r>
      <w:r>
        <w:rPr>
          <w:rFonts w:hint="eastAsia" w:ascii="宋体" w:hAnsi="宋体"/>
          <w:b/>
          <w:color w:val="auto"/>
          <w:szCs w:val="21"/>
          <w:highlight w:val="none"/>
        </w:rPr>
        <w:t>磋商须知前附表</w:t>
      </w:r>
      <w:r>
        <w:rPr>
          <w:rFonts w:hint="eastAsia" w:ascii="宋体" w:hAnsi="宋体"/>
          <w:color w:val="auto"/>
          <w:szCs w:val="21"/>
          <w:highlight w:val="none"/>
        </w:rPr>
        <w:t>所述方式</w:t>
      </w:r>
      <w:r>
        <w:rPr>
          <w:rFonts w:hint="eastAsia" w:ascii="宋体" w:hAnsi="宋体" w:cs="宋体"/>
          <w:color w:val="auto"/>
          <w:kern w:val="0"/>
          <w:szCs w:val="21"/>
          <w:highlight w:val="none"/>
        </w:rPr>
        <w:t>，邀请符合资格条件的供应商提交响应文件（含资格证明资料），参与竞争性磋商采购活动。</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olor w:val="auto"/>
          <w:szCs w:val="21"/>
          <w:highlight w:val="none"/>
        </w:rPr>
        <w:t>2.4 “磋商小组”是指</w:t>
      </w:r>
      <w:r>
        <w:rPr>
          <w:rFonts w:hint="eastAsia" w:ascii="宋体" w:hAnsi="宋体" w:cs="宋体"/>
          <w:color w:val="auto"/>
          <w:kern w:val="0"/>
          <w:szCs w:val="21"/>
          <w:highlight w:val="none"/>
        </w:rPr>
        <w:t>依据财政部</w:t>
      </w:r>
      <w:r>
        <w:rPr>
          <w:rFonts w:ascii="宋体" w:hAnsi="宋体" w:cs="宋体"/>
          <w:bCs/>
          <w:color w:val="auto"/>
          <w:kern w:val="36"/>
          <w:szCs w:val="21"/>
          <w:highlight w:val="none"/>
        </w:rPr>
        <w:t>《</w:t>
      </w:r>
      <w:r>
        <w:rPr>
          <w:rFonts w:hint="eastAsia" w:ascii="宋体" w:hAnsi="宋体" w:cs="宋体"/>
          <w:bCs/>
          <w:color w:val="auto"/>
          <w:kern w:val="36"/>
          <w:szCs w:val="21"/>
          <w:highlight w:val="none"/>
        </w:rPr>
        <w:t>政府采购竞争性磋商采购方式管理暂行办法</w:t>
      </w:r>
      <w:r>
        <w:rPr>
          <w:rFonts w:ascii="宋体" w:hAnsi="宋体" w:cs="宋体"/>
          <w:bCs/>
          <w:color w:val="auto"/>
          <w:kern w:val="36"/>
          <w:szCs w:val="21"/>
          <w:highlight w:val="none"/>
        </w:rPr>
        <w:t>》</w:t>
      </w:r>
      <w:r>
        <w:rPr>
          <w:rFonts w:hint="eastAsia" w:ascii="宋体" w:hAnsi="宋体" w:cs="宋体"/>
          <w:bCs/>
          <w:color w:val="auto"/>
          <w:kern w:val="36"/>
          <w:szCs w:val="21"/>
          <w:highlight w:val="none"/>
        </w:rPr>
        <w:t>有关规定组建，依法依规</w:t>
      </w:r>
      <w:r>
        <w:rPr>
          <w:rFonts w:hint="eastAsia" w:ascii="宋体" w:hAnsi="宋体" w:cs="宋体"/>
          <w:color w:val="auto"/>
          <w:kern w:val="0"/>
          <w:szCs w:val="21"/>
          <w:highlight w:val="none"/>
        </w:rPr>
        <w:t>履行其职责和义务的机构。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2.5 “货物”是指各种形态和种类的物品，包括原资料、燃料、设备、产品等，详见《政府采购品目分类目录》(</w:t>
      </w:r>
      <w:r>
        <w:rPr>
          <w:rStyle w:val="44"/>
          <w:rFonts w:ascii="宋体" w:hAnsi="宋体"/>
          <w:b w:val="0"/>
          <w:color w:val="auto"/>
          <w:highlight w:val="none"/>
        </w:rPr>
        <w:t>财库</w:t>
      </w:r>
      <w:r>
        <w:rPr>
          <w:rStyle w:val="44"/>
          <w:rFonts w:hint="eastAsia" w:ascii="宋体" w:hAnsi="宋体"/>
          <w:b w:val="0"/>
          <w:color w:val="auto"/>
          <w:highlight w:val="none"/>
        </w:rPr>
        <w:t>[</w:t>
      </w:r>
      <w:r>
        <w:rPr>
          <w:rStyle w:val="44"/>
          <w:rFonts w:ascii="宋体" w:hAnsi="宋体"/>
          <w:b w:val="0"/>
          <w:color w:val="auto"/>
          <w:highlight w:val="none"/>
        </w:rPr>
        <w:t>2013</w:t>
      </w:r>
      <w:r>
        <w:rPr>
          <w:rStyle w:val="44"/>
          <w:rFonts w:hint="eastAsia" w:ascii="宋体" w:hAnsi="宋体"/>
          <w:b w:val="0"/>
          <w:color w:val="auto"/>
          <w:highlight w:val="none"/>
        </w:rPr>
        <w:t>]</w:t>
      </w:r>
      <w:r>
        <w:rPr>
          <w:rStyle w:val="44"/>
          <w:rFonts w:ascii="宋体" w:hAnsi="宋体"/>
          <w:b w:val="0"/>
          <w:color w:val="auto"/>
          <w:highlight w:val="none"/>
        </w:rPr>
        <w:t>189号</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2.6 “工程”是指建设工程，包括建筑物和构筑物的新建、改建、扩建、装修、拆除、修缮等，详见《政府采购品目分类目录》(</w:t>
      </w:r>
      <w:r>
        <w:rPr>
          <w:rStyle w:val="44"/>
          <w:rFonts w:ascii="宋体" w:hAnsi="宋体"/>
          <w:b w:val="0"/>
          <w:color w:val="auto"/>
          <w:highlight w:val="none"/>
        </w:rPr>
        <w:t>财库</w:t>
      </w:r>
      <w:r>
        <w:rPr>
          <w:rStyle w:val="44"/>
          <w:rFonts w:hint="eastAsia" w:ascii="宋体" w:hAnsi="宋体"/>
          <w:b w:val="0"/>
          <w:color w:val="auto"/>
          <w:highlight w:val="none"/>
        </w:rPr>
        <w:t>[</w:t>
      </w:r>
      <w:r>
        <w:rPr>
          <w:rStyle w:val="44"/>
          <w:rFonts w:ascii="宋体" w:hAnsi="宋体"/>
          <w:b w:val="0"/>
          <w:color w:val="auto"/>
          <w:highlight w:val="none"/>
        </w:rPr>
        <w:t>2013</w:t>
      </w:r>
      <w:r>
        <w:rPr>
          <w:rStyle w:val="44"/>
          <w:rFonts w:hint="eastAsia" w:ascii="宋体" w:hAnsi="宋体"/>
          <w:b w:val="0"/>
          <w:color w:val="auto"/>
          <w:highlight w:val="none"/>
        </w:rPr>
        <w:t>]</w:t>
      </w:r>
      <w:r>
        <w:rPr>
          <w:rStyle w:val="44"/>
          <w:rFonts w:ascii="宋体" w:hAnsi="宋体"/>
          <w:b w:val="0"/>
          <w:color w:val="auto"/>
          <w:highlight w:val="none"/>
        </w:rPr>
        <w:t>189号</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2.7 “服务”是指除货物和工程以外的其他政府采购对象，详见《政府采购品目分类目录》(</w:t>
      </w:r>
      <w:r>
        <w:rPr>
          <w:rStyle w:val="44"/>
          <w:rFonts w:ascii="宋体" w:hAnsi="宋体"/>
          <w:b w:val="0"/>
          <w:color w:val="auto"/>
          <w:highlight w:val="none"/>
        </w:rPr>
        <w:t>财库</w:t>
      </w:r>
      <w:r>
        <w:rPr>
          <w:rStyle w:val="44"/>
          <w:rFonts w:hint="eastAsia" w:ascii="宋体" w:hAnsi="宋体"/>
          <w:b w:val="0"/>
          <w:color w:val="auto"/>
          <w:highlight w:val="none"/>
        </w:rPr>
        <w:t>[</w:t>
      </w:r>
      <w:r>
        <w:rPr>
          <w:rStyle w:val="44"/>
          <w:rFonts w:ascii="宋体" w:hAnsi="宋体"/>
          <w:b w:val="0"/>
          <w:color w:val="auto"/>
          <w:highlight w:val="none"/>
        </w:rPr>
        <w:t>2013</w:t>
      </w:r>
      <w:r>
        <w:rPr>
          <w:rStyle w:val="44"/>
          <w:rFonts w:hint="eastAsia" w:ascii="宋体" w:hAnsi="宋体"/>
          <w:b w:val="0"/>
          <w:color w:val="auto"/>
          <w:highlight w:val="none"/>
        </w:rPr>
        <w:t>]</w:t>
      </w:r>
      <w:r>
        <w:rPr>
          <w:rStyle w:val="44"/>
          <w:rFonts w:ascii="宋体" w:hAnsi="宋体"/>
          <w:b w:val="0"/>
          <w:color w:val="auto"/>
          <w:highlight w:val="none"/>
        </w:rPr>
        <w:t>189号</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s="宋体"/>
          <w:color w:val="auto"/>
          <w:kern w:val="0"/>
          <w:szCs w:val="21"/>
          <w:highlight w:val="none"/>
        </w:rPr>
        <w:t>2.8</w:t>
      </w:r>
      <w:r>
        <w:rPr>
          <w:rFonts w:hint="eastAsia" w:ascii="宋体" w:hAnsi="宋体"/>
          <w:color w:val="auto"/>
          <w:szCs w:val="21"/>
          <w:highlight w:val="none"/>
        </w:rPr>
        <w:t xml:space="preserve"> “节能产品”或者“环保产品”是指财政部发布的《节能产品政府采购品目清单》或者《环境标志产品政府采购清单》的产品，“两型产品”是指湖南省财政厅发布的</w:t>
      </w:r>
      <w:r>
        <w:rPr>
          <w:rFonts w:ascii="宋体" w:hAnsi="宋体"/>
          <w:color w:val="auto"/>
          <w:szCs w:val="21"/>
          <w:highlight w:val="none"/>
        </w:rPr>
        <w:t>《湖南省两型产品政府采购目录》</w:t>
      </w:r>
      <w:r>
        <w:rPr>
          <w:rFonts w:hint="eastAsia" w:ascii="宋体" w:hAnsi="宋体"/>
          <w:color w:val="auto"/>
          <w:szCs w:val="21"/>
          <w:highlight w:val="none"/>
        </w:rPr>
        <w:t>或《长沙市两型产品目录》的产品。</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olor w:val="auto"/>
          <w:szCs w:val="21"/>
          <w:highlight w:val="none"/>
        </w:rPr>
        <w:t>2.9</w:t>
      </w:r>
      <w:r>
        <w:rPr>
          <w:rFonts w:hint="eastAsia" w:ascii="宋体" w:hAnsi="宋体" w:cs="宋体"/>
          <w:color w:val="auto"/>
          <w:kern w:val="0"/>
          <w:szCs w:val="21"/>
          <w:highlight w:val="none"/>
        </w:rPr>
        <w:t xml:space="preserve"> “进口产品”是指通过中国海关报关验放进入中国境内且产自关境外的产品，详见《</w:t>
      </w:r>
      <w:r>
        <w:rPr>
          <w:rFonts w:ascii="宋体" w:hAnsi="宋体" w:cs="宋体"/>
          <w:color w:val="auto"/>
          <w:kern w:val="0"/>
          <w:szCs w:val="21"/>
          <w:highlight w:val="none"/>
        </w:rPr>
        <w:t>关于政府采购进口产品管理有关问题的通知</w:t>
      </w:r>
      <w:r>
        <w:rPr>
          <w:rFonts w:hint="eastAsia" w:ascii="宋体" w:hAnsi="宋体" w:cs="宋体"/>
          <w:color w:val="auto"/>
          <w:kern w:val="0"/>
          <w:szCs w:val="21"/>
          <w:highlight w:val="none"/>
        </w:rPr>
        <w:t>》(财库[2007]119号)。</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3.供应商的资格要求</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3.1 供应商应当符合</w:t>
      </w:r>
      <w:r>
        <w:rPr>
          <w:rFonts w:hint="eastAsia" w:ascii="宋体" w:hAnsi="宋体"/>
          <w:b/>
          <w:color w:val="auto"/>
          <w:szCs w:val="21"/>
          <w:highlight w:val="none"/>
        </w:rPr>
        <w:t>磋商须知前附表</w:t>
      </w:r>
      <w:r>
        <w:rPr>
          <w:rFonts w:hint="eastAsia" w:ascii="宋体" w:hAnsi="宋体"/>
          <w:color w:val="auto"/>
          <w:szCs w:val="21"/>
          <w:highlight w:val="none"/>
        </w:rPr>
        <w:t>中规定的资格条件要求。</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3.2供应商</w:t>
      </w:r>
      <w:r>
        <w:rPr>
          <w:rFonts w:hint="eastAsia" w:hAnsi="宋体"/>
          <w:color w:val="auto"/>
          <w:highlight w:val="none"/>
        </w:rPr>
        <w:t>为联合体形式的</w:t>
      </w:r>
      <w:r>
        <w:rPr>
          <w:rFonts w:hint="eastAsia" w:ascii="宋体" w:hAnsi="宋体"/>
          <w:color w:val="auto"/>
          <w:szCs w:val="21"/>
          <w:highlight w:val="none"/>
        </w:rPr>
        <w:t xml:space="preserve">，除应满足本章第3.1款资格条件要求及第3.3款规定外，还应遵守以下规定： </w:t>
      </w:r>
    </w:p>
    <w:p>
      <w:pPr>
        <w:adjustRightInd w:val="0"/>
        <w:snapToGrid w:val="0"/>
        <w:spacing w:line="38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（1）联合体各方应按磋商文件提供的格式签订联合体协议书，明确联合体牵头人和各方权利义务(含承担工作及工作量比例)；</w:t>
      </w:r>
    </w:p>
    <w:p>
      <w:pPr>
        <w:adjustRightInd w:val="0"/>
        <w:snapToGrid w:val="0"/>
        <w:spacing w:line="38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（2）联合体中有同类资质的供应商按照联合体分工承担相同工作的，应当按照资质等级较低的供应商确定资质等级；</w:t>
      </w:r>
    </w:p>
    <w:p>
      <w:pPr>
        <w:adjustRightInd w:val="0"/>
        <w:snapToGrid w:val="0"/>
        <w:spacing w:line="38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（3）以联合体形式参加政府采购活动的，联合体各方不得再单独参加或者与其他供应商另外组成联合体参加同一合同项下的政府采购活动。</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3.3 供应商不得存在下列情形之一：</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（l）与采购人、采购代理机构存在</w:t>
      </w:r>
      <w:r>
        <w:rPr>
          <w:rFonts w:hint="eastAsia" w:ascii="宋体" w:hAnsi="宋体"/>
          <w:bCs/>
          <w:color w:val="auto"/>
          <w:szCs w:val="21"/>
          <w:highlight w:val="none"/>
        </w:rPr>
        <w:t>隶属关系或者其他利害关系</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（2）与其他供应商的法定代表人（或者负责人）为同一人，或者与其他供应商存在直接控股、管理关系。</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r>
        <w:rPr>
          <w:rFonts w:hint="eastAsia" w:ascii="宋体" w:hAnsi="宋体"/>
          <w:color w:val="auto"/>
          <w:szCs w:val="21"/>
          <w:highlight w:val="none"/>
          <w:lang w:val="zh-TW"/>
        </w:rPr>
        <w:t>。</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 xml:space="preserve">4.参与磋商的费用 </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4.1 无论磋商的结果如何，供应商应自行承担所有与竞争性磋商采购活动有关的全部费用。</w:t>
      </w:r>
    </w:p>
    <w:p>
      <w:pPr>
        <w:pStyle w:val="23"/>
        <w:adjustRightInd w:val="0"/>
        <w:snapToGrid w:val="0"/>
        <w:spacing w:line="380" w:lineRule="exact"/>
        <w:rPr>
          <w:rFonts w:hAnsi="宋体"/>
          <w:b/>
          <w:bCs/>
          <w:color w:val="auto"/>
          <w:highlight w:val="none"/>
        </w:rPr>
      </w:pPr>
      <w:r>
        <w:rPr>
          <w:rFonts w:hint="eastAsia" w:hAnsi="宋体"/>
          <w:b/>
          <w:color w:val="auto"/>
          <w:highlight w:val="none"/>
        </w:rPr>
        <w:t>5．</w:t>
      </w:r>
      <w:r>
        <w:rPr>
          <w:rFonts w:hint="eastAsia" w:hAnsi="宋体"/>
          <w:b/>
          <w:bCs/>
          <w:color w:val="auto"/>
          <w:highlight w:val="none"/>
        </w:rPr>
        <w:t>授权委托</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5.1供应商代表为供应商法定代表人的，应具备法定代表人身份证明。供应商代表不是供应商法定代表人的，应具备法定代表人授权书，并附法定代表人身份证明。</w:t>
      </w:r>
    </w:p>
    <w:p>
      <w:pPr>
        <w:pStyle w:val="23"/>
        <w:adjustRightInd w:val="0"/>
        <w:snapToGrid w:val="0"/>
        <w:spacing w:line="380" w:lineRule="exact"/>
        <w:rPr>
          <w:rFonts w:hAnsi="宋体"/>
          <w:b/>
          <w:color w:val="auto"/>
          <w:highlight w:val="none"/>
        </w:rPr>
      </w:pPr>
      <w:r>
        <w:rPr>
          <w:rFonts w:hint="eastAsia" w:hAnsi="宋体"/>
          <w:b/>
          <w:color w:val="auto"/>
          <w:highlight w:val="none"/>
        </w:rPr>
        <w:t>6．联合体形式</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6.1除</w:t>
      </w:r>
      <w:r>
        <w:rPr>
          <w:rFonts w:hint="eastAsia" w:hAnsi="宋体"/>
          <w:b/>
          <w:color w:val="auto"/>
          <w:highlight w:val="none"/>
        </w:rPr>
        <w:t>磋商须知前附表</w:t>
      </w:r>
      <w:r>
        <w:rPr>
          <w:rFonts w:hint="eastAsia" w:hAnsi="宋体"/>
          <w:color w:val="auto"/>
          <w:highlight w:val="none"/>
        </w:rPr>
        <w:t>中另有规定，本次磋商采购不接受为联合体形式的供应商。</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6.2供应商</w:t>
      </w:r>
      <w:r>
        <w:rPr>
          <w:rFonts w:hint="eastAsia" w:hAnsi="宋体"/>
          <w:color w:val="auto"/>
          <w:highlight w:val="none"/>
        </w:rPr>
        <w:t>为联合体形式的</w:t>
      </w:r>
      <w:r>
        <w:rPr>
          <w:rFonts w:hint="eastAsia" w:ascii="宋体" w:hAnsi="宋体"/>
          <w:color w:val="auto"/>
          <w:szCs w:val="21"/>
          <w:highlight w:val="none"/>
        </w:rPr>
        <w:t>，除应符合本章第3条规定外，还应遵守以下规定：</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（l）联合体各方必须签订联合体协议书，明确联合体牵头人和各方的义务、工作、合同工作量比例；</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（2）联合体各方均应当符合本章第3.1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规定的供应商基本资格条件；</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highlight w:val="none"/>
        </w:rPr>
        <w:t>除</w:t>
      </w:r>
      <w:r>
        <w:rPr>
          <w:rFonts w:hint="eastAsia" w:ascii="宋体" w:hAnsi="宋体"/>
          <w:b/>
          <w:color w:val="auto"/>
          <w:highlight w:val="none"/>
        </w:rPr>
        <w:t>磋商须知前附表</w:t>
      </w:r>
      <w:r>
        <w:rPr>
          <w:rFonts w:hint="eastAsia" w:ascii="宋体" w:hAnsi="宋体"/>
          <w:color w:val="auto"/>
          <w:highlight w:val="none"/>
        </w:rPr>
        <w:t>中另有规定，</w:t>
      </w:r>
      <w:r>
        <w:rPr>
          <w:rFonts w:hint="eastAsia" w:ascii="宋体" w:hAnsi="宋体"/>
          <w:color w:val="auto"/>
          <w:szCs w:val="21"/>
          <w:highlight w:val="none"/>
        </w:rPr>
        <w:t>联合体各方中至少有一方应当符合本章第3.1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规定的供应商特定资格条件；</w:t>
      </w:r>
    </w:p>
    <w:p>
      <w:pPr>
        <w:adjustRightInd w:val="0"/>
        <w:snapToGrid w:val="0"/>
        <w:spacing w:line="380" w:lineRule="exact"/>
        <w:ind w:firstLine="420" w:firstLineChars="200"/>
        <w:jc w:val="left"/>
        <w:rPr>
          <w:rFonts w:ascii="宋体" w:hAnsi="宋体" w:cs="宋体"/>
          <w:color w:val="auto"/>
          <w:kern w:val="0"/>
          <w:szCs w:val="21"/>
          <w:highlight w:val="none"/>
          <w:lang w:val="zh-CN"/>
        </w:rPr>
      </w:pPr>
      <w:r>
        <w:rPr>
          <w:rFonts w:hint="eastAsia" w:ascii="宋体" w:hAnsi="宋体"/>
          <w:color w:val="auto"/>
          <w:szCs w:val="21"/>
          <w:highlight w:val="none"/>
        </w:rPr>
        <w:t>（4）</w:t>
      </w:r>
      <w:r>
        <w:rPr>
          <w:rFonts w:hint="eastAsia" w:ascii="宋体" w:hAnsi="宋体" w:cs="宋体"/>
          <w:color w:val="auto"/>
          <w:kern w:val="0"/>
          <w:szCs w:val="21"/>
          <w:highlight w:val="none"/>
          <w:lang w:val="zh-CN"/>
        </w:rPr>
        <w:t>联合体各方不得再单独或与其他供应商组成新的联合体参加同一项目的采购活动。</w:t>
      </w:r>
    </w:p>
    <w:p>
      <w:pPr>
        <w:adjustRightInd w:val="0"/>
        <w:snapToGrid w:val="0"/>
        <w:spacing w:line="380" w:lineRule="exact"/>
        <w:rPr>
          <w:rFonts w:ascii="宋体" w:hAnsi="宋体"/>
          <w:b/>
          <w:color w:val="auto"/>
          <w:szCs w:val="21"/>
          <w:highlight w:val="none"/>
        </w:rPr>
      </w:pPr>
      <w:r>
        <w:rPr>
          <w:rFonts w:hint="eastAsia" w:ascii="宋体" w:hAnsi="宋体"/>
          <w:b/>
          <w:color w:val="auto"/>
          <w:szCs w:val="21"/>
          <w:highlight w:val="none"/>
        </w:rPr>
        <w:t>7.现场勘察</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7.1供应商应按</w:t>
      </w:r>
      <w:r>
        <w:rPr>
          <w:rFonts w:hint="eastAsia" w:hAnsi="宋体"/>
          <w:b/>
          <w:color w:val="auto"/>
          <w:highlight w:val="none"/>
        </w:rPr>
        <w:t>磋商须知前附表</w:t>
      </w:r>
      <w:r>
        <w:rPr>
          <w:rFonts w:hint="eastAsia" w:hAnsi="宋体"/>
          <w:color w:val="auto"/>
          <w:highlight w:val="none"/>
        </w:rPr>
        <w:t>中规定</w:t>
      </w:r>
      <w:r>
        <w:rPr>
          <w:rFonts w:hint="eastAsia" w:ascii="宋体" w:hAnsi="宋体"/>
          <w:color w:val="auto"/>
          <w:szCs w:val="21"/>
          <w:highlight w:val="none"/>
        </w:rPr>
        <w:t>对采购项目现场和周围环境的现场考察。</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7.2勘察现场的费用由供应商自己承担，勘察期间所发生的人身伤害及财产损失由供应商自己负责。</w:t>
      </w:r>
    </w:p>
    <w:p>
      <w:pPr>
        <w:adjustRightInd w:val="0"/>
        <w:snapToGrid w:val="0"/>
        <w:spacing w:line="380" w:lineRule="exact"/>
        <w:ind w:firstLine="420" w:firstLineChars="200"/>
        <w:jc w:val="left"/>
        <w:rPr>
          <w:rFonts w:ascii="宋体" w:hAnsi="宋体"/>
          <w:b/>
          <w:color w:val="auto"/>
          <w:szCs w:val="21"/>
          <w:highlight w:val="none"/>
        </w:rPr>
      </w:pPr>
      <w:r>
        <w:rPr>
          <w:rFonts w:hint="eastAsia" w:ascii="宋体" w:hAnsi="宋体"/>
          <w:color w:val="auto"/>
          <w:szCs w:val="21"/>
          <w:highlight w:val="none"/>
        </w:rPr>
        <w:t>7.3采购人不对供应商据此而做出的推论、理解和结论负责。一旦成交，供应商不得以任何借口，提出额外补偿，或延长合同期限的要求。</w:t>
      </w:r>
    </w:p>
    <w:p>
      <w:pPr>
        <w:adjustRightInd w:val="0"/>
        <w:snapToGrid w:val="0"/>
        <w:spacing w:line="380" w:lineRule="exact"/>
        <w:jc w:val="left"/>
        <w:rPr>
          <w:rFonts w:ascii="宋体" w:hAnsi="宋体"/>
          <w:b/>
          <w:color w:val="auto"/>
          <w:szCs w:val="21"/>
          <w:highlight w:val="none"/>
        </w:rPr>
      </w:pPr>
      <w:r>
        <w:rPr>
          <w:rFonts w:hint="eastAsia" w:ascii="宋体" w:hAnsi="宋体"/>
          <w:b/>
          <w:color w:val="auto"/>
          <w:szCs w:val="21"/>
          <w:highlight w:val="none"/>
        </w:rPr>
        <w:t>8.采购进口产品</w:t>
      </w:r>
    </w:p>
    <w:p>
      <w:pPr>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olor w:val="auto"/>
          <w:szCs w:val="21"/>
          <w:highlight w:val="none"/>
        </w:rPr>
        <w:t>8.1除</w:t>
      </w:r>
      <w:r>
        <w:rPr>
          <w:rFonts w:hint="eastAsia" w:ascii="宋体" w:hAnsi="宋体"/>
          <w:b/>
          <w:color w:val="auto"/>
          <w:szCs w:val="21"/>
          <w:highlight w:val="none"/>
        </w:rPr>
        <w:t>磋商文件前附表</w:t>
      </w:r>
      <w:r>
        <w:rPr>
          <w:rFonts w:hint="eastAsia" w:ascii="宋体" w:hAnsi="宋体"/>
          <w:color w:val="auto"/>
          <w:szCs w:val="21"/>
          <w:highlight w:val="none"/>
        </w:rPr>
        <w:t>另有规定外，本项目</w:t>
      </w:r>
      <w:r>
        <w:rPr>
          <w:rFonts w:hint="eastAsia" w:ascii="宋体" w:hAnsi="宋体" w:cs="宋体"/>
          <w:color w:val="auto"/>
          <w:kern w:val="0"/>
          <w:szCs w:val="21"/>
          <w:highlight w:val="none"/>
        </w:rPr>
        <w:t>拒绝进口产品参加</w:t>
      </w:r>
      <w:r>
        <w:rPr>
          <w:rFonts w:hint="eastAsia" w:ascii="宋体" w:hAnsi="宋体"/>
          <w:color w:val="auto"/>
          <w:szCs w:val="21"/>
          <w:highlight w:val="none"/>
        </w:rPr>
        <w:t>竞争性磋商采购活动</w:t>
      </w:r>
      <w:r>
        <w:rPr>
          <w:rFonts w:hint="eastAsia" w:ascii="宋体" w:hAnsi="宋体" w:cs="宋体"/>
          <w:color w:val="auto"/>
          <w:kern w:val="0"/>
          <w:szCs w:val="21"/>
          <w:highlight w:val="none"/>
        </w:rPr>
        <w:t>。</w:t>
      </w:r>
    </w:p>
    <w:p>
      <w:pPr>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8.2</w:t>
      </w:r>
      <w:r>
        <w:rPr>
          <w:rFonts w:hint="eastAsia" w:ascii="宋体" w:hAnsi="宋体"/>
          <w:color w:val="auto"/>
          <w:szCs w:val="21"/>
          <w:highlight w:val="none"/>
        </w:rPr>
        <w:t>本章第7.1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w:t>
      </w:r>
      <w:r>
        <w:rPr>
          <w:rFonts w:ascii="宋体" w:hAnsi="宋体" w:cs="宋体"/>
          <w:color w:val="auto"/>
          <w:kern w:val="0"/>
          <w:szCs w:val="21"/>
          <w:highlight w:val="none"/>
        </w:rPr>
        <w:t>同意购买进口产品的</w:t>
      </w:r>
      <w:r>
        <w:rPr>
          <w:rFonts w:hint="eastAsia" w:ascii="宋体" w:hAnsi="宋体" w:cs="宋体"/>
          <w:color w:val="auto"/>
          <w:kern w:val="0"/>
          <w:szCs w:val="21"/>
          <w:highlight w:val="none"/>
        </w:rPr>
        <w:t>，</w:t>
      </w:r>
      <w:r>
        <w:rPr>
          <w:rFonts w:hint="eastAsia" w:ascii="宋体" w:hAnsi="宋体"/>
          <w:color w:val="auto"/>
          <w:szCs w:val="21"/>
          <w:highlight w:val="none"/>
        </w:rPr>
        <w:t>本项目</w:t>
      </w:r>
      <w:r>
        <w:rPr>
          <w:rFonts w:hint="eastAsia" w:ascii="宋体" w:hAnsi="宋体" w:cs="宋体"/>
          <w:color w:val="auto"/>
          <w:kern w:val="0"/>
          <w:szCs w:val="21"/>
          <w:highlight w:val="none"/>
          <w:lang w:val="zh-CN"/>
        </w:rPr>
        <w:t>采购活动</w:t>
      </w:r>
      <w:r>
        <w:rPr>
          <w:rFonts w:hint="eastAsia" w:ascii="宋体" w:hAnsi="宋体" w:cs="宋体"/>
          <w:color w:val="auto"/>
          <w:kern w:val="0"/>
          <w:szCs w:val="21"/>
          <w:highlight w:val="none"/>
        </w:rPr>
        <w:t>不</w:t>
      </w:r>
      <w:r>
        <w:rPr>
          <w:rFonts w:ascii="宋体" w:hAnsi="宋体" w:cs="宋体"/>
          <w:color w:val="auto"/>
          <w:kern w:val="0"/>
          <w:szCs w:val="21"/>
          <w:highlight w:val="none"/>
        </w:rPr>
        <w:t>限制满足</w:t>
      </w:r>
      <w:r>
        <w:rPr>
          <w:rFonts w:hint="eastAsia" w:ascii="宋体" w:hAnsi="宋体"/>
          <w:color w:val="auto"/>
          <w:szCs w:val="21"/>
          <w:highlight w:val="none"/>
        </w:rPr>
        <w:t>磋商文件要求</w:t>
      </w:r>
      <w:r>
        <w:rPr>
          <w:rFonts w:ascii="宋体" w:hAnsi="宋体" w:cs="宋体"/>
          <w:color w:val="auto"/>
          <w:kern w:val="0"/>
          <w:szCs w:val="21"/>
          <w:highlight w:val="none"/>
        </w:rPr>
        <w:t>的国内产品参与</w:t>
      </w:r>
      <w:r>
        <w:rPr>
          <w:rFonts w:hint="eastAsia" w:ascii="宋体" w:hAnsi="宋体"/>
          <w:color w:val="auto"/>
          <w:szCs w:val="21"/>
          <w:highlight w:val="none"/>
        </w:rPr>
        <w:t>竞争性磋商</w:t>
      </w:r>
      <w:r>
        <w:rPr>
          <w:rFonts w:ascii="宋体" w:hAnsi="宋体" w:cs="宋体"/>
          <w:color w:val="auto"/>
          <w:kern w:val="0"/>
          <w:szCs w:val="21"/>
          <w:highlight w:val="none"/>
        </w:rPr>
        <w:t>。</w:t>
      </w:r>
    </w:p>
    <w:p>
      <w:pPr>
        <w:adjustRightInd w:val="0"/>
        <w:snapToGrid w:val="0"/>
        <w:spacing w:line="380" w:lineRule="exact"/>
        <w:jc w:val="left"/>
        <w:rPr>
          <w:rFonts w:ascii="宋体" w:hAnsi="宋体"/>
          <w:b/>
          <w:color w:val="auto"/>
          <w:szCs w:val="21"/>
          <w:highlight w:val="none"/>
        </w:rPr>
      </w:pPr>
      <w:r>
        <w:rPr>
          <w:rFonts w:hint="eastAsia" w:ascii="宋体" w:hAnsi="宋体"/>
          <w:b/>
          <w:bCs/>
          <w:color w:val="auto"/>
          <w:szCs w:val="21"/>
          <w:highlight w:val="none"/>
        </w:rPr>
        <w:t>9.</w:t>
      </w:r>
      <w:r>
        <w:rPr>
          <w:rFonts w:hint="eastAsia" w:ascii="宋体" w:hAnsi="宋体"/>
          <w:b/>
          <w:color w:val="auto"/>
          <w:szCs w:val="21"/>
          <w:highlight w:val="none"/>
        </w:rPr>
        <w:t xml:space="preserve"> 政府采购政策支持</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color w:val="auto"/>
          <w:kern w:val="0"/>
          <w:szCs w:val="21"/>
          <w:highlight w:val="none"/>
        </w:rPr>
        <w:t>磋商文件前附表。</w:t>
      </w:r>
    </w:p>
    <w:p>
      <w:pPr>
        <w:pStyle w:val="23"/>
        <w:adjustRightInd w:val="0"/>
        <w:snapToGrid w:val="0"/>
        <w:spacing w:line="380" w:lineRule="exact"/>
        <w:ind w:firstLine="420" w:firstLineChars="200"/>
        <w:rPr>
          <w:color w:val="auto"/>
          <w:highlight w:val="none"/>
        </w:rPr>
      </w:pPr>
      <w:r>
        <w:rPr>
          <w:rFonts w:hint="eastAsia" w:hAnsi="宋体" w:cs="宋体"/>
          <w:color w:val="auto"/>
          <w:kern w:val="0"/>
          <w:highlight w:val="none"/>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olor w:val="auto"/>
          <w:highlight w:val="none"/>
        </w:rPr>
        <w:t>或《长沙市两型产品目录》</w:t>
      </w:r>
      <w:r>
        <w:rPr>
          <w:rFonts w:hint="eastAsia" w:hAnsi="宋体" w:cs="宋体"/>
          <w:color w:val="auto"/>
          <w:kern w:val="0"/>
          <w:highlight w:val="none"/>
        </w:rPr>
        <w:t>的“两型产品”以及小微企业、福利和监狱企业，实行优先采购，按照省级以上财政部门有关政策规定，评审时进行价格扣除或加分。实行政府采购优先采购的优惠率见</w:t>
      </w:r>
      <w:r>
        <w:rPr>
          <w:rFonts w:hint="eastAsia" w:hAnsi="宋体" w:cs="宋体"/>
          <w:b/>
          <w:color w:val="auto"/>
          <w:kern w:val="0"/>
          <w:highlight w:val="none"/>
        </w:rPr>
        <w:t>磋商文件前附表。</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9.3产品同时属于“非强制采购节能产品”、“环境标志产品”及“两型产品”的，评审时只有其中一项能享受优先待遇(供应商自行选择，并在报价文件中并填报相关信息及数据)；小微企业、福利和监狱企业可以与同时属于“非强制采购节能产品”、“环境标志产品”及“两型产品”中的一项重复计算。</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9.4同一项目中部分产品属于优先采购政策的，评审时只对该部分产品的报价实行价格扣除及加分。</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9.5符合本章第9.1</w:t>
      </w:r>
      <w:r>
        <w:rPr>
          <w:rFonts w:hint="eastAsia" w:ascii="宋体" w:hAnsi="宋体" w:cs="宋体"/>
          <w:color w:val="auto"/>
          <w:kern w:val="0"/>
          <w:szCs w:val="21"/>
          <w:highlight w:val="none"/>
          <w:lang w:val="zh-CN"/>
        </w:rPr>
        <w:t>款、</w:t>
      </w:r>
      <w:r>
        <w:rPr>
          <w:rFonts w:hint="eastAsia" w:ascii="宋体" w:hAnsi="宋体"/>
          <w:color w:val="auto"/>
          <w:szCs w:val="21"/>
          <w:highlight w:val="none"/>
        </w:rPr>
        <w:t>第9.2</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规定的，应提供相关证明资料。</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9.6供应商有融资、担保需求的，具体办理流程可向</w:t>
      </w:r>
      <w:r>
        <w:rPr>
          <w:rFonts w:hint="eastAsia" w:ascii="宋体" w:hAnsi="宋体"/>
          <w:b/>
          <w:color w:val="auto"/>
          <w:szCs w:val="21"/>
          <w:highlight w:val="none"/>
        </w:rPr>
        <w:t>磋商须知前附表</w:t>
      </w:r>
      <w:r>
        <w:rPr>
          <w:rFonts w:hint="eastAsia" w:ascii="宋体" w:hAnsi="宋体"/>
          <w:color w:val="auto"/>
          <w:szCs w:val="21"/>
          <w:highlight w:val="none"/>
        </w:rPr>
        <w:t>所列金融机构和担保机构询问。</w:t>
      </w: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二、磋商文件</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10．磋商文件的组成</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10.1 磋商文件由下列文件组成：</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第一章 磋商邀请</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第二章 磋商须知</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第三章 政府采购合同格式条款</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第四章 采购需求</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第五章 响应文件组成</w:t>
      </w:r>
    </w:p>
    <w:p>
      <w:pPr>
        <w:pStyle w:val="23"/>
        <w:adjustRightInd w:val="0"/>
        <w:snapToGrid w:val="0"/>
        <w:spacing w:line="380" w:lineRule="exact"/>
        <w:ind w:firstLine="420" w:firstLineChars="200"/>
        <w:rPr>
          <w:rFonts w:hAnsi="宋体" w:cs="宋体"/>
          <w:color w:val="auto"/>
          <w:kern w:val="0"/>
          <w:highlight w:val="none"/>
        </w:rPr>
      </w:pPr>
      <w:r>
        <w:rPr>
          <w:rFonts w:hint="eastAsia"/>
          <w:color w:val="auto"/>
          <w:highlight w:val="none"/>
        </w:rPr>
        <w:t>10.2</w:t>
      </w:r>
      <w:r>
        <w:rPr>
          <w:rFonts w:hint="eastAsia" w:hAnsi="宋体" w:cs="宋体"/>
          <w:color w:val="auto"/>
          <w:kern w:val="0"/>
          <w:highlight w:val="none"/>
        </w:rPr>
        <w:t>磋商小组根据与供应商磋商情况可能实质性变动的内容，包括采购需求中的技术、服务要求以及合同条款，</w:t>
      </w:r>
      <w:r>
        <w:rPr>
          <w:rFonts w:hint="eastAsia"/>
          <w:color w:val="auto"/>
          <w:highlight w:val="none"/>
        </w:rPr>
        <w:t>在</w:t>
      </w:r>
      <w:r>
        <w:rPr>
          <w:rFonts w:hint="eastAsia"/>
          <w:b/>
          <w:color w:val="auto"/>
          <w:highlight w:val="none"/>
        </w:rPr>
        <w:t>磋商须知前附表</w:t>
      </w:r>
      <w:r>
        <w:rPr>
          <w:rFonts w:hint="eastAsia"/>
          <w:color w:val="auto"/>
          <w:highlight w:val="none"/>
        </w:rPr>
        <w:t>中明确。</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highlight w:val="none"/>
        </w:rPr>
        <w:t>10.3</w:t>
      </w:r>
      <w:r>
        <w:rPr>
          <w:rFonts w:hint="eastAsia" w:ascii="宋体" w:hAnsi="宋体"/>
          <w:color w:val="auto"/>
          <w:szCs w:val="21"/>
          <w:highlight w:val="none"/>
        </w:rPr>
        <w:t>供应商应仔细阅读</w:t>
      </w:r>
      <w:r>
        <w:rPr>
          <w:rFonts w:hint="eastAsia" w:ascii="宋体" w:hAnsi="宋体"/>
          <w:bCs/>
          <w:color w:val="auto"/>
          <w:szCs w:val="21"/>
          <w:highlight w:val="none"/>
        </w:rPr>
        <w:t>磋商</w:t>
      </w:r>
      <w:r>
        <w:rPr>
          <w:rFonts w:hint="eastAsia" w:ascii="宋体" w:hAnsi="宋体"/>
          <w:color w:val="auto"/>
          <w:szCs w:val="21"/>
          <w:highlight w:val="none"/>
        </w:rPr>
        <w:t>文件的全部内容，按照</w:t>
      </w:r>
      <w:r>
        <w:rPr>
          <w:rFonts w:hint="eastAsia" w:ascii="宋体" w:hAnsi="宋体"/>
          <w:bCs/>
          <w:color w:val="auto"/>
          <w:szCs w:val="21"/>
          <w:highlight w:val="none"/>
        </w:rPr>
        <w:t>磋商</w:t>
      </w:r>
      <w:r>
        <w:rPr>
          <w:rFonts w:hint="eastAsia" w:ascii="宋体" w:hAnsi="宋体"/>
          <w:color w:val="auto"/>
          <w:szCs w:val="21"/>
          <w:highlight w:val="none"/>
        </w:rPr>
        <w:t>文件要求编制</w:t>
      </w:r>
      <w:r>
        <w:rPr>
          <w:rFonts w:hint="eastAsia"/>
          <w:color w:val="auto"/>
          <w:szCs w:val="21"/>
          <w:highlight w:val="none"/>
        </w:rPr>
        <w:t>响应</w:t>
      </w:r>
      <w:r>
        <w:rPr>
          <w:rFonts w:hint="eastAsia" w:ascii="宋体" w:hAnsi="宋体"/>
          <w:color w:val="auto"/>
          <w:szCs w:val="21"/>
          <w:highlight w:val="none"/>
        </w:rPr>
        <w:t>文件。任何对</w:t>
      </w:r>
      <w:r>
        <w:rPr>
          <w:rFonts w:hint="eastAsia" w:ascii="宋体" w:hAnsi="宋体"/>
          <w:bCs/>
          <w:color w:val="auto"/>
          <w:szCs w:val="21"/>
          <w:highlight w:val="none"/>
        </w:rPr>
        <w:t>磋商</w:t>
      </w:r>
      <w:r>
        <w:rPr>
          <w:rFonts w:hint="eastAsia" w:ascii="宋体" w:hAnsi="宋体"/>
          <w:color w:val="auto"/>
          <w:szCs w:val="21"/>
          <w:highlight w:val="none"/>
        </w:rPr>
        <w:t>文件的忽略或误解不能作为</w:t>
      </w:r>
      <w:r>
        <w:rPr>
          <w:rFonts w:hint="eastAsia"/>
          <w:color w:val="auto"/>
          <w:szCs w:val="21"/>
          <w:highlight w:val="none"/>
        </w:rPr>
        <w:t>响应</w:t>
      </w:r>
      <w:r>
        <w:rPr>
          <w:rFonts w:hint="eastAsia" w:ascii="宋体" w:hAnsi="宋体"/>
          <w:color w:val="auto"/>
          <w:szCs w:val="21"/>
          <w:highlight w:val="none"/>
        </w:rPr>
        <w:t>文件存在缺陷或瑕疵的理由，其风险由供应商承担。</w:t>
      </w:r>
    </w:p>
    <w:p>
      <w:pPr>
        <w:adjustRightInd w:val="0"/>
        <w:snapToGrid w:val="0"/>
        <w:spacing w:line="380" w:lineRule="exact"/>
        <w:rPr>
          <w:rFonts w:ascii="宋体" w:hAnsi="宋体"/>
          <w:b/>
          <w:color w:val="auto"/>
          <w:szCs w:val="21"/>
          <w:highlight w:val="none"/>
        </w:rPr>
      </w:pPr>
      <w:r>
        <w:rPr>
          <w:rFonts w:hint="eastAsia" w:ascii="宋体" w:hAnsi="宋体"/>
          <w:b/>
          <w:color w:val="auto"/>
          <w:szCs w:val="21"/>
          <w:highlight w:val="none"/>
        </w:rPr>
        <w:t>11.磋商文件的提供期限</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11.1磋商文件的提供期限自开始发出之日起不得少于五个工作日。具体提供期限见</w:t>
      </w:r>
      <w:r>
        <w:rPr>
          <w:rFonts w:hint="eastAsia" w:ascii="宋体" w:hAnsi="宋体"/>
          <w:b/>
          <w:color w:val="auto"/>
          <w:szCs w:val="21"/>
          <w:highlight w:val="none"/>
        </w:rPr>
        <w:t>磋商文件前附表</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11.2供应商应持</w:t>
      </w:r>
      <w:r>
        <w:rPr>
          <w:rFonts w:hint="eastAsia" w:ascii="宋体" w:hAnsi="宋体"/>
          <w:b/>
          <w:color w:val="auto"/>
          <w:szCs w:val="21"/>
          <w:highlight w:val="none"/>
        </w:rPr>
        <w:t>磋商文件前附表</w:t>
      </w:r>
      <w:r>
        <w:rPr>
          <w:rFonts w:hint="eastAsia" w:ascii="宋体" w:hAnsi="宋体"/>
          <w:color w:val="auto"/>
          <w:szCs w:val="21"/>
          <w:highlight w:val="none"/>
        </w:rPr>
        <w:t>规定的资料领取或购买磋商文件。</w:t>
      </w:r>
    </w:p>
    <w:p>
      <w:pPr>
        <w:pStyle w:val="23"/>
        <w:adjustRightInd w:val="0"/>
        <w:snapToGrid w:val="0"/>
        <w:spacing w:line="380" w:lineRule="exact"/>
        <w:rPr>
          <w:rFonts w:hAnsi="宋体"/>
          <w:color w:val="auto"/>
          <w:highlight w:val="none"/>
        </w:rPr>
      </w:pPr>
      <w:r>
        <w:rPr>
          <w:rFonts w:hint="eastAsia" w:hAnsi="宋体"/>
          <w:b/>
          <w:color w:val="auto"/>
          <w:highlight w:val="none"/>
        </w:rPr>
        <w:t>12.</w:t>
      </w:r>
      <w:r>
        <w:rPr>
          <w:rFonts w:hint="eastAsia" w:hAnsi="宋体" w:cs="宋体"/>
          <w:b/>
          <w:color w:val="auto"/>
          <w:kern w:val="0"/>
          <w:highlight w:val="none"/>
        </w:rPr>
        <w:t>提交首次响应文件</w:t>
      </w:r>
      <w:r>
        <w:rPr>
          <w:rFonts w:hint="eastAsia" w:hAnsi="宋体"/>
          <w:b/>
          <w:color w:val="auto"/>
          <w:highlight w:val="none"/>
        </w:rPr>
        <w:t>的</w:t>
      </w:r>
      <w:r>
        <w:rPr>
          <w:rFonts w:hint="eastAsia" w:hAnsi="宋体" w:cs="宋体"/>
          <w:b/>
          <w:color w:val="auto"/>
          <w:kern w:val="0"/>
          <w:highlight w:val="none"/>
        </w:rPr>
        <w:t>截止</w:t>
      </w:r>
      <w:r>
        <w:rPr>
          <w:rFonts w:hint="eastAsia" w:hAnsi="宋体"/>
          <w:b/>
          <w:color w:val="auto"/>
          <w:highlight w:val="none"/>
        </w:rPr>
        <w:t>时间</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12.1</w:t>
      </w:r>
      <w:r>
        <w:rPr>
          <w:rFonts w:hint="eastAsia" w:hAnsi="宋体" w:cs="宋体"/>
          <w:color w:val="auto"/>
          <w:kern w:val="0"/>
          <w:highlight w:val="none"/>
        </w:rPr>
        <w:t>供应商提交首次响应文件截止</w:t>
      </w:r>
      <w:r>
        <w:rPr>
          <w:rFonts w:hint="eastAsia" w:hAnsi="宋体"/>
          <w:color w:val="auto"/>
          <w:highlight w:val="none"/>
        </w:rPr>
        <w:t>时间见</w:t>
      </w:r>
      <w:r>
        <w:rPr>
          <w:rFonts w:hint="eastAsia" w:hAnsi="宋体"/>
          <w:b/>
          <w:color w:val="auto"/>
          <w:highlight w:val="none"/>
        </w:rPr>
        <w:t>磋商须知前附表</w:t>
      </w:r>
      <w:r>
        <w:rPr>
          <w:rFonts w:hint="eastAsia" w:hAnsi="宋体"/>
          <w:color w:val="auto"/>
          <w:highlight w:val="none"/>
        </w:rPr>
        <w:t>。</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13.磋商文件的澄清</w:t>
      </w:r>
      <w:r>
        <w:rPr>
          <w:rFonts w:hint="eastAsia" w:ascii="宋体" w:hAnsi="宋体"/>
          <w:b/>
          <w:color w:val="auto"/>
          <w:kern w:val="0"/>
          <w:szCs w:val="21"/>
          <w:highlight w:val="none"/>
          <w:lang w:val="zh-CN"/>
        </w:rPr>
        <w:t>或者</w:t>
      </w:r>
      <w:r>
        <w:rPr>
          <w:rFonts w:hint="eastAsia" w:ascii="宋体" w:hAnsi="宋体"/>
          <w:b/>
          <w:bCs/>
          <w:color w:val="auto"/>
          <w:szCs w:val="21"/>
          <w:highlight w:val="none"/>
        </w:rPr>
        <w:t>修改</w:t>
      </w:r>
    </w:p>
    <w:p>
      <w:pPr>
        <w:adjustRightInd w:val="0"/>
        <w:snapToGrid w:val="0"/>
        <w:spacing w:line="380" w:lineRule="exact"/>
        <w:ind w:right="-105" w:rightChars="-50" w:firstLine="420" w:firstLineChars="200"/>
        <w:rPr>
          <w:rFonts w:ascii="宋体" w:hAnsi="宋体" w:cs="宋体"/>
          <w:color w:val="auto"/>
          <w:kern w:val="0"/>
          <w:szCs w:val="21"/>
          <w:highlight w:val="none"/>
        </w:rPr>
      </w:pPr>
      <w:r>
        <w:rPr>
          <w:rFonts w:hint="eastAsia" w:ascii="宋体" w:hAnsi="宋体"/>
          <w:color w:val="auto"/>
          <w:szCs w:val="21"/>
          <w:highlight w:val="none"/>
        </w:rPr>
        <w:t>13.1在</w:t>
      </w:r>
      <w:r>
        <w:rPr>
          <w:rFonts w:hint="eastAsia" w:ascii="宋体" w:hAnsi="宋体" w:cs="宋体"/>
          <w:color w:val="auto"/>
          <w:kern w:val="0"/>
          <w:szCs w:val="21"/>
          <w:highlight w:val="none"/>
        </w:rPr>
        <w:t xml:space="preserve">提交首次响应文件截止之日前，采购人、采购代理机构可以对已发出的磋商文件进行必要的澄清或者修改。 </w:t>
      </w:r>
    </w:p>
    <w:p>
      <w:pPr>
        <w:adjustRightInd w:val="0"/>
        <w:snapToGrid w:val="0"/>
        <w:spacing w:line="380" w:lineRule="exact"/>
        <w:ind w:right="-105" w:rightChars="-50" w:firstLine="420" w:firstLineChars="200"/>
        <w:rPr>
          <w:rFonts w:ascii="宋体" w:hAnsi="宋体" w:cs="宋体"/>
          <w:color w:val="auto"/>
          <w:kern w:val="0"/>
          <w:szCs w:val="21"/>
          <w:highlight w:val="none"/>
        </w:rPr>
      </w:pPr>
      <w:r>
        <w:rPr>
          <w:rFonts w:hint="eastAsia" w:ascii="宋体" w:hAnsi="宋体"/>
          <w:color w:val="auto"/>
          <w:szCs w:val="21"/>
          <w:highlight w:val="none"/>
        </w:rPr>
        <w:t>13.2</w:t>
      </w:r>
      <w:r>
        <w:rPr>
          <w:rFonts w:hint="eastAsia" w:ascii="宋体" w:hAnsi="宋体" w:cs="宋体"/>
          <w:color w:val="auto"/>
          <w:kern w:val="0"/>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3"/>
        <w:adjustRightInd w:val="0"/>
        <w:snapToGrid w:val="0"/>
        <w:spacing w:line="380" w:lineRule="exact"/>
        <w:ind w:firstLine="420" w:firstLineChars="200"/>
        <w:rPr>
          <w:color w:val="auto"/>
          <w:highlight w:val="none"/>
        </w:rPr>
      </w:pPr>
      <w:r>
        <w:rPr>
          <w:rFonts w:hint="eastAsia"/>
          <w:color w:val="auto"/>
          <w:highlight w:val="none"/>
        </w:rPr>
        <w:t>13.2</w:t>
      </w:r>
      <w:r>
        <w:rPr>
          <w:rFonts w:hint="eastAsia" w:hAnsi="宋体" w:cs="宋体"/>
          <w:color w:val="auto"/>
          <w:kern w:val="0"/>
          <w:highlight w:val="none"/>
        </w:rPr>
        <w:t>提交首次响应文件截止时间前对磋商文件澄清或者修改内容，为磋商文件的组成部分。</w:t>
      </w: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三、响应文件</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14.一般要求</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 xml:space="preserve">14.2 </w:t>
      </w:r>
      <w:r>
        <w:rPr>
          <w:rFonts w:hint="eastAsia" w:ascii="宋体" w:hAnsi="宋体"/>
          <w:color w:val="auto"/>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3"/>
        <w:adjustRightInd w:val="0"/>
        <w:snapToGrid w:val="0"/>
        <w:spacing w:line="380" w:lineRule="exact"/>
        <w:ind w:firstLine="420" w:firstLineChars="200"/>
        <w:rPr>
          <w:rFonts w:hAnsi="宋体"/>
          <w:color w:val="auto"/>
          <w:highlight w:val="none"/>
        </w:rPr>
      </w:pPr>
      <w:r>
        <w:rPr>
          <w:rFonts w:hint="eastAsia" w:hAnsi="宋体"/>
          <w:bCs/>
          <w:color w:val="auto"/>
          <w:highlight w:val="none"/>
        </w:rPr>
        <w:t xml:space="preserve">14.3 </w:t>
      </w:r>
      <w:r>
        <w:rPr>
          <w:rFonts w:hint="eastAsia" w:hAnsi="宋体"/>
          <w:color w:val="auto"/>
          <w:highlight w:val="none"/>
        </w:rPr>
        <w:t>计量单位应使用我国法定计量单位，未列明时应默认为我国法定计量单位。</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14.4 响应文件应采用书面形式，电报、传真、电子邮件形式的响应文件概不接受。</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14.5 供应商应按磋商文件中提供的响应文件格式填写。</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15.</w:t>
      </w:r>
      <w:r>
        <w:rPr>
          <w:rFonts w:hint="eastAsia" w:ascii="宋体" w:hAnsi="宋体"/>
          <w:b/>
          <w:color w:val="auto"/>
          <w:szCs w:val="21"/>
          <w:highlight w:val="none"/>
        </w:rPr>
        <w:t>响应文件</w:t>
      </w:r>
      <w:r>
        <w:rPr>
          <w:rFonts w:hint="eastAsia" w:ascii="宋体" w:hAnsi="宋体"/>
          <w:b/>
          <w:bCs/>
          <w:color w:val="auto"/>
          <w:szCs w:val="21"/>
          <w:highlight w:val="none"/>
        </w:rPr>
        <w:t>的组成</w:t>
      </w:r>
    </w:p>
    <w:p>
      <w:pPr>
        <w:adjustRightInd w:val="0"/>
        <w:snapToGrid w:val="0"/>
        <w:spacing w:line="380" w:lineRule="exact"/>
        <w:ind w:firstLine="420" w:firstLineChars="200"/>
        <w:jc w:val="left"/>
        <w:outlineLvl w:val="0"/>
        <w:rPr>
          <w:rFonts w:ascii="宋体" w:hAnsi="宋体"/>
          <w:color w:val="auto"/>
          <w:szCs w:val="21"/>
          <w:highlight w:val="none"/>
        </w:rPr>
      </w:pPr>
      <w:r>
        <w:rPr>
          <w:rFonts w:hint="eastAsia" w:ascii="宋体" w:hAnsi="宋体"/>
          <w:color w:val="auto"/>
          <w:highlight w:val="none"/>
        </w:rPr>
        <w:t>15.1</w:t>
      </w:r>
      <w:r>
        <w:rPr>
          <w:rFonts w:hint="eastAsia" w:hAnsi="宋体"/>
          <w:color w:val="auto"/>
          <w:highlight w:val="none"/>
        </w:rPr>
        <w:t xml:space="preserve"> 响应文件包括下列内容：</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（1）磋商响应声明</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（2）保证金</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（3）联合体协议</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（4）供应商的资格证明资料</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（5）服务方案</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（6）技术/商务响应与偏离表</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（7）提供享受政府采购政策的证明材料和清单表</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（8）经销或代理或为货物提供售后服务的证明材料</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（9）报价一览表及报价文件</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（10）供应商认为需提供的其他资料</w:t>
      </w:r>
    </w:p>
    <w:p>
      <w:pPr>
        <w:adjustRightInd w:val="0"/>
        <w:snapToGrid w:val="0"/>
        <w:spacing w:line="380" w:lineRule="exact"/>
        <w:ind w:firstLine="420" w:firstLineChars="200"/>
        <w:rPr>
          <w:rFonts w:hAnsi="宋体"/>
          <w:color w:val="auto"/>
          <w:highlight w:val="none"/>
        </w:rPr>
      </w:pPr>
      <w:r>
        <w:rPr>
          <w:rFonts w:hint="eastAsia" w:ascii="宋体" w:hAnsi="宋体"/>
          <w:color w:val="auto"/>
          <w:highlight w:val="none"/>
        </w:rPr>
        <w:t>15.2在磋商过程中，</w:t>
      </w:r>
      <w:r>
        <w:rPr>
          <w:rFonts w:hint="eastAsia" w:ascii="宋体" w:hAnsi="宋体"/>
          <w:color w:val="auto"/>
          <w:szCs w:val="21"/>
          <w:highlight w:val="none"/>
        </w:rPr>
        <w:t>供应商</w:t>
      </w:r>
      <w:r>
        <w:rPr>
          <w:rFonts w:hint="eastAsia" w:ascii="宋体" w:hAnsi="宋体"/>
          <w:color w:val="auto"/>
          <w:highlight w:val="none"/>
        </w:rPr>
        <w:t>根据</w:t>
      </w:r>
      <w:r>
        <w:rPr>
          <w:rFonts w:hint="eastAsia" w:ascii="宋体" w:hAnsi="宋体" w:cs="宋体"/>
          <w:color w:val="auto"/>
          <w:kern w:val="0"/>
          <w:szCs w:val="21"/>
          <w:highlight w:val="none"/>
        </w:rPr>
        <w:t>磋商小组</w:t>
      </w:r>
      <w:r>
        <w:rPr>
          <w:rFonts w:hint="eastAsia" w:ascii="宋体" w:hAnsi="宋体"/>
          <w:bCs/>
          <w:color w:val="auto"/>
          <w:szCs w:val="21"/>
          <w:highlight w:val="none"/>
        </w:rPr>
        <w:t>书面形式要求</w:t>
      </w:r>
      <w:r>
        <w:rPr>
          <w:rFonts w:hint="eastAsia" w:ascii="宋体" w:hAnsi="宋体" w:cs="宋体"/>
          <w:color w:val="auto"/>
          <w:kern w:val="0"/>
          <w:szCs w:val="21"/>
          <w:highlight w:val="none"/>
        </w:rPr>
        <w:t>提交的</w:t>
      </w:r>
      <w:r>
        <w:rPr>
          <w:rFonts w:hint="eastAsia" w:hAnsi="宋体"/>
          <w:color w:val="auto"/>
          <w:highlight w:val="none"/>
        </w:rPr>
        <w:t>最后报价(或者</w:t>
      </w:r>
      <w:r>
        <w:rPr>
          <w:rFonts w:hint="eastAsia" w:ascii="宋体" w:hAnsi="宋体"/>
          <w:bCs/>
          <w:color w:val="auto"/>
          <w:szCs w:val="21"/>
          <w:highlight w:val="none"/>
        </w:rPr>
        <w:t>重</w:t>
      </w:r>
      <w:r>
        <w:rPr>
          <w:rFonts w:hint="eastAsia" w:ascii="宋体" w:hAnsi="宋体" w:cs="宋体"/>
          <w:color w:val="auto"/>
          <w:kern w:val="0"/>
          <w:szCs w:val="21"/>
          <w:highlight w:val="none"/>
        </w:rPr>
        <w:t>新提交的响应文件和</w:t>
      </w:r>
      <w:r>
        <w:rPr>
          <w:rFonts w:hint="eastAsia" w:hAnsi="宋体"/>
          <w:color w:val="auto"/>
          <w:highlight w:val="none"/>
        </w:rPr>
        <w:t>最后报价)是</w:t>
      </w:r>
      <w:r>
        <w:rPr>
          <w:rFonts w:hint="eastAsia" w:ascii="宋体" w:hAnsi="宋体"/>
          <w:color w:val="auto"/>
          <w:szCs w:val="21"/>
          <w:highlight w:val="none"/>
        </w:rPr>
        <w:t>响应文件</w:t>
      </w:r>
      <w:r>
        <w:rPr>
          <w:rFonts w:hint="eastAsia" w:hAnsi="宋体"/>
          <w:color w:val="auto"/>
          <w:highlight w:val="none"/>
        </w:rPr>
        <w:t>的有效组成部分。</w:t>
      </w:r>
    </w:p>
    <w:p>
      <w:pPr>
        <w:adjustRightInd w:val="0"/>
        <w:snapToGrid w:val="0"/>
        <w:spacing w:line="380" w:lineRule="exact"/>
        <w:ind w:firstLine="420" w:firstLineChars="200"/>
        <w:rPr>
          <w:rFonts w:hAnsi="宋体"/>
          <w:b/>
          <w:color w:val="auto"/>
          <w:highlight w:val="none"/>
        </w:rPr>
      </w:pPr>
      <w:r>
        <w:rPr>
          <w:rFonts w:hint="eastAsia" w:ascii="宋体" w:hAnsi="宋体"/>
          <w:color w:val="auto"/>
          <w:highlight w:val="none"/>
        </w:rPr>
        <w:t>15.3</w:t>
      </w:r>
      <w:r>
        <w:rPr>
          <w:rFonts w:hint="eastAsia" w:ascii="宋体" w:hAnsi="宋体" w:cs="宋体"/>
          <w:color w:val="auto"/>
          <w:kern w:val="0"/>
          <w:szCs w:val="21"/>
          <w:highlight w:val="none"/>
        </w:rPr>
        <w:t>磋商文件规定可能发生实质性变动的，供应商应当在</w:t>
      </w:r>
      <w:r>
        <w:rPr>
          <w:rFonts w:hint="eastAsia" w:hAnsi="宋体"/>
          <w:color w:val="auto"/>
          <w:highlight w:val="none"/>
        </w:rPr>
        <w:t>《技术/商务响应与偏离表》中对应内容注明。</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highlight w:val="none"/>
        </w:rPr>
        <w:t>15.4</w:t>
      </w:r>
      <w:r>
        <w:rPr>
          <w:rFonts w:hint="eastAsia" w:ascii="宋体" w:hAnsi="宋体"/>
          <w:color w:val="auto"/>
          <w:szCs w:val="21"/>
          <w:highlight w:val="none"/>
        </w:rPr>
        <w:t>根据《政府采购法》第四十二条的规定，供应商无论成交与否，其响应文件不予退还。</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16.报价</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16.1供应商应当根据磋商文件要求和范围，以</w:t>
      </w:r>
      <w:r>
        <w:rPr>
          <w:rFonts w:hint="eastAsia" w:ascii="宋体" w:hAnsi="宋体"/>
          <w:bCs/>
          <w:color w:val="auto"/>
          <w:szCs w:val="21"/>
          <w:highlight w:val="none"/>
        </w:rPr>
        <w:t>人民币</w:t>
      </w:r>
      <w:r>
        <w:rPr>
          <w:rFonts w:hint="eastAsia" w:ascii="宋体" w:hAnsi="宋体"/>
          <w:color w:val="auto"/>
          <w:szCs w:val="21"/>
          <w:highlight w:val="none"/>
        </w:rPr>
        <w:t>报价，以元为单位，保留小数点后两位。</w:t>
      </w:r>
    </w:p>
    <w:p>
      <w:pPr>
        <w:pStyle w:val="130"/>
        <w:adjustRightInd w:val="0"/>
        <w:snapToGrid w:val="0"/>
        <w:spacing w:line="380" w:lineRule="exact"/>
        <w:ind w:firstLine="420" w:firstLineChars="200"/>
        <w:rPr>
          <w:rFonts w:ascii="宋体" w:hAnsi="宋体"/>
          <w:color w:val="auto"/>
          <w:highlight w:val="none"/>
        </w:rPr>
      </w:pPr>
      <w:r>
        <w:rPr>
          <w:rFonts w:hint="eastAsia" w:ascii="宋体" w:hAnsi="宋体"/>
          <w:color w:val="auto"/>
          <w:highlight w:val="none"/>
        </w:rPr>
        <w:t>16.2供应商应按第五章 响应文件组成格式填写。</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16.3响应文件中标明的价格在合同执行过程中是固定不变的，不得以任何理由予以变更。以可变动价格提交的报价将被认为是非实质响应而被拒绝。</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16.4</w:t>
      </w:r>
      <w:r>
        <w:rPr>
          <w:rFonts w:hint="eastAsia" w:hAnsi="宋体" w:cs="宋体"/>
          <w:color w:val="auto"/>
          <w:kern w:val="0"/>
          <w:highlight w:val="none"/>
          <w:lang w:val="zh-CN"/>
        </w:rPr>
        <w:t>供应商</w:t>
      </w:r>
      <w:r>
        <w:rPr>
          <w:rFonts w:hint="eastAsia" w:hAnsi="宋体"/>
          <w:color w:val="auto"/>
          <w:highlight w:val="none"/>
        </w:rPr>
        <w:t>的报价不得超过采购项目预算，如项目设定了最高限价则不得超过最高限价。采购项目预算、项目最高限价或其计算方法见</w:t>
      </w:r>
      <w:r>
        <w:rPr>
          <w:rFonts w:hint="eastAsia" w:hAnsi="宋体"/>
          <w:b/>
          <w:color w:val="auto"/>
          <w:highlight w:val="none"/>
        </w:rPr>
        <w:t>磋商须知前附表</w:t>
      </w:r>
      <w:r>
        <w:rPr>
          <w:rFonts w:hint="eastAsia" w:hAnsi="宋体"/>
          <w:color w:val="auto"/>
          <w:highlight w:val="none"/>
        </w:rPr>
        <w:t>。</w:t>
      </w:r>
    </w:p>
    <w:p>
      <w:pPr>
        <w:pStyle w:val="23"/>
        <w:adjustRightInd w:val="0"/>
        <w:snapToGrid w:val="0"/>
        <w:spacing w:line="380" w:lineRule="exact"/>
        <w:rPr>
          <w:b/>
          <w:color w:val="auto"/>
          <w:highlight w:val="none"/>
        </w:rPr>
      </w:pPr>
      <w:r>
        <w:rPr>
          <w:rFonts w:hint="eastAsia"/>
          <w:b/>
          <w:color w:val="auto"/>
          <w:highlight w:val="none"/>
        </w:rPr>
        <w:t>17.供应商符合磋商文件规定的证明文件</w:t>
      </w:r>
    </w:p>
    <w:p>
      <w:pPr>
        <w:adjustRightInd w:val="0"/>
        <w:snapToGrid w:val="0"/>
        <w:spacing w:line="380" w:lineRule="exact"/>
        <w:ind w:firstLine="420" w:firstLineChars="200"/>
        <w:jc w:val="left"/>
        <w:rPr>
          <w:rFonts w:ascii="宋体" w:hAnsi="宋体"/>
          <w:color w:val="auto"/>
          <w:highlight w:val="none"/>
        </w:rPr>
      </w:pPr>
      <w:r>
        <w:rPr>
          <w:rFonts w:hint="eastAsia" w:ascii="宋体" w:hAnsi="宋体"/>
          <w:color w:val="auto"/>
          <w:highlight w:val="none"/>
        </w:rPr>
        <w:t>17.1供应商应提交满足本章第3.1款规定的资格条件要求的证明文件,该证明文件作为响应文件的一部分。</w:t>
      </w:r>
    </w:p>
    <w:p>
      <w:pPr>
        <w:adjustRightInd w:val="0"/>
        <w:snapToGrid w:val="0"/>
        <w:spacing w:line="380" w:lineRule="exact"/>
        <w:ind w:firstLine="420" w:firstLineChars="200"/>
        <w:jc w:val="left"/>
        <w:rPr>
          <w:rFonts w:ascii="宋体" w:hAnsi="宋体"/>
          <w:color w:val="auto"/>
          <w:highlight w:val="none"/>
        </w:rPr>
      </w:pPr>
      <w:r>
        <w:rPr>
          <w:rFonts w:hint="eastAsia" w:ascii="宋体" w:hAnsi="宋体"/>
          <w:color w:val="auto"/>
          <w:highlight w:val="none"/>
        </w:rPr>
        <w:t>17.2如果供应商为联合体，则应提交联合体各方资格证明文件、联合体协议。否则，在评审时将其视为无效响应。</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17.3 除</w:t>
      </w:r>
      <w:r>
        <w:rPr>
          <w:rFonts w:hint="eastAsia" w:ascii="宋体" w:hAnsi="宋体"/>
          <w:b/>
          <w:color w:val="auto"/>
          <w:szCs w:val="21"/>
          <w:highlight w:val="none"/>
        </w:rPr>
        <w:t>磋商须知前附表</w:t>
      </w:r>
      <w:r>
        <w:rPr>
          <w:rFonts w:hint="eastAsia" w:ascii="宋体" w:hAnsi="宋体"/>
          <w:color w:val="auto"/>
          <w:szCs w:val="21"/>
          <w:highlight w:val="none"/>
        </w:rPr>
        <w:t>另有规定外，供应商提供的货物及服务不是供应商制造或拥有的，则必须提供经销、或代理采购货物、或采购货物提供售后服务的证明文件。</w:t>
      </w:r>
    </w:p>
    <w:p>
      <w:pPr>
        <w:adjustRightInd w:val="0"/>
        <w:snapToGrid w:val="0"/>
        <w:spacing w:line="380" w:lineRule="exact"/>
        <w:jc w:val="left"/>
        <w:rPr>
          <w:rFonts w:ascii="宋体" w:hAnsi="宋体"/>
          <w:b/>
          <w:color w:val="auto"/>
          <w:szCs w:val="21"/>
          <w:highlight w:val="none"/>
        </w:rPr>
      </w:pPr>
      <w:r>
        <w:rPr>
          <w:rFonts w:hint="eastAsia" w:ascii="宋体" w:hAnsi="宋体"/>
          <w:b/>
          <w:color w:val="auto"/>
          <w:szCs w:val="21"/>
          <w:highlight w:val="none"/>
        </w:rPr>
        <w:t>18．样品提供</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 xml:space="preserve">18.1 </w:t>
      </w:r>
      <w:r>
        <w:rPr>
          <w:rFonts w:hint="eastAsia" w:ascii="宋体" w:hAnsi="宋体"/>
          <w:b/>
          <w:color w:val="auto"/>
          <w:highlight w:val="none"/>
        </w:rPr>
        <w:t>磋商须知前附表</w:t>
      </w:r>
      <w:r>
        <w:rPr>
          <w:rFonts w:hint="eastAsia" w:ascii="宋体" w:hAnsi="宋体"/>
          <w:color w:val="auto"/>
          <w:szCs w:val="21"/>
          <w:highlight w:val="none"/>
        </w:rPr>
        <w:t>规定</w:t>
      </w:r>
      <w:r>
        <w:rPr>
          <w:rFonts w:hint="eastAsia" w:ascii="宋体" w:hAnsi="宋体"/>
          <w:bCs/>
          <w:color w:val="auto"/>
          <w:highlight w:val="none"/>
        </w:rPr>
        <w:t>供应商</w:t>
      </w:r>
      <w:r>
        <w:rPr>
          <w:rFonts w:hint="eastAsia" w:ascii="宋体" w:hAnsi="宋体"/>
          <w:color w:val="auto"/>
          <w:szCs w:val="21"/>
          <w:highlight w:val="none"/>
        </w:rPr>
        <w:t>在</w:t>
      </w:r>
      <w:r>
        <w:rPr>
          <w:rFonts w:hint="eastAsia" w:ascii="宋体" w:hAnsi="宋体"/>
          <w:color w:val="auto"/>
          <w:highlight w:val="none"/>
        </w:rPr>
        <w:t>磋商</w:t>
      </w:r>
      <w:r>
        <w:rPr>
          <w:rFonts w:hint="eastAsia" w:ascii="宋体" w:hAnsi="宋体"/>
          <w:color w:val="auto"/>
          <w:szCs w:val="21"/>
          <w:highlight w:val="none"/>
        </w:rPr>
        <w:t>时提供样品的，</w:t>
      </w:r>
      <w:r>
        <w:rPr>
          <w:rFonts w:hint="eastAsia" w:ascii="宋体" w:hAnsi="宋体"/>
          <w:bCs/>
          <w:color w:val="auto"/>
          <w:highlight w:val="none"/>
        </w:rPr>
        <w:t>供应商</w:t>
      </w:r>
      <w:r>
        <w:rPr>
          <w:rFonts w:ascii="宋体" w:hAnsi="宋体"/>
          <w:color w:val="auto"/>
          <w:szCs w:val="21"/>
          <w:highlight w:val="none"/>
        </w:rPr>
        <w:t>有以下情形之一的</w:t>
      </w:r>
      <w:r>
        <w:rPr>
          <w:rFonts w:hint="eastAsia" w:ascii="宋体" w:hAnsi="宋体"/>
          <w:color w:val="auto"/>
          <w:szCs w:val="21"/>
          <w:highlight w:val="none"/>
        </w:rPr>
        <w:t>，在评审时将其视为无效响应。</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（1）未在</w:t>
      </w:r>
      <w:r>
        <w:rPr>
          <w:rFonts w:hint="eastAsia" w:ascii="宋体" w:hAnsi="宋体"/>
          <w:b/>
          <w:color w:val="auto"/>
          <w:highlight w:val="none"/>
        </w:rPr>
        <w:t>磋商须知前附表</w:t>
      </w:r>
      <w:r>
        <w:rPr>
          <w:rFonts w:hint="eastAsia" w:ascii="宋体" w:hAnsi="宋体"/>
          <w:color w:val="auto"/>
          <w:szCs w:val="21"/>
          <w:highlight w:val="none"/>
        </w:rPr>
        <w:t>规定的提交时间、地点提交</w:t>
      </w:r>
      <w:r>
        <w:rPr>
          <w:rFonts w:ascii="宋体" w:hAnsi="宋体"/>
          <w:color w:val="auto"/>
          <w:szCs w:val="21"/>
          <w:highlight w:val="none"/>
        </w:rPr>
        <w:t>的</w:t>
      </w:r>
      <w:r>
        <w:rPr>
          <w:rFonts w:hint="eastAsia" w:ascii="宋体" w:hAnsi="宋体"/>
          <w:color w:val="auto"/>
          <w:szCs w:val="21"/>
          <w:highlight w:val="none"/>
        </w:rPr>
        <w:t>；</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bCs/>
          <w:color w:val="auto"/>
          <w:highlight w:val="none"/>
        </w:rPr>
        <w:t>供应商</w:t>
      </w:r>
      <w:r>
        <w:rPr>
          <w:rFonts w:hint="eastAsia" w:ascii="宋体" w:hAnsi="宋体"/>
          <w:color w:val="auto"/>
          <w:szCs w:val="21"/>
          <w:highlight w:val="none"/>
        </w:rPr>
        <w:t>提供的样品与响应文件中提供样品的型号、规格不一致</w:t>
      </w:r>
      <w:r>
        <w:rPr>
          <w:rFonts w:ascii="宋体" w:hAnsi="宋体"/>
          <w:color w:val="auto"/>
          <w:szCs w:val="21"/>
          <w:highlight w:val="none"/>
        </w:rPr>
        <w:t>的</w:t>
      </w:r>
      <w:r>
        <w:rPr>
          <w:rFonts w:hint="eastAsia" w:ascii="宋体" w:hAnsi="宋体"/>
          <w:color w:val="auto"/>
          <w:szCs w:val="21"/>
          <w:highlight w:val="none"/>
        </w:rPr>
        <w:t>。</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19.磋商保证金</w:t>
      </w:r>
    </w:p>
    <w:p>
      <w:pPr>
        <w:pStyle w:val="23"/>
        <w:adjustRightInd w:val="0"/>
        <w:snapToGrid w:val="0"/>
        <w:spacing w:line="380" w:lineRule="exact"/>
        <w:ind w:firstLine="420" w:firstLineChars="200"/>
        <w:rPr>
          <w:rFonts w:hAnsi="宋体"/>
          <w:bCs/>
          <w:color w:val="auto"/>
          <w:highlight w:val="none"/>
        </w:rPr>
      </w:pPr>
      <w:r>
        <w:rPr>
          <w:rFonts w:hint="eastAsia" w:hAnsi="宋体"/>
          <w:color w:val="auto"/>
          <w:highlight w:val="none"/>
        </w:rPr>
        <w:t>19.1</w:t>
      </w:r>
      <w:r>
        <w:rPr>
          <w:rFonts w:hint="eastAsia" w:hAnsi="宋体"/>
          <w:b/>
          <w:color w:val="auto"/>
          <w:highlight w:val="none"/>
        </w:rPr>
        <w:t>磋商须知前附表</w:t>
      </w:r>
      <w:r>
        <w:rPr>
          <w:rFonts w:hint="eastAsia" w:hAnsi="宋体"/>
          <w:color w:val="auto"/>
          <w:highlight w:val="none"/>
        </w:rPr>
        <w:t>规定交纳磋商</w:t>
      </w:r>
      <w:r>
        <w:rPr>
          <w:rFonts w:hint="eastAsia" w:hAnsi="宋体"/>
          <w:bCs/>
          <w:color w:val="auto"/>
          <w:highlight w:val="none"/>
        </w:rPr>
        <w:t>保证金的</w:t>
      </w:r>
      <w:r>
        <w:rPr>
          <w:rFonts w:hint="eastAsia" w:hAnsi="宋体"/>
          <w:color w:val="auto"/>
          <w:highlight w:val="none"/>
        </w:rPr>
        <w:t>，应按</w:t>
      </w:r>
      <w:r>
        <w:rPr>
          <w:rFonts w:hint="eastAsia" w:hAnsi="宋体"/>
          <w:b/>
          <w:color w:val="auto"/>
          <w:highlight w:val="none"/>
        </w:rPr>
        <w:t>磋商须知前附表</w:t>
      </w:r>
      <w:r>
        <w:rPr>
          <w:rFonts w:hint="eastAsia" w:hAnsi="宋体"/>
          <w:color w:val="auto"/>
          <w:highlight w:val="none"/>
        </w:rPr>
        <w:t>规定的磋商</w:t>
      </w:r>
      <w:r>
        <w:rPr>
          <w:rFonts w:hint="eastAsia" w:hAnsi="宋体"/>
          <w:bCs/>
          <w:color w:val="auto"/>
          <w:highlight w:val="none"/>
        </w:rPr>
        <w:t>保证金形式交纳，不得以现金方式交纳</w:t>
      </w:r>
      <w:r>
        <w:rPr>
          <w:rFonts w:hint="eastAsia" w:hAnsi="宋体"/>
          <w:color w:val="auto"/>
          <w:highlight w:val="none"/>
        </w:rPr>
        <w:t>，在</w:t>
      </w:r>
      <w:r>
        <w:rPr>
          <w:rFonts w:hint="eastAsia" w:hAnsi="宋体" w:cs="宋体"/>
          <w:color w:val="auto"/>
          <w:kern w:val="0"/>
          <w:highlight w:val="none"/>
        </w:rPr>
        <w:t>提交首次响应文件截止时间</w:t>
      </w:r>
      <w:r>
        <w:rPr>
          <w:rFonts w:hint="eastAsia" w:hAnsi="宋体"/>
          <w:color w:val="auto"/>
          <w:highlight w:val="none"/>
        </w:rPr>
        <w:t>前，</w:t>
      </w:r>
      <w:r>
        <w:rPr>
          <w:rFonts w:hint="eastAsia" w:hAnsi="宋体"/>
          <w:bCs/>
          <w:color w:val="auto"/>
          <w:highlight w:val="none"/>
        </w:rPr>
        <w:t>向采购代理机构交纳不超过</w:t>
      </w:r>
      <w:r>
        <w:rPr>
          <w:rFonts w:hint="eastAsia" w:hAnsi="宋体" w:cs="宋体"/>
          <w:color w:val="auto"/>
          <w:kern w:val="0"/>
          <w:highlight w:val="none"/>
          <w:lang w:val="zh-CN"/>
        </w:rPr>
        <w:t>采购项目预算2﹪</w:t>
      </w:r>
      <w:r>
        <w:rPr>
          <w:rFonts w:hint="eastAsia" w:hAnsi="宋体"/>
          <w:bCs/>
          <w:color w:val="auto"/>
          <w:highlight w:val="none"/>
        </w:rPr>
        <w:t>的磋商保证金(数额采用四舍五入，计算至元)</w:t>
      </w:r>
      <w:r>
        <w:rPr>
          <w:rFonts w:hint="eastAsia" w:hAnsi="宋体"/>
          <w:color w:val="auto"/>
          <w:highlight w:val="none"/>
        </w:rPr>
        <w:t>。磋商</w:t>
      </w:r>
      <w:r>
        <w:rPr>
          <w:rFonts w:hint="eastAsia" w:hAnsi="宋体"/>
          <w:bCs/>
          <w:color w:val="auto"/>
          <w:highlight w:val="none"/>
        </w:rPr>
        <w:t>保证金有效期应当与</w:t>
      </w:r>
      <w:r>
        <w:rPr>
          <w:rFonts w:hint="eastAsia" w:hAnsi="宋体"/>
          <w:color w:val="auto"/>
          <w:highlight w:val="none"/>
        </w:rPr>
        <w:t>本章第20.1</w:t>
      </w:r>
      <w:r>
        <w:rPr>
          <w:rFonts w:hint="eastAsia" w:hAnsi="宋体" w:cs="宋体"/>
          <w:color w:val="auto"/>
          <w:kern w:val="0"/>
          <w:highlight w:val="none"/>
          <w:lang w:val="zh-CN"/>
        </w:rPr>
        <w:t>款</w:t>
      </w:r>
      <w:r>
        <w:rPr>
          <w:rFonts w:hint="eastAsia" w:hAnsi="宋体"/>
          <w:color w:val="auto"/>
          <w:highlight w:val="none"/>
        </w:rPr>
        <w:t>规定的</w:t>
      </w:r>
      <w:r>
        <w:rPr>
          <w:rFonts w:hint="eastAsia" w:hAnsi="宋体"/>
          <w:bCs/>
          <w:color w:val="auto"/>
          <w:highlight w:val="none"/>
        </w:rPr>
        <w:t>响应文件有效期一致。</w:t>
      </w:r>
    </w:p>
    <w:p>
      <w:pPr>
        <w:adjustRightInd w:val="0"/>
        <w:snapToGrid w:val="0"/>
        <w:spacing w:line="380" w:lineRule="exact"/>
        <w:ind w:firstLine="420" w:firstLineChars="200"/>
        <w:rPr>
          <w:rFonts w:ascii="宋体" w:hAnsi="宋体"/>
          <w:b/>
          <w:color w:val="auto"/>
          <w:szCs w:val="21"/>
          <w:highlight w:val="none"/>
        </w:rPr>
      </w:pPr>
      <w:r>
        <w:rPr>
          <w:rFonts w:hint="eastAsia" w:ascii="宋体" w:hAnsi="宋体"/>
          <w:color w:val="auto"/>
          <w:szCs w:val="21"/>
          <w:highlight w:val="none"/>
        </w:rPr>
        <w:t>19.2</w:t>
      </w:r>
      <w:r>
        <w:rPr>
          <w:rFonts w:hint="eastAsia" w:ascii="宋体" w:hAnsi="宋体" w:cs="宋体"/>
          <w:color w:val="auto"/>
          <w:kern w:val="0"/>
          <w:szCs w:val="21"/>
          <w:highlight w:val="none"/>
          <w:lang w:val="zh-CN"/>
        </w:rPr>
        <w:t>供应商为联合体的，可以由联合体中的一方或者共同交纳磋商保证金，其交纳的磋商保证金，对联合体各方均具有约束力。</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19.3供应商未按照磋商文件要求提交磋商保证金的，响应无效。</w:t>
      </w:r>
    </w:p>
    <w:p>
      <w:pPr>
        <w:pStyle w:val="23"/>
        <w:tabs>
          <w:tab w:val="left" w:pos="6300"/>
        </w:tabs>
        <w:adjustRightInd w:val="0"/>
        <w:snapToGrid w:val="0"/>
        <w:spacing w:line="380" w:lineRule="exact"/>
        <w:ind w:firstLine="420" w:firstLineChars="200"/>
        <w:rPr>
          <w:rFonts w:hAnsi="宋体"/>
          <w:color w:val="auto"/>
          <w:highlight w:val="none"/>
        </w:rPr>
      </w:pPr>
      <w:r>
        <w:rPr>
          <w:rFonts w:hint="eastAsia" w:hAnsi="宋体"/>
          <w:color w:val="auto"/>
          <w:highlight w:val="none"/>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3"/>
        <w:adjustRightInd w:val="0"/>
        <w:snapToGrid w:val="0"/>
        <w:spacing w:line="380" w:lineRule="exact"/>
        <w:ind w:firstLine="420" w:firstLineChars="200"/>
        <w:rPr>
          <w:color w:val="auto"/>
          <w:kern w:val="0"/>
          <w:highlight w:val="none"/>
        </w:rPr>
      </w:pPr>
      <w:r>
        <w:rPr>
          <w:rFonts w:hint="eastAsia"/>
          <w:color w:val="auto"/>
          <w:highlight w:val="none"/>
        </w:rPr>
        <w:t xml:space="preserve">19.5 </w:t>
      </w:r>
      <w:r>
        <w:rPr>
          <w:rFonts w:hint="eastAsia"/>
          <w:color w:val="auto"/>
          <w:kern w:val="0"/>
          <w:highlight w:val="none"/>
        </w:rPr>
        <w:t>有下列情形之一的，磋商保证金不予退还，并上缴本级财政国库：</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（1）供应商在提交首次响应文件截止时间后撤回响应文件的；</w:t>
      </w:r>
    </w:p>
    <w:p>
      <w:pPr>
        <w:widowControl/>
        <w:adjustRightInd w:val="0"/>
        <w:snapToGrid w:val="0"/>
        <w:spacing w:line="380" w:lineRule="exact"/>
        <w:ind w:firstLine="420" w:firstLineChars="200"/>
        <w:jc w:val="left"/>
        <w:rPr>
          <w:color w:val="auto"/>
          <w:kern w:val="0"/>
          <w:highlight w:val="none"/>
        </w:rPr>
      </w:pPr>
      <w:r>
        <w:rPr>
          <w:rFonts w:hint="eastAsia"/>
          <w:color w:val="auto"/>
          <w:kern w:val="0"/>
          <w:highlight w:val="none"/>
        </w:rPr>
        <w:t>（2）供应商在响应文件中提供虚假资料的；</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color w:val="auto"/>
          <w:kern w:val="0"/>
          <w:highlight w:val="none"/>
        </w:rPr>
        <w:t>（3）</w:t>
      </w:r>
      <w:r>
        <w:rPr>
          <w:rFonts w:hint="eastAsia"/>
          <w:color w:val="auto"/>
          <w:highlight w:val="none"/>
        </w:rPr>
        <w:t>确定成交结果后，无正当理由放弃成交资格的；</w:t>
      </w:r>
    </w:p>
    <w:p>
      <w:pPr>
        <w:widowControl/>
        <w:adjustRightInd w:val="0"/>
        <w:snapToGrid w:val="0"/>
        <w:spacing w:line="38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rPr>
        <w:t>(4) 除因不可抗力或磋商文件认可的情形以外，成交供应商不与采购人签订合同的；</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（5）供应商与采购人、其他供应商或者采购代理机构恶意串通的；</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（6）磋商文件规定的其他情形。</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20.</w:t>
      </w:r>
      <w:r>
        <w:rPr>
          <w:rFonts w:hint="eastAsia" w:hAnsi="宋体"/>
          <w:b/>
          <w:color w:val="auto"/>
          <w:highlight w:val="none"/>
        </w:rPr>
        <w:t>响应文件</w:t>
      </w:r>
      <w:r>
        <w:rPr>
          <w:rFonts w:hint="eastAsia" w:ascii="宋体" w:hAnsi="宋体"/>
          <w:b/>
          <w:color w:val="auto"/>
          <w:szCs w:val="21"/>
          <w:highlight w:val="none"/>
        </w:rPr>
        <w:t>有效期</w:t>
      </w:r>
    </w:p>
    <w:p>
      <w:pPr>
        <w:adjustRightInd w:val="0"/>
        <w:snapToGrid w:val="0"/>
        <w:spacing w:line="380" w:lineRule="exact"/>
        <w:ind w:firstLine="420" w:firstLineChars="200"/>
        <w:jc w:val="left"/>
        <w:rPr>
          <w:rFonts w:hAnsi="宋体"/>
          <w:color w:val="auto"/>
          <w:highlight w:val="none"/>
        </w:rPr>
      </w:pPr>
      <w:r>
        <w:rPr>
          <w:rFonts w:hint="eastAsia" w:ascii="宋体" w:hAnsi="宋体"/>
          <w:color w:val="auto"/>
          <w:highlight w:val="none"/>
        </w:rPr>
        <w:t>20.1响应文件</w:t>
      </w:r>
      <w:r>
        <w:rPr>
          <w:rFonts w:hint="eastAsia" w:ascii="宋体" w:hAnsi="宋体"/>
          <w:color w:val="auto"/>
          <w:szCs w:val="21"/>
          <w:highlight w:val="none"/>
        </w:rPr>
        <w:t>有效期见</w:t>
      </w:r>
      <w:r>
        <w:rPr>
          <w:rFonts w:hint="eastAsia" w:ascii="宋体" w:hAnsi="宋体"/>
          <w:b/>
          <w:color w:val="auto"/>
          <w:highlight w:val="none"/>
        </w:rPr>
        <w:t>磋商须知前附表</w:t>
      </w:r>
      <w:r>
        <w:rPr>
          <w:rFonts w:hint="eastAsia" w:ascii="宋体" w:hAnsi="宋体"/>
          <w:color w:val="auto"/>
          <w:szCs w:val="21"/>
          <w:highlight w:val="none"/>
        </w:rPr>
        <w:t>，在此期间</w:t>
      </w:r>
      <w:r>
        <w:rPr>
          <w:rFonts w:hint="eastAsia" w:ascii="宋体" w:hAnsi="宋体"/>
          <w:color w:val="auto"/>
          <w:highlight w:val="none"/>
        </w:rPr>
        <w:t>响应</w:t>
      </w:r>
      <w:r>
        <w:rPr>
          <w:rFonts w:hint="eastAsia" w:ascii="宋体" w:hAnsi="宋体"/>
          <w:color w:val="auto"/>
          <w:szCs w:val="21"/>
          <w:highlight w:val="none"/>
        </w:rPr>
        <w:t>文件对供应商具有法律约束力，</w:t>
      </w:r>
      <w:r>
        <w:rPr>
          <w:rFonts w:hint="eastAsia" w:ascii="宋体" w:hAnsi="宋体" w:cs="Arial"/>
          <w:color w:val="auto"/>
          <w:highlight w:val="none"/>
        </w:rPr>
        <w:t>从</w:t>
      </w:r>
      <w:r>
        <w:rPr>
          <w:rFonts w:hint="eastAsia" w:ascii="宋体" w:hAnsi="宋体" w:cs="宋体"/>
          <w:color w:val="auto"/>
          <w:kern w:val="0"/>
          <w:szCs w:val="21"/>
          <w:highlight w:val="none"/>
        </w:rPr>
        <w:t>提交首次响应文件截止时间</w:t>
      </w:r>
      <w:r>
        <w:rPr>
          <w:rFonts w:hint="eastAsia" w:hAnsi="宋体"/>
          <w:color w:val="auto"/>
          <w:highlight w:val="none"/>
        </w:rPr>
        <w:t>之日</w:t>
      </w:r>
      <w:r>
        <w:rPr>
          <w:rFonts w:hint="eastAsia" w:hAnsi="宋体" w:cs="Arial"/>
          <w:color w:val="auto"/>
          <w:highlight w:val="none"/>
        </w:rPr>
        <w:t>起计算。</w:t>
      </w:r>
      <w:r>
        <w:rPr>
          <w:rFonts w:hint="eastAsia" w:hAnsi="宋体"/>
          <w:color w:val="auto"/>
          <w:highlight w:val="none"/>
        </w:rPr>
        <w:t>响应文件有效期不足的将被视为无效响应。</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21.响应文件的签署及规定</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21.1响应文件的正本和副本应装订成册，正本一份，副本份数见</w:t>
      </w:r>
      <w:r>
        <w:rPr>
          <w:rFonts w:hint="eastAsia" w:hAnsi="宋体"/>
          <w:b/>
          <w:color w:val="auto"/>
          <w:highlight w:val="none"/>
        </w:rPr>
        <w:t>磋商须知前附表</w:t>
      </w:r>
      <w:r>
        <w:rPr>
          <w:rFonts w:hint="eastAsia" w:hAnsi="宋体"/>
          <w:color w:val="auto"/>
          <w:highlight w:val="none"/>
        </w:rPr>
        <w:t>。正本和副本的封面上应标记“正本”或“副本”的字样，当正本和副本有差异时，以正本为准。</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21.3 在磋商过程中，供应商按磋商文件规定和磋商小组要求</w:t>
      </w:r>
      <w:r>
        <w:rPr>
          <w:rFonts w:hint="eastAsia" w:hAnsi="宋体" w:cs="宋体"/>
          <w:color w:val="auto"/>
          <w:kern w:val="0"/>
          <w:highlight w:val="none"/>
        </w:rPr>
        <w:t>提交的</w:t>
      </w:r>
      <w:r>
        <w:rPr>
          <w:rFonts w:hint="eastAsia" w:hAnsi="宋体"/>
          <w:color w:val="auto"/>
          <w:highlight w:val="none"/>
        </w:rPr>
        <w:t>最后报价(或者</w:t>
      </w:r>
      <w:r>
        <w:rPr>
          <w:rFonts w:hint="eastAsia" w:hAnsi="宋体"/>
          <w:bCs/>
          <w:color w:val="auto"/>
          <w:highlight w:val="none"/>
        </w:rPr>
        <w:t>重</w:t>
      </w:r>
      <w:r>
        <w:rPr>
          <w:rFonts w:hint="eastAsia" w:hAnsi="宋体" w:cs="宋体"/>
          <w:color w:val="auto"/>
          <w:kern w:val="0"/>
          <w:highlight w:val="none"/>
        </w:rPr>
        <w:t>新提交的响应文件和</w:t>
      </w:r>
      <w:r>
        <w:rPr>
          <w:rFonts w:hint="eastAsia" w:hAnsi="宋体"/>
          <w:color w:val="auto"/>
          <w:highlight w:val="none"/>
        </w:rPr>
        <w:t>最后报价)，可打印或用不退色墨水书写，但需经法定代表人或其委托代理人签字，</w:t>
      </w:r>
      <w:r>
        <w:rPr>
          <w:rFonts w:hint="eastAsia" w:hAnsi="宋体" w:cs="宋体"/>
          <w:color w:val="auto"/>
          <w:kern w:val="0"/>
          <w:highlight w:val="none"/>
        </w:rPr>
        <w:t>或者加盖供应商单位章</w:t>
      </w:r>
      <w:r>
        <w:rPr>
          <w:rFonts w:hint="eastAsia" w:hAnsi="宋体"/>
          <w:color w:val="auto"/>
          <w:highlight w:val="none"/>
        </w:rPr>
        <w:t>。否则，将导致响应文件无效。</w:t>
      </w: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四、响应文件的递交</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22.</w:t>
      </w:r>
      <w:r>
        <w:rPr>
          <w:rFonts w:hint="eastAsia" w:ascii="宋体" w:hAnsi="宋体"/>
          <w:b/>
          <w:color w:val="auto"/>
          <w:szCs w:val="21"/>
          <w:highlight w:val="none"/>
        </w:rPr>
        <w:t>响应文件</w:t>
      </w:r>
      <w:r>
        <w:rPr>
          <w:rFonts w:hint="eastAsia" w:ascii="宋体" w:hAnsi="宋体"/>
          <w:b/>
          <w:bCs/>
          <w:color w:val="auto"/>
          <w:szCs w:val="21"/>
          <w:highlight w:val="none"/>
        </w:rPr>
        <w:t>的密封和标记</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22.1响应文件应密封包装，加贴封条，并在封套的封口处盖供应商单位章或者由法定代表人或其委托代理人签字。</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22.2响应文件封套上应写明的内容见</w:t>
      </w:r>
      <w:r>
        <w:rPr>
          <w:rFonts w:hint="eastAsia" w:ascii="宋体" w:hAnsi="宋体"/>
          <w:b/>
          <w:color w:val="auto"/>
          <w:szCs w:val="21"/>
          <w:highlight w:val="none"/>
        </w:rPr>
        <w:t>磋商须知前附表。</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22.3响应文件如果未按上述规定密封和加写标记，采购人或采购代理机构将拒绝接收。</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23.响应文件的</w:t>
      </w:r>
      <w:r>
        <w:rPr>
          <w:rFonts w:hint="eastAsia" w:ascii="宋体" w:hAnsi="宋体" w:cs="宋体"/>
          <w:b/>
          <w:color w:val="auto"/>
          <w:kern w:val="0"/>
          <w:szCs w:val="21"/>
          <w:highlight w:val="none"/>
          <w:lang w:val="zh-CN"/>
        </w:rPr>
        <w:t>补充、修改或者撤回</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23.1</w:t>
      </w:r>
      <w:r>
        <w:rPr>
          <w:rFonts w:hint="eastAsia" w:hAnsi="宋体" w:cs="宋体"/>
          <w:color w:val="auto"/>
          <w:kern w:val="0"/>
          <w:highlight w:val="none"/>
        </w:rPr>
        <w:t>供应商在提交首次响应文件截止时间前，可以对所提交的首次响应文件进行补充、修改或者撤回，并书面通知采购人、采购代理机构。</w:t>
      </w:r>
      <w:r>
        <w:rPr>
          <w:rFonts w:hint="eastAsia" w:hAnsi="宋体"/>
          <w:color w:val="auto"/>
          <w:highlight w:val="none"/>
        </w:rPr>
        <w:t>该通知应有供应商法定代表人或其委托代理人签字。</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23.2</w:t>
      </w:r>
      <w:r>
        <w:rPr>
          <w:rFonts w:hint="eastAsia" w:hAnsi="宋体" w:cs="宋体"/>
          <w:color w:val="auto"/>
          <w:kern w:val="0"/>
          <w:highlight w:val="none"/>
          <w:lang w:val="zh-CN"/>
        </w:rPr>
        <w:t>补充、修改的内容与响应文件不一致时，以补充、修改的内容为准。</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24.响应文件的递交与接收</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24.1 供应商应在</w:t>
      </w:r>
      <w:r>
        <w:rPr>
          <w:rFonts w:hint="eastAsia" w:ascii="宋体" w:hAnsi="宋体" w:cs="宋体"/>
          <w:color w:val="auto"/>
          <w:kern w:val="0"/>
          <w:szCs w:val="21"/>
          <w:highlight w:val="none"/>
        </w:rPr>
        <w:t>提交首次响应文件截止时间</w:t>
      </w:r>
      <w:r>
        <w:rPr>
          <w:rFonts w:hint="eastAsia" w:ascii="宋体" w:hAnsi="宋体"/>
          <w:color w:val="auto"/>
          <w:szCs w:val="21"/>
          <w:highlight w:val="none"/>
        </w:rPr>
        <w:t>前，将响应文件送</w:t>
      </w:r>
      <w:r>
        <w:rPr>
          <w:rFonts w:hint="eastAsia" w:ascii="宋体" w:hAnsi="宋体" w:cs="Arial"/>
          <w:color w:val="auto"/>
          <w:szCs w:val="21"/>
          <w:highlight w:val="none"/>
        </w:rPr>
        <w:t>达</w:t>
      </w:r>
      <w:r>
        <w:rPr>
          <w:rFonts w:hint="eastAsia" w:ascii="宋体" w:hAnsi="宋体"/>
          <w:b/>
          <w:color w:val="auto"/>
          <w:szCs w:val="21"/>
          <w:highlight w:val="none"/>
        </w:rPr>
        <w:t>磋商须知前附表</w:t>
      </w:r>
      <w:r>
        <w:rPr>
          <w:rFonts w:hint="eastAsia" w:ascii="宋体" w:hAnsi="宋体"/>
          <w:color w:val="auto"/>
          <w:szCs w:val="21"/>
          <w:highlight w:val="none"/>
        </w:rPr>
        <w:t>中指定的地点。</w:t>
      </w:r>
      <w:r>
        <w:rPr>
          <w:rFonts w:hint="eastAsia" w:hAnsi="宋体" w:cs="宋体"/>
          <w:color w:val="auto"/>
          <w:kern w:val="0"/>
          <w:highlight w:val="none"/>
        </w:rPr>
        <w:t>在截止时间后送达的响应文件，采购人、采购代理机构或者磋商小组应当拒收。</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24.2</w:t>
      </w:r>
      <w:r>
        <w:rPr>
          <w:rFonts w:hint="eastAsia" w:hAnsi="宋体" w:cs="宋体"/>
          <w:color w:val="auto"/>
          <w:kern w:val="0"/>
          <w:highlight w:val="none"/>
        </w:rPr>
        <w:t>在提交首次响应文件截止时间后，</w:t>
      </w:r>
      <w:r>
        <w:rPr>
          <w:rFonts w:hint="eastAsia" w:hAnsi="宋体"/>
          <w:color w:val="auto"/>
          <w:highlight w:val="none"/>
        </w:rPr>
        <w:t>由</w:t>
      </w:r>
      <w:r>
        <w:rPr>
          <w:rFonts w:hint="eastAsia" w:hAnsi="宋体"/>
          <w:bCs/>
          <w:color w:val="auto"/>
          <w:highlight w:val="none"/>
        </w:rPr>
        <w:t>供应商代表</w:t>
      </w:r>
      <w:r>
        <w:rPr>
          <w:rFonts w:hint="eastAsia" w:hAnsi="宋体"/>
          <w:color w:val="auto"/>
          <w:highlight w:val="none"/>
        </w:rPr>
        <w:t>当场查验</w:t>
      </w:r>
      <w:r>
        <w:rPr>
          <w:rFonts w:hint="eastAsia" w:hAnsi="宋体"/>
          <w:bCs/>
          <w:color w:val="auto"/>
          <w:highlight w:val="none"/>
        </w:rPr>
        <w:t>响应文件</w:t>
      </w:r>
      <w:r>
        <w:rPr>
          <w:rFonts w:hint="eastAsia" w:hAnsi="宋体"/>
          <w:color w:val="auto"/>
          <w:highlight w:val="none"/>
        </w:rPr>
        <w:t>的密封状况，采购人或</w:t>
      </w:r>
      <w:r>
        <w:rPr>
          <w:rFonts w:hint="eastAsia" w:hAnsi="宋体"/>
          <w:bCs/>
          <w:color w:val="auto"/>
          <w:highlight w:val="none"/>
        </w:rPr>
        <w:t>采购代理机构</w:t>
      </w:r>
      <w:r>
        <w:rPr>
          <w:rFonts w:hint="eastAsia" w:hAnsi="宋体"/>
          <w:color w:val="auto"/>
          <w:highlight w:val="none"/>
        </w:rPr>
        <w:t>不当场拆封</w:t>
      </w:r>
      <w:r>
        <w:rPr>
          <w:rFonts w:hint="eastAsia" w:hAnsi="宋体"/>
          <w:bCs/>
          <w:color w:val="auto"/>
          <w:highlight w:val="none"/>
        </w:rPr>
        <w:t>响应文件</w:t>
      </w:r>
      <w:r>
        <w:rPr>
          <w:rFonts w:hint="eastAsia" w:hAnsi="宋体"/>
          <w:color w:val="auto"/>
          <w:highlight w:val="none"/>
        </w:rPr>
        <w:t>。</w:t>
      </w: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五、响应文件的磋商与评审</w:t>
      </w:r>
    </w:p>
    <w:p>
      <w:pPr>
        <w:tabs>
          <w:tab w:val="left" w:pos="0"/>
        </w:tabs>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25.磋商程序</w:t>
      </w:r>
    </w:p>
    <w:p>
      <w:pPr>
        <w:widowControl/>
        <w:adjustRightInd w:val="0"/>
        <w:snapToGrid w:val="0"/>
        <w:spacing w:line="380" w:lineRule="exact"/>
        <w:ind w:firstLine="420"/>
        <w:jc w:val="left"/>
        <w:rPr>
          <w:rFonts w:ascii="宋体" w:hAnsi="宋体"/>
          <w:bCs/>
          <w:color w:val="auto"/>
          <w:szCs w:val="21"/>
          <w:highlight w:val="none"/>
        </w:rPr>
      </w:pPr>
      <w:r>
        <w:rPr>
          <w:rFonts w:hint="eastAsia" w:ascii="宋体" w:hAnsi="宋体" w:cs="宋体"/>
          <w:color w:val="auto"/>
          <w:kern w:val="0"/>
          <w:szCs w:val="21"/>
          <w:highlight w:val="none"/>
        </w:rPr>
        <w:t>25.1磋商程序：响应文件审查、磋商（包括澄清）、响应文件评审、</w:t>
      </w:r>
      <w:r>
        <w:rPr>
          <w:rFonts w:hint="eastAsia" w:ascii="宋体" w:hAnsi="宋体"/>
          <w:bCs/>
          <w:color w:val="auto"/>
          <w:szCs w:val="21"/>
          <w:highlight w:val="none"/>
        </w:rPr>
        <w:t>提出成交供应商。其中，</w:t>
      </w:r>
      <w:r>
        <w:rPr>
          <w:rFonts w:hint="eastAsia" w:ascii="宋体" w:hAnsi="宋体" w:cs="宋体"/>
          <w:color w:val="auto"/>
          <w:kern w:val="0"/>
          <w:szCs w:val="21"/>
          <w:highlight w:val="none"/>
        </w:rPr>
        <w:t>磋商按</w:t>
      </w:r>
      <w:r>
        <w:rPr>
          <w:rFonts w:hint="eastAsia" w:ascii="宋体" w:hAnsi="宋体"/>
          <w:color w:val="auto"/>
          <w:szCs w:val="21"/>
          <w:highlight w:val="none"/>
        </w:rPr>
        <w:t>本章</w:t>
      </w:r>
      <w:r>
        <w:rPr>
          <w:rFonts w:hint="eastAsia" w:hAnsi="宋体"/>
          <w:color w:val="auto"/>
          <w:highlight w:val="none"/>
        </w:rPr>
        <w:t>第</w:t>
      </w:r>
      <w:r>
        <w:rPr>
          <w:rFonts w:hint="eastAsia" w:ascii="宋体" w:hAnsi="宋体"/>
          <w:color w:val="auto"/>
          <w:highlight w:val="none"/>
        </w:rPr>
        <w:t>30.1</w:t>
      </w:r>
      <w:r>
        <w:rPr>
          <w:rFonts w:hint="eastAsia" w:ascii="宋体" w:hAnsi="宋体" w:cs="宋体"/>
          <w:color w:val="auto"/>
          <w:kern w:val="0"/>
          <w:szCs w:val="21"/>
          <w:highlight w:val="none"/>
          <w:lang w:val="zh-CN"/>
        </w:rPr>
        <w:t>款或者</w:t>
      </w:r>
      <w:r>
        <w:rPr>
          <w:rFonts w:hint="eastAsia" w:ascii="宋体" w:hAnsi="宋体"/>
          <w:color w:val="auto"/>
          <w:highlight w:val="none"/>
        </w:rPr>
        <w:t>第30.2</w:t>
      </w:r>
      <w:r>
        <w:rPr>
          <w:rFonts w:hint="eastAsia" w:ascii="宋体" w:hAnsi="宋体" w:cs="宋体"/>
          <w:color w:val="auto"/>
          <w:kern w:val="0"/>
          <w:szCs w:val="21"/>
          <w:highlight w:val="none"/>
          <w:lang w:val="zh-CN"/>
        </w:rPr>
        <w:t>款</w:t>
      </w:r>
      <w:r>
        <w:rPr>
          <w:rFonts w:hint="eastAsia" w:hAnsi="宋体"/>
          <w:color w:val="auto"/>
          <w:highlight w:val="none"/>
        </w:rPr>
        <w:t>情形</w:t>
      </w:r>
      <w:r>
        <w:rPr>
          <w:rFonts w:hint="eastAsia" w:ascii="宋体" w:hAnsi="宋体"/>
          <w:bCs/>
          <w:color w:val="auto"/>
          <w:szCs w:val="21"/>
          <w:highlight w:val="none"/>
        </w:rPr>
        <w:t>进行。</w:t>
      </w:r>
    </w:p>
    <w:p>
      <w:pPr>
        <w:widowControl/>
        <w:adjustRightInd w:val="0"/>
        <w:snapToGrid w:val="0"/>
        <w:spacing w:line="380" w:lineRule="exact"/>
        <w:rPr>
          <w:rFonts w:ascii="宋体" w:hAnsi="宋体"/>
          <w:b/>
          <w:color w:val="auto"/>
          <w:szCs w:val="21"/>
          <w:highlight w:val="none"/>
        </w:rPr>
      </w:pPr>
      <w:r>
        <w:rPr>
          <w:rFonts w:hint="eastAsia" w:ascii="宋体" w:hAnsi="宋体" w:cs="宋体"/>
          <w:b/>
          <w:color w:val="auto"/>
          <w:kern w:val="0"/>
          <w:szCs w:val="21"/>
          <w:highlight w:val="none"/>
        </w:rPr>
        <w:t>26.响应文件审查</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26.1 资格性审查：根据本章第3.1项规定的供应商资格条件要求，对</w:t>
      </w:r>
      <w:r>
        <w:rPr>
          <w:rFonts w:hint="eastAsia" w:ascii="宋体" w:hAnsi="宋体"/>
          <w:color w:val="auto"/>
          <w:highlight w:val="none"/>
        </w:rPr>
        <w:t>响应</w:t>
      </w:r>
      <w:r>
        <w:rPr>
          <w:rFonts w:hint="eastAsia" w:ascii="宋体" w:hAnsi="宋体"/>
          <w:color w:val="auto"/>
          <w:szCs w:val="21"/>
          <w:highlight w:val="none"/>
        </w:rPr>
        <w:t>文件的资格证明等进行审查，以确定供应商是否具备磋商资格条件。</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3"/>
        <w:adjustRightInd w:val="0"/>
        <w:snapToGrid w:val="0"/>
        <w:spacing w:line="380" w:lineRule="exact"/>
        <w:rPr>
          <w:rFonts w:hAnsi="宋体" w:cs="宋体"/>
          <w:b/>
          <w:color w:val="auto"/>
          <w:kern w:val="0"/>
          <w:highlight w:val="none"/>
        </w:rPr>
      </w:pPr>
      <w:r>
        <w:rPr>
          <w:rFonts w:hint="eastAsia" w:hAnsi="宋体" w:cs="宋体"/>
          <w:b/>
          <w:color w:val="auto"/>
          <w:kern w:val="0"/>
          <w:highlight w:val="none"/>
        </w:rPr>
        <w:t>27.实质性响应</w:t>
      </w:r>
    </w:p>
    <w:p>
      <w:pPr>
        <w:pStyle w:val="23"/>
        <w:adjustRightInd w:val="0"/>
        <w:snapToGrid w:val="0"/>
        <w:spacing w:line="380" w:lineRule="exact"/>
        <w:ind w:firstLine="420" w:firstLineChars="200"/>
        <w:rPr>
          <w:rFonts w:hAnsi="宋体" w:cs="Arial"/>
          <w:color w:val="auto"/>
          <w:kern w:val="0"/>
          <w:highlight w:val="none"/>
          <w:u w:val="single"/>
        </w:rPr>
      </w:pPr>
      <w:r>
        <w:rPr>
          <w:rFonts w:hint="eastAsia" w:hAnsi="宋体" w:cs="宋体"/>
          <w:color w:val="auto"/>
          <w:kern w:val="0"/>
          <w:highlight w:val="none"/>
        </w:rPr>
        <w:t>27.1</w:t>
      </w:r>
      <w:r>
        <w:rPr>
          <w:rFonts w:hint="eastAsia" w:hAnsi="宋体"/>
          <w:color w:val="auto"/>
          <w:highlight w:val="none"/>
        </w:rPr>
        <w:t>实质性响应是指响应文件(包括首次响应文件、重新提交的响应文件)与磋商文件要求的所有条款、条件和规格相符，没有偏离。偏离</w:t>
      </w:r>
      <w:r>
        <w:rPr>
          <w:rFonts w:hint="eastAsia"/>
          <w:color w:val="auto"/>
          <w:highlight w:val="none"/>
        </w:rPr>
        <w:t>指不满足、或不响应</w:t>
      </w:r>
      <w:r>
        <w:rPr>
          <w:rFonts w:hint="eastAsia" w:hAnsi="宋体"/>
          <w:color w:val="auto"/>
          <w:highlight w:val="none"/>
        </w:rPr>
        <w:t>磋商文件</w:t>
      </w:r>
      <w:r>
        <w:rPr>
          <w:rFonts w:hint="eastAsia"/>
          <w:color w:val="auto"/>
          <w:highlight w:val="none"/>
        </w:rPr>
        <w:t>的要求。</w:t>
      </w:r>
    </w:p>
    <w:p>
      <w:pPr>
        <w:tabs>
          <w:tab w:val="left" w:pos="0"/>
          <w:tab w:val="left" w:pos="7560"/>
          <w:tab w:val="left" w:pos="7740"/>
          <w:tab w:val="left" w:pos="7920"/>
        </w:tabs>
        <w:adjustRightInd w:val="0"/>
        <w:snapToGrid w:val="0"/>
        <w:spacing w:line="380" w:lineRule="exact"/>
        <w:ind w:right="23" w:rightChars="11" w:firstLine="420" w:firstLineChars="200"/>
        <w:rPr>
          <w:rFonts w:ascii="宋体" w:hAnsi="宋体"/>
          <w:color w:val="auto"/>
          <w:szCs w:val="21"/>
          <w:highlight w:val="none"/>
        </w:rPr>
      </w:pPr>
      <w:r>
        <w:rPr>
          <w:rFonts w:hint="eastAsia" w:ascii="宋体" w:hAnsi="宋体"/>
          <w:color w:val="auto"/>
          <w:szCs w:val="21"/>
          <w:highlight w:val="none"/>
        </w:rPr>
        <w:t>27.2</w:t>
      </w:r>
      <w:r>
        <w:rPr>
          <w:rFonts w:hint="eastAsia" w:ascii="宋体" w:hAnsi="宋体"/>
          <w:color w:val="auto"/>
          <w:highlight w:val="none"/>
        </w:rPr>
        <w:t>响应文件是否实质性响应磋商文件要求由磋商小组依据磋商文件规定认定。</w:t>
      </w:r>
      <w:r>
        <w:rPr>
          <w:rFonts w:hint="eastAsia" w:ascii="宋体" w:hAnsi="宋体" w:cs="宋体"/>
          <w:color w:val="auto"/>
          <w:kern w:val="0"/>
          <w:szCs w:val="21"/>
          <w:highlight w:val="none"/>
        </w:rPr>
        <w:t>磋商小组</w:t>
      </w:r>
      <w:r>
        <w:rPr>
          <w:rFonts w:hint="eastAsia" w:ascii="宋体" w:hAnsi="宋体"/>
          <w:color w:val="auto"/>
          <w:szCs w:val="21"/>
          <w:highlight w:val="none"/>
        </w:rPr>
        <w:t>决定</w:t>
      </w:r>
      <w:r>
        <w:rPr>
          <w:rFonts w:hint="eastAsia" w:ascii="宋体" w:hAnsi="宋体"/>
          <w:color w:val="auto"/>
          <w:highlight w:val="none"/>
        </w:rPr>
        <w:t>响应文件</w:t>
      </w:r>
      <w:r>
        <w:rPr>
          <w:rFonts w:hint="eastAsia" w:ascii="宋体" w:hAnsi="宋体"/>
          <w:color w:val="auto"/>
          <w:szCs w:val="21"/>
          <w:highlight w:val="none"/>
        </w:rPr>
        <w:t>的响应性只根据</w:t>
      </w:r>
      <w:r>
        <w:rPr>
          <w:rFonts w:hint="eastAsia" w:ascii="宋体" w:hAnsi="宋体"/>
          <w:color w:val="auto"/>
          <w:highlight w:val="none"/>
        </w:rPr>
        <w:t>响应文件</w:t>
      </w:r>
      <w:r>
        <w:rPr>
          <w:rFonts w:hint="eastAsia" w:ascii="宋体" w:hAnsi="宋体"/>
          <w:color w:val="auto"/>
          <w:szCs w:val="21"/>
          <w:highlight w:val="none"/>
        </w:rPr>
        <w:t>本身的真实无误的内容，而不依据外部的证据。</w:t>
      </w:r>
    </w:p>
    <w:p>
      <w:pPr>
        <w:pStyle w:val="23"/>
        <w:adjustRightInd w:val="0"/>
        <w:snapToGrid w:val="0"/>
        <w:spacing w:line="380" w:lineRule="exact"/>
        <w:rPr>
          <w:rFonts w:cs="宋体"/>
          <w:b/>
          <w:color w:val="auto"/>
          <w:kern w:val="0"/>
          <w:highlight w:val="none"/>
        </w:rPr>
      </w:pPr>
      <w:r>
        <w:rPr>
          <w:rFonts w:hint="eastAsia" w:cs="宋体"/>
          <w:b/>
          <w:color w:val="auto"/>
          <w:kern w:val="0"/>
          <w:highlight w:val="none"/>
        </w:rPr>
        <w:t xml:space="preserve">28.无效响应 </w:t>
      </w:r>
    </w:p>
    <w:p>
      <w:pPr>
        <w:pStyle w:val="23"/>
        <w:adjustRightInd w:val="0"/>
        <w:snapToGrid w:val="0"/>
        <w:spacing w:line="380" w:lineRule="exact"/>
        <w:ind w:firstLine="411" w:firstLineChars="196"/>
        <w:rPr>
          <w:rFonts w:hAnsi="宋体" w:cs="宋体"/>
          <w:b/>
          <w:color w:val="auto"/>
          <w:kern w:val="0"/>
          <w:highlight w:val="none"/>
        </w:rPr>
      </w:pPr>
      <w:r>
        <w:rPr>
          <w:rFonts w:hint="eastAsia" w:cs="宋体"/>
          <w:color w:val="auto"/>
          <w:kern w:val="0"/>
          <w:highlight w:val="none"/>
        </w:rPr>
        <w:t>28.1</w:t>
      </w:r>
      <w:r>
        <w:rPr>
          <w:rFonts w:hint="eastAsia"/>
          <w:color w:val="auto"/>
          <w:highlight w:val="none"/>
        </w:rPr>
        <w:t>磋商小组在对资格性和符合性进行审查时，有下列情况之一的，属无效响应，</w:t>
      </w:r>
      <w:r>
        <w:rPr>
          <w:rFonts w:hint="eastAsia" w:cs="宋体"/>
          <w:color w:val="auto"/>
          <w:kern w:val="0"/>
          <w:highlight w:val="none"/>
        </w:rPr>
        <w:t>磋商小组应当告知有关供应商</w:t>
      </w:r>
      <w:r>
        <w:rPr>
          <w:rFonts w:hint="eastAsia"/>
          <w:color w:val="auto"/>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（1）供应商不具备本章第3.1款规定的供应商资格条件要求，或存在本章第3.3款情形的；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（2）联合体不符合本章第3.2款规定的；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（3）应交未交磋商保证金或金额不足、磋商保证金缴纳形式不符合磋商文件要求的；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（4）响应文件未按照磋商文件要求签署、盖章的；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（4）响应文件不满足本章第27.1款规定的实质性要求的；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（5）报价超过采购项目预算的；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（6）响应文件有效期不足的；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（7）响应文件不符合法律、规章、规范性文件和磋商文件规定及要求的。</w:t>
      </w:r>
    </w:p>
    <w:p>
      <w:pPr>
        <w:widowControl/>
        <w:adjustRightInd w:val="0"/>
        <w:snapToGrid w:val="0"/>
        <w:spacing w:line="380" w:lineRule="exact"/>
        <w:jc w:val="left"/>
        <w:rPr>
          <w:rFonts w:ascii="宋体" w:hAnsi="宋体" w:cs="宋体"/>
          <w:b/>
          <w:color w:val="auto"/>
          <w:kern w:val="0"/>
          <w:szCs w:val="21"/>
          <w:highlight w:val="none"/>
        </w:rPr>
      </w:pPr>
      <w:r>
        <w:rPr>
          <w:rFonts w:hint="eastAsia" w:ascii="宋体" w:hAnsi="宋体" w:cs="宋体"/>
          <w:b/>
          <w:color w:val="auto"/>
          <w:kern w:val="0"/>
          <w:szCs w:val="21"/>
          <w:highlight w:val="none"/>
        </w:rPr>
        <w:t>29.澄清</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29.2 最后报价计算错误修正的原则：最后报价</w:t>
      </w:r>
      <w:r>
        <w:rPr>
          <w:rFonts w:hint="eastAsia" w:ascii="宋体" w:hAnsi="宋体" w:cs="Arial"/>
          <w:color w:val="auto"/>
          <w:kern w:val="0"/>
          <w:szCs w:val="21"/>
          <w:highlight w:val="none"/>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80" w:lineRule="exact"/>
        <w:jc w:val="left"/>
        <w:rPr>
          <w:rFonts w:ascii="宋体" w:hAnsi="宋体" w:cs="宋体"/>
          <w:b/>
          <w:color w:val="auto"/>
          <w:kern w:val="0"/>
          <w:szCs w:val="21"/>
          <w:highlight w:val="none"/>
        </w:rPr>
      </w:pPr>
      <w:r>
        <w:rPr>
          <w:rFonts w:hint="eastAsia" w:ascii="宋体" w:hAnsi="宋体" w:cs="宋体"/>
          <w:b/>
          <w:color w:val="auto"/>
          <w:kern w:val="0"/>
          <w:szCs w:val="21"/>
          <w:highlight w:val="none"/>
        </w:rPr>
        <w:t>30.磋商</w:t>
      </w:r>
    </w:p>
    <w:p>
      <w:pPr>
        <w:widowControl/>
        <w:adjustRightInd w:val="0"/>
        <w:snapToGrid w:val="0"/>
        <w:spacing w:line="380" w:lineRule="exact"/>
        <w:ind w:firstLine="420"/>
        <w:jc w:val="left"/>
        <w:rPr>
          <w:rFonts w:ascii="宋体" w:hAnsi="宋体" w:cs="宋体"/>
          <w:color w:val="auto"/>
          <w:kern w:val="0"/>
          <w:szCs w:val="21"/>
          <w:highlight w:val="none"/>
          <w:lang w:val="zh-CN"/>
        </w:rPr>
      </w:pPr>
      <w:r>
        <w:rPr>
          <w:rFonts w:hint="eastAsia" w:ascii="宋体" w:hAnsi="宋体" w:cs="宋体"/>
          <w:color w:val="auto"/>
          <w:kern w:val="0"/>
          <w:szCs w:val="21"/>
          <w:highlight w:val="none"/>
        </w:rPr>
        <w:t>30.1</w:t>
      </w:r>
      <w:r>
        <w:rPr>
          <w:rFonts w:hint="eastAsia" w:ascii="宋体" w:hAnsi="宋体"/>
          <w:color w:val="auto"/>
          <w:highlight w:val="none"/>
        </w:rPr>
        <w:t>本章第10.2项</w:t>
      </w:r>
      <w:r>
        <w:rPr>
          <w:rFonts w:hint="eastAsia" w:ascii="宋体" w:hAnsi="宋体" w:cs="宋体"/>
          <w:color w:val="auto"/>
          <w:kern w:val="0"/>
          <w:szCs w:val="21"/>
          <w:highlight w:val="none"/>
        </w:rPr>
        <w:t>未明确磋商文件实质性变动内容的，或者磋商文件明确了可能发生实质性变动内容，但在磋商过程中，</w:t>
      </w:r>
      <w:r>
        <w:rPr>
          <w:rFonts w:hint="eastAsia" w:ascii="宋体" w:hAnsi="宋体"/>
          <w:bCs/>
          <w:color w:val="auto"/>
          <w:szCs w:val="21"/>
          <w:highlight w:val="none"/>
        </w:rPr>
        <w:t>磋商小组</w:t>
      </w:r>
      <w:r>
        <w:rPr>
          <w:rFonts w:hint="eastAsia" w:ascii="宋体" w:hAnsi="宋体" w:cs="Arial"/>
          <w:color w:val="auto"/>
          <w:kern w:val="0"/>
          <w:szCs w:val="21"/>
          <w:highlight w:val="none"/>
        </w:rPr>
        <w:t>根据</w:t>
      </w:r>
      <w:r>
        <w:rPr>
          <w:rFonts w:hint="eastAsia" w:ascii="宋体" w:hAnsi="宋体" w:cs="宋体"/>
          <w:color w:val="auto"/>
          <w:kern w:val="0"/>
          <w:szCs w:val="21"/>
          <w:highlight w:val="none"/>
        </w:rPr>
        <w:t>磋商情况</w:t>
      </w:r>
      <w:r>
        <w:rPr>
          <w:rFonts w:hint="eastAsia" w:ascii="宋体" w:hAnsi="宋体"/>
          <w:bCs/>
          <w:color w:val="auto"/>
          <w:szCs w:val="21"/>
          <w:highlight w:val="none"/>
        </w:rPr>
        <w:t>认为</w:t>
      </w:r>
      <w:r>
        <w:rPr>
          <w:rFonts w:hint="eastAsia" w:ascii="宋体" w:hAnsi="宋体" w:cs="宋体"/>
          <w:color w:val="auto"/>
          <w:kern w:val="0"/>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（1）磋商结束后，磋商小组应当要求所有继续参加磋商的供应商在磋商小组规定时间内提交最后报价。</w:t>
      </w:r>
    </w:p>
    <w:p>
      <w:pPr>
        <w:widowControl/>
        <w:tabs>
          <w:tab w:val="left" w:pos="1080"/>
          <w:tab w:val="left" w:pos="1260"/>
        </w:tabs>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（2）磋商文件明确可能发生实质性变动，但在磋商过程中</w:t>
      </w:r>
      <w:r>
        <w:rPr>
          <w:rFonts w:hint="eastAsia" w:ascii="宋体" w:hAnsi="宋体"/>
          <w:bCs/>
          <w:color w:val="auto"/>
          <w:szCs w:val="21"/>
          <w:highlight w:val="none"/>
        </w:rPr>
        <w:t>磋商小组</w:t>
      </w:r>
      <w:r>
        <w:rPr>
          <w:rFonts w:hint="eastAsia" w:ascii="宋体" w:hAnsi="宋体" w:cs="Arial"/>
          <w:color w:val="auto"/>
          <w:kern w:val="0"/>
          <w:szCs w:val="21"/>
          <w:highlight w:val="none"/>
        </w:rPr>
        <w:t>根据</w:t>
      </w:r>
      <w:r>
        <w:rPr>
          <w:rFonts w:hint="eastAsia" w:ascii="宋体" w:hAnsi="宋体" w:cs="宋体"/>
          <w:color w:val="auto"/>
          <w:kern w:val="0"/>
          <w:szCs w:val="21"/>
          <w:highlight w:val="none"/>
        </w:rPr>
        <w:t>磋商情况</w:t>
      </w:r>
      <w:r>
        <w:rPr>
          <w:rFonts w:hint="eastAsia" w:ascii="宋体" w:hAnsi="宋体"/>
          <w:bCs/>
          <w:color w:val="auto"/>
          <w:szCs w:val="21"/>
          <w:highlight w:val="none"/>
        </w:rPr>
        <w:t>认为</w:t>
      </w:r>
      <w:r>
        <w:rPr>
          <w:rFonts w:hint="eastAsia" w:ascii="宋体" w:hAnsi="宋体" w:cs="宋体"/>
          <w:color w:val="auto"/>
          <w:kern w:val="0"/>
          <w:szCs w:val="21"/>
          <w:highlight w:val="none"/>
        </w:rPr>
        <w:t>磋商文件无需发生实质性变动的，磋商小组不另行通知。</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30.2</w:t>
      </w:r>
      <w:r>
        <w:rPr>
          <w:rFonts w:hint="eastAsia" w:ascii="宋体" w:hAnsi="宋体"/>
          <w:color w:val="auto"/>
          <w:highlight w:val="none"/>
        </w:rPr>
        <w:t>本章第10.2</w:t>
      </w:r>
      <w:r>
        <w:rPr>
          <w:rFonts w:hint="eastAsia" w:ascii="宋体" w:hAnsi="宋体" w:cs="宋体"/>
          <w:color w:val="auto"/>
          <w:kern w:val="0"/>
          <w:szCs w:val="21"/>
          <w:highlight w:val="none"/>
          <w:lang w:val="zh-CN"/>
        </w:rPr>
        <w:t>款</w:t>
      </w:r>
      <w:r>
        <w:rPr>
          <w:rFonts w:hint="eastAsia" w:ascii="宋体" w:hAnsi="宋体" w:cs="宋体"/>
          <w:color w:val="auto"/>
          <w:kern w:val="0"/>
          <w:szCs w:val="21"/>
          <w:highlight w:val="none"/>
        </w:rPr>
        <w:t>明确磋商文件实质性变动内容的，</w:t>
      </w:r>
      <w:r>
        <w:rPr>
          <w:rFonts w:hint="eastAsia" w:ascii="宋体" w:hAnsi="宋体"/>
          <w:bCs/>
          <w:color w:val="auto"/>
          <w:szCs w:val="21"/>
          <w:highlight w:val="none"/>
        </w:rPr>
        <w:t>磋商小组</w:t>
      </w:r>
      <w:r>
        <w:rPr>
          <w:rFonts w:hint="eastAsia" w:ascii="宋体" w:hAnsi="宋体" w:cs="宋体"/>
          <w:color w:val="auto"/>
          <w:kern w:val="0"/>
          <w:szCs w:val="21"/>
          <w:highlight w:val="none"/>
        </w:rPr>
        <w:t>可以组织多轮磋商。</w:t>
      </w:r>
      <w:r>
        <w:rPr>
          <w:rFonts w:hint="eastAsia" w:ascii="宋体" w:hAnsi="宋体"/>
          <w:bCs/>
          <w:color w:val="auto"/>
          <w:szCs w:val="21"/>
          <w:highlight w:val="none"/>
        </w:rPr>
        <w:t>在每一轮磋商中，磋商小组</w:t>
      </w:r>
      <w:r>
        <w:rPr>
          <w:rFonts w:hint="eastAsia" w:ascii="宋体" w:hAnsi="宋体" w:cs="宋体"/>
          <w:color w:val="auto"/>
          <w:kern w:val="0"/>
          <w:szCs w:val="21"/>
          <w:highlight w:val="none"/>
        </w:rPr>
        <w:t>可以</w:t>
      </w:r>
      <w:r>
        <w:rPr>
          <w:rFonts w:hint="eastAsia" w:ascii="宋体" w:hAnsi="宋体" w:cs="Arial"/>
          <w:color w:val="auto"/>
          <w:kern w:val="0"/>
          <w:szCs w:val="21"/>
          <w:highlight w:val="none"/>
        </w:rPr>
        <w:t>根据</w:t>
      </w:r>
      <w:r>
        <w:rPr>
          <w:rFonts w:hint="eastAsia" w:ascii="宋体" w:hAnsi="宋体" w:cs="宋体"/>
          <w:color w:val="auto"/>
          <w:kern w:val="0"/>
          <w:szCs w:val="21"/>
          <w:highlight w:val="none"/>
        </w:rPr>
        <w:t>磋商文件规定和磋商情况，</w:t>
      </w:r>
      <w:r>
        <w:rPr>
          <w:rFonts w:hint="eastAsia" w:ascii="宋体" w:hAnsi="宋体"/>
          <w:bCs/>
          <w:color w:val="auto"/>
          <w:szCs w:val="21"/>
          <w:highlight w:val="none"/>
        </w:rPr>
        <w:t>对磋商文件的</w:t>
      </w:r>
      <w:r>
        <w:rPr>
          <w:rFonts w:hint="eastAsia" w:ascii="宋体" w:hAnsi="宋体" w:cs="宋体"/>
          <w:color w:val="auto"/>
          <w:kern w:val="0"/>
          <w:szCs w:val="21"/>
          <w:highlight w:val="none"/>
        </w:rPr>
        <w:t>采购需求中的技术、服务要求以及合同草案条款</w:t>
      </w:r>
      <w:r>
        <w:rPr>
          <w:rFonts w:hint="eastAsia" w:ascii="宋体" w:hAnsi="宋体"/>
          <w:bCs/>
          <w:color w:val="auto"/>
          <w:szCs w:val="21"/>
          <w:highlight w:val="none"/>
        </w:rPr>
        <w:t>作实质性变动(磋商文件的实质性变动内容为磋商文件的组成部分)，并以书面形式要求</w:t>
      </w:r>
      <w:r>
        <w:rPr>
          <w:rFonts w:hint="eastAsia" w:ascii="宋体" w:hAnsi="宋体" w:cs="宋体"/>
          <w:color w:val="auto"/>
          <w:kern w:val="0"/>
          <w:szCs w:val="21"/>
          <w:highlight w:val="none"/>
        </w:rPr>
        <w:t>响应文件审查合格</w:t>
      </w:r>
      <w:r>
        <w:rPr>
          <w:rFonts w:hint="eastAsia" w:ascii="宋体" w:hAnsi="宋体"/>
          <w:bCs/>
          <w:color w:val="auto"/>
          <w:szCs w:val="21"/>
          <w:highlight w:val="none"/>
        </w:rPr>
        <w:t>的供应商，在规定的</w:t>
      </w:r>
      <w:r>
        <w:rPr>
          <w:rFonts w:hint="eastAsia" w:ascii="宋体" w:hAnsi="宋体" w:cs="宋体"/>
          <w:color w:val="auto"/>
          <w:kern w:val="0"/>
          <w:szCs w:val="21"/>
          <w:highlight w:val="none"/>
        </w:rPr>
        <w:t>截止时间前</w:t>
      </w:r>
      <w:r>
        <w:rPr>
          <w:rFonts w:hint="eastAsia" w:ascii="宋体" w:hAnsi="宋体"/>
          <w:bCs/>
          <w:color w:val="auto"/>
          <w:szCs w:val="21"/>
          <w:highlight w:val="none"/>
        </w:rPr>
        <w:t>重</w:t>
      </w:r>
      <w:r>
        <w:rPr>
          <w:rFonts w:hint="eastAsia" w:ascii="宋体" w:hAnsi="宋体" w:cs="宋体"/>
          <w:color w:val="auto"/>
          <w:kern w:val="0"/>
          <w:szCs w:val="21"/>
          <w:highlight w:val="none"/>
        </w:rPr>
        <w:t>新提交响应文件</w:t>
      </w:r>
      <w:r>
        <w:rPr>
          <w:rFonts w:hint="eastAsia" w:ascii="宋体" w:hAnsi="宋体"/>
          <w:bCs/>
          <w:color w:val="auto"/>
          <w:szCs w:val="21"/>
          <w:highlight w:val="none"/>
        </w:rPr>
        <w:t>。</w:t>
      </w:r>
      <w:r>
        <w:rPr>
          <w:rFonts w:hint="eastAsia" w:ascii="宋体" w:hAnsi="宋体" w:cs="宋体"/>
          <w:color w:val="auto"/>
          <w:kern w:val="0"/>
          <w:szCs w:val="21"/>
          <w:highlight w:val="none"/>
        </w:rPr>
        <w:t>磋商小组应当</w:t>
      </w:r>
      <w:r>
        <w:rPr>
          <w:rFonts w:hint="eastAsia" w:ascii="宋体" w:hAnsi="宋体"/>
          <w:color w:val="auto"/>
          <w:szCs w:val="21"/>
          <w:highlight w:val="none"/>
        </w:rPr>
        <w:t>根据本章第26.2</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w:t>
      </w:r>
      <w:r>
        <w:rPr>
          <w:rFonts w:hint="eastAsia" w:ascii="宋体" w:hAnsi="宋体" w:cs="宋体"/>
          <w:color w:val="auto"/>
          <w:kern w:val="0"/>
          <w:szCs w:val="21"/>
          <w:highlight w:val="none"/>
        </w:rPr>
        <w:t>对供应商重新提交的响应文件进行审查。供应商重新提交的响应文件审查不合格的，不得进入下一轮磋商，也不得要求提交最后报价。</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（1）磋商文件能够详细列明采购需求的技术、服务要求的，磋商结束后，磋商小组应当要求所有继续参加磋商的供应商在规定时间内提交最后报价。</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80" w:lineRule="exact"/>
        <w:ind w:firstLine="420"/>
        <w:jc w:val="left"/>
        <w:rPr>
          <w:rFonts w:ascii="宋体" w:hAnsi="宋体"/>
          <w:bCs/>
          <w:color w:val="auto"/>
          <w:szCs w:val="21"/>
          <w:highlight w:val="none"/>
        </w:rPr>
      </w:pPr>
      <w:r>
        <w:rPr>
          <w:rFonts w:hint="eastAsia" w:ascii="宋体" w:hAnsi="宋体"/>
          <w:bCs/>
          <w:color w:val="auto"/>
          <w:szCs w:val="21"/>
          <w:highlight w:val="none"/>
        </w:rPr>
        <w:t>30.3</w:t>
      </w:r>
      <w:r>
        <w:rPr>
          <w:rFonts w:hint="eastAsia" w:ascii="宋体" w:hAnsi="宋体"/>
          <w:bCs/>
          <w:color w:val="auto"/>
          <w:highlight w:val="none"/>
        </w:rPr>
        <w:t>重</w:t>
      </w:r>
      <w:r>
        <w:rPr>
          <w:rFonts w:hint="eastAsia" w:ascii="宋体" w:hAnsi="宋体" w:cs="宋体"/>
          <w:color w:val="auto"/>
          <w:kern w:val="0"/>
          <w:highlight w:val="none"/>
        </w:rPr>
        <w:t>新提交的响应文件</w:t>
      </w:r>
      <w:r>
        <w:rPr>
          <w:rFonts w:hint="eastAsia" w:ascii="宋体" w:hAnsi="宋体"/>
          <w:color w:val="auto"/>
          <w:highlight w:val="none"/>
        </w:rPr>
        <w:t>或者最后报价应按</w:t>
      </w:r>
      <w:r>
        <w:rPr>
          <w:rFonts w:hint="eastAsia" w:ascii="宋体" w:hAnsi="宋体" w:cs="宋体"/>
          <w:color w:val="auto"/>
          <w:kern w:val="0"/>
          <w:szCs w:val="21"/>
          <w:highlight w:val="none"/>
        </w:rPr>
        <w:t>本章第</w:t>
      </w:r>
      <w:r>
        <w:rPr>
          <w:rFonts w:hint="eastAsia" w:ascii="宋体" w:hAnsi="宋体"/>
          <w:color w:val="auto"/>
          <w:highlight w:val="none"/>
        </w:rPr>
        <w:t>21.3</w:t>
      </w:r>
      <w:r>
        <w:rPr>
          <w:rFonts w:hint="eastAsia" w:ascii="宋体" w:hAnsi="宋体" w:cs="宋体"/>
          <w:color w:val="auto"/>
          <w:kern w:val="0"/>
          <w:szCs w:val="21"/>
          <w:highlight w:val="none"/>
          <w:lang w:val="zh-CN"/>
        </w:rPr>
        <w:t>款</w:t>
      </w:r>
      <w:r>
        <w:rPr>
          <w:rFonts w:hint="eastAsia" w:ascii="宋体" w:hAnsi="宋体"/>
          <w:color w:val="auto"/>
          <w:highlight w:val="none"/>
        </w:rPr>
        <w:t>规定，</w:t>
      </w:r>
      <w:r>
        <w:rPr>
          <w:rFonts w:hint="eastAsia" w:ascii="宋体" w:hAnsi="宋体" w:cs="宋体"/>
          <w:color w:val="auto"/>
          <w:kern w:val="0"/>
          <w:szCs w:val="21"/>
          <w:highlight w:val="none"/>
        </w:rPr>
        <w:t>由其法定代表人或其委托代理人签字或者加盖</w:t>
      </w:r>
      <w:r>
        <w:rPr>
          <w:rFonts w:hint="eastAsia" w:ascii="宋体" w:hAnsi="宋体" w:cs="宋体"/>
          <w:color w:val="auto"/>
          <w:kern w:val="0"/>
          <w:highlight w:val="none"/>
        </w:rPr>
        <w:t>供应商单位</w:t>
      </w:r>
      <w:r>
        <w:rPr>
          <w:rFonts w:hint="eastAsia" w:ascii="宋体" w:hAnsi="宋体" w:cs="宋体"/>
          <w:color w:val="auto"/>
          <w:kern w:val="0"/>
          <w:szCs w:val="21"/>
          <w:highlight w:val="none"/>
        </w:rPr>
        <w:t>章，在规定时间内密封递交给磋商小组</w:t>
      </w:r>
      <w:r>
        <w:rPr>
          <w:rFonts w:hint="eastAsia" w:ascii="宋体" w:hAnsi="宋体"/>
          <w:bCs/>
          <w:color w:val="auto"/>
          <w:szCs w:val="21"/>
          <w:highlight w:val="none"/>
        </w:rPr>
        <w:t>。</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30.4</w:t>
      </w:r>
      <w:r>
        <w:rPr>
          <w:rFonts w:hint="eastAsia" w:ascii="宋体" w:hAnsi="宋体" w:cs="宋体"/>
          <w:color w:val="auto"/>
          <w:kern w:val="0"/>
          <w:szCs w:val="21"/>
          <w:highlight w:val="none"/>
          <w:lang w:val="zh-CN"/>
        </w:rPr>
        <w:t>供应商的</w:t>
      </w:r>
      <w:r>
        <w:rPr>
          <w:rFonts w:hint="eastAsia" w:ascii="宋体" w:hAnsi="宋体"/>
          <w:bCs/>
          <w:color w:val="auto"/>
          <w:szCs w:val="21"/>
          <w:highlight w:val="none"/>
        </w:rPr>
        <w:t>最</w:t>
      </w:r>
      <w:r>
        <w:rPr>
          <w:rFonts w:hint="eastAsia" w:ascii="宋体" w:hAnsi="宋体" w:cs="宋体"/>
          <w:color w:val="auto"/>
          <w:kern w:val="0"/>
          <w:szCs w:val="21"/>
          <w:highlight w:val="none"/>
          <w:lang w:val="zh-CN"/>
        </w:rPr>
        <w:t>后</w:t>
      </w:r>
      <w:r>
        <w:rPr>
          <w:rFonts w:hint="eastAsia" w:ascii="宋体" w:hAnsi="宋体"/>
          <w:bCs/>
          <w:color w:val="auto"/>
          <w:szCs w:val="21"/>
          <w:highlight w:val="none"/>
        </w:rPr>
        <w:t>报价及</w:t>
      </w:r>
      <w:r>
        <w:rPr>
          <w:rFonts w:hint="eastAsia" w:ascii="宋体" w:hAnsi="宋体" w:cs="宋体"/>
          <w:color w:val="auto"/>
          <w:kern w:val="0"/>
          <w:szCs w:val="21"/>
          <w:highlight w:val="none"/>
        </w:rPr>
        <w:t>政府采购政策规定的价格扣除情况，磋商小组应召集所有参加最后报价的供应商当场开封</w:t>
      </w:r>
      <w:r>
        <w:rPr>
          <w:rFonts w:hint="eastAsia" w:ascii="宋体" w:hAnsi="宋体"/>
          <w:bCs/>
          <w:color w:val="auto"/>
          <w:szCs w:val="21"/>
          <w:highlight w:val="none"/>
        </w:rPr>
        <w:t>公布，并由供应商代表签字确认。</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30.5提交首次响应文件的供应商，在提交最后报价之前，可以根据磋商情况退出磋商，</w:t>
      </w:r>
      <w:r>
        <w:rPr>
          <w:rFonts w:hint="eastAsia" w:ascii="宋体" w:hAnsi="宋体" w:cs="宋体"/>
          <w:color w:val="auto"/>
          <w:kern w:val="0"/>
          <w:highlight w:val="none"/>
        </w:rPr>
        <w:t>并书面通知采购代理机构或者磋商小组。</w:t>
      </w:r>
      <w:r>
        <w:rPr>
          <w:rFonts w:hint="eastAsia" w:ascii="宋体" w:hAnsi="宋体"/>
          <w:color w:val="auto"/>
          <w:highlight w:val="none"/>
        </w:rPr>
        <w:t>该通知由供应商法定代表人或其委托代理人签字。</w:t>
      </w:r>
      <w:r>
        <w:rPr>
          <w:rFonts w:hint="eastAsia" w:ascii="宋体" w:hAnsi="宋体" w:cs="宋体"/>
          <w:color w:val="auto"/>
          <w:kern w:val="0"/>
          <w:szCs w:val="21"/>
          <w:highlight w:val="none"/>
        </w:rPr>
        <w:t>采购代理机构</w:t>
      </w:r>
      <w:r>
        <w:rPr>
          <w:rFonts w:hint="eastAsia" w:ascii="宋体" w:hAnsi="宋体" w:cs="宋体"/>
          <w:color w:val="auto"/>
          <w:kern w:val="0"/>
          <w:highlight w:val="none"/>
        </w:rPr>
        <w:t>按</w:t>
      </w:r>
      <w:r>
        <w:rPr>
          <w:rFonts w:hint="eastAsia" w:ascii="宋体" w:hAnsi="宋体" w:cs="宋体"/>
          <w:color w:val="auto"/>
          <w:kern w:val="0"/>
          <w:szCs w:val="21"/>
          <w:highlight w:val="none"/>
        </w:rPr>
        <w:t>本章第</w:t>
      </w:r>
      <w:r>
        <w:rPr>
          <w:rFonts w:hint="eastAsia" w:ascii="宋体" w:hAnsi="宋体"/>
          <w:color w:val="auto"/>
          <w:highlight w:val="none"/>
        </w:rPr>
        <w:t>19.4</w:t>
      </w:r>
      <w:r>
        <w:rPr>
          <w:rFonts w:hint="eastAsia" w:ascii="宋体" w:hAnsi="宋体" w:cs="宋体"/>
          <w:color w:val="auto"/>
          <w:kern w:val="0"/>
          <w:szCs w:val="21"/>
          <w:highlight w:val="none"/>
          <w:lang w:val="zh-CN"/>
        </w:rPr>
        <w:t>款</w:t>
      </w:r>
      <w:r>
        <w:rPr>
          <w:rFonts w:hint="eastAsia" w:ascii="宋体" w:hAnsi="宋体"/>
          <w:color w:val="auto"/>
          <w:highlight w:val="none"/>
        </w:rPr>
        <w:t>规定</w:t>
      </w:r>
      <w:r>
        <w:rPr>
          <w:rFonts w:hint="eastAsia" w:ascii="宋体" w:hAnsi="宋体" w:cs="宋体"/>
          <w:color w:val="auto"/>
          <w:kern w:val="0"/>
          <w:szCs w:val="21"/>
          <w:highlight w:val="none"/>
        </w:rPr>
        <w:t>退还退出磋商的供应商的磋商保证金。</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bCs/>
          <w:color w:val="auto"/>
          <w:szCs w:val="21"/>
          <w:highlight w:val="none"/>
        </w:rPr>
        <w:t>30.6</w:t>
      </w:r>
      <w:r>
        <w:rPr>
          <w:rFonts w:hint="eastAsia" w:ascii="宋体" w:hAnsi="宋体" w:cs="宋体"/>
          <w:color w:val="auto"/>
          <w:kern w:val="0"/>
          <w:szCs w:val="21"/>
          <w:highlight w:val="none"/>
        </w:rPr>
        <w:t>提交首次响应文件的供应商，未按磋商文件规定及磋商小组要求提交最后报价(或者</w:t>
      </w:r>
      <w:r>
        <w:rPr>
          <w:rFonts w:hint="eastAsia" w:ascii="宋体" w:hAnsi="宋体"/>
          <w:bCs/>
          <w:color w:val="auto"/>
          <w:szCs w:val="21"/>
          <w:highlight w:val="none"/>
        </w:rPr>
        <w:t>重</w:t>
      </w:r>
      <w:r>
        <w:rPr>
          <w:rFonts w:hint="eastAsia" w:ascii="宋体" w:hAnsi="宋体" w:cs="宋体"/>
          <w:color w:val="auto"/>
          <w:kern w:val="0"/>
          <w:szCs w:val="21"/>
          <w:highlight w:val="none"/>
        </w:rPr>
        <w:t>新提交的响应文件和最后报价)，且又</w:t>
      </w:r>
      <w:r>
        <w:rPr>
          <w:rFonts w:hint="eastAsia" w:ascii="宋体" w:hAnsi="宋体" w:cs="宋体"/>
          <w:color w:val="auto"/>
          <w:kern w:val="0"/>
          <w:highlight w:val="none"/>
        </w:rPr>
        <w:t>未按</w:t>
      </w:r>
      <w:r>
        <w:rPr>
          <w:rFonts w:hint="eastAsia" w:ascii="宋体" w:hAnsi="宋体" w:cs="宋体"/>
          <w:color w:val="auto"/>
          <w:kern w:val="0"/>
          <w:szCs w:val="21"/>
          <w:highlight w:val="none"/>
        </w:rPr>
        <w:t>本章第</w:t>
      </w:r>
      <w:r>
        <w:rPr>
          <w:rFonts w:hint="eastAsia" w:ascii="宋体" w:hAnsi="宋体"/>
          <w:color w:val="auto"/>
          <w:highlight w:val="none"/>
        </w:rPr>
        <w:t>30.5</w:t>
      </w:r>
      <w:r>
        <w:rPr>
          <w:rFonts w:hint="eastAsia" w:ascii="宋体" w:hAnsi="宋体" w:cs="宋体"/>
          <w:color w:val="auto"/>
          <w:kern w:val="0"/>
          <w:szCs w:val="21"/>
          <w:highlight w:val="none"/>
          <w:lang w:val="zh-CN"/>
        </w:rPr>
        <w:t>款</w:t>
      </w:r>
      <w:r>
        <w:rPr>
          <w:rFonts w:hint="eastAsia" w:ascii="宋体" w:hAnsi="宋体"/>
          <w:color w:val="auto"/>
          <w:highlight w:val="none"/>
        </w:rPr>
        <w:t>规定</w:t>
      </w:r>
      <w:r>
        <w:rPr>
          <w:rFonts w:hint="eastAsia" w:ascii="宋体" w:hAnsi="宋体" w:cs="宋体"/>
          <w:color w:val="auto"/>
          <w:kern w:val="0"/>
          <w:szCs w:val="21"/>
          <w:highlight w:val="none"/>
        </w:rPr>
        <w:t>退出磋商的，供应商的磋商保证金不予退还。</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30.7磋商文件在磋商过程中未发生实质性变动的，参加磋商供应商的次轮报价不得高于上轮报价，否则视为无效响应。</w:t>
      </w:r>
    </w:p>
    <w:p>
      <w:pPr>
        <w:widowControl/>
        <w:adjustRightInd w:val="0"/>
        <w:snapToGrid w:val="0"/>
        <w:spacing w:line="380" w:lineRule="exact"/>
        <w:jc w:val="left"/>
        <w:rPr>
          <w:rFonts w:ascii="宋体" w:hAnsi="宋体"/>
          <w:b/>
          <w:bCs/>
          <w:color w:val="auto"/>
          <w:szCs w:val="21"/>
          <w:highlight w:val="none"/>
        </w:rPr>
      </w:pPr>
      <w:r>
        <w:rPr>
          <w:rFonts w:hint="eastAsia" w:ascii="宋体" w:hAnsi="宋体" w:cs="宋体"/>
          <w:b/>
          <w:color w:val="auto"/>
          <w:kern w:val="0"/>
          <w:szCs w:val="21"/>
          <w:highlight w:val="none"/>
        </w:rPr>
        <w:t>31.响应文件评审</w:t>
      </w:r>
    </w:p>
    <w:p>
      <w:pPr>
        <w:widowControl/>
        <w:adjustRightInd w:val="0"/>
        <w:snapToGrid w:val="0"/>
        <w:spacing w:line="380" w:lineRule="exact"/>
        <w:ind w:firstLine="420" w:firstLineChars="200"/>
        <w:jc w:val="left"/>
        <w:rPr>
          <w:rFonts w:ascii="宋体" w:hAnsi="宋体"/>
          <w:bCs/>
          <w:color w:val="auto"/>
          <w:szCs w:val="21"/>
          <w:highlight w:val="none"/>
        </w:rPr>
      </w:pPr>
      <w:r>
        <w:rPr>
          <w:rFonts w:hint="eastAsia" w:ascii="宋体" w:hAnsi="宋体"/>
          <w:bCs/>
          <w:color w:val="auto"/>
          <w:szCs w:val="21"/>
          <w:highlight w:val="none"/>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380" w:lineRule="exact"/>
        <w:ind w:firstLine="420" w:firstLineChars="200"/>
        <w:jc w:val="left"/>
        <w:rPr>
          <w:rFonts w:ascii="宋体" w:hAnsi="宋体"/>
          <w:bCs/>
          <w:color w:val="auto"/>
          <w:szCs w:val="21"/>
          <w:highlight w:val="none"/>
        </w:rPr>
      </w:pPr>
      <w:r>
        <w:rPr>
          <w:rFonts w:hint="eastAsia" w:ascii="宋体" w:hAnsi="宋体"/>
          <w:bCs/>
          <w:color w:val="auto"/>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color w:val="auto"/>
          <w:szCs w:val="21"/>
          <w:highlight w:val="none"/>
        </w:rPr>
        <w:t>磋商须知前附表。</w:t>
      </w:r>
    </w:p>
    <w:p>
      <w:pPr>
        <w:widowControl/>
        <w:adjustRightInd w:val="0"/>
        <w:snapToGrid w:val="0"/>
        <w:spacing w:line="380" w:lineRule="exact"/>
        <w:ind w:firstLine="420" w:firstLineChars="200"/>
        <w:jc w:val="left"/>
        <w:rPr>
          <w:rFonts w:ascii="宋体" w:hAnsi="宋体"/>
          <w:bCs/>
          <w:color w:val="auto"/>
          <w:szCs w:val="21"/>
          <w:highlight w:val="none"/>
        </w:rPr>
      </w:pPr>
      <w:r>
        <w:rPr>
          <w:rFonts w:hint="eastAsia" w:ascii="宋体" w:hAnsi="宋体" w:cs="宋体"/>
          <w:color w:val="auto"/>
          <w:kern w:val="0"/>
          <w:szCs w:val="21"/>
          <w:highlight w:val="none"/>
        </w:rPr>
        <w:t>31.3</w:t>
      </w:r>
      <w:r>
        <w:rPr>
          <w:rFonts w:hint="eastAsia" w:ascii="宋体" w:hAnsi="宋体"/>
          <w:color w:val="auto"/>
          <w:szCs w:val="21"/>
          <w:highlight w:val="none"/>
        </w:rPr>
        <w:t>最后报价调整。磋商小组以各供应商最后报价为基础，按照符合政府采购支持小微企业、福利和监狱企业发展的相应条件，对供应商的最后报价进行价格扣除，用扣除后的最后报价计算价格得分，具体价格扣除比例见</w:t>
      </w:r>
      <w:r>
        <w:rPr>
          <w:rFonts w:hint="eastAsia" w:ascii="宋体" w:hAnsi="宋体"/>
          <w:b/>
          <w:color w:val="auto"/>
          <w:szCs w:val="21"/>
          <w:highlight w:val="none"/>
        </w:rPr>
        <w:t>磋商须知前附表</w:t>
      </w:r>
      <w:r>
        <w:rPr>
          <w:rFonts w:hint="eastAsia" w:ascii="宋体" w:hAnsi="宋体"/>
          <w:color w:val="auto"/>
          <w:szCs w:val="21"/>
          <w:highlight w:val="none"/>
        </w:rPr>
        <w:t>。</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磋商报价得分=（磋商基准价/最后磋商报价）×价格权值×100</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项目评审过程中，不得去掉最后报价中的最高报价和最低报价。</w:t>
      </w:r>
    </w:p>
    <w:p>
      <w:pPr>
        <w:widowControl/>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bCs/>
          <w:color w:val="auto"/>
          <w:szCs w:val="21"/>
          <w:highlight w:val="none"/>
        </w:rPr>
        <w:t>31.5</w:t>
      </w:r>
      <w:r>
        <w:rPr>
          <w:rFonts w:hint="eastAsia" w:ascii="宋体" w:hAnsi="宋体"/>
          <w:color w:val="auto"/>
          <w:szCs w:val="21"/>
          <w:highlight w:val="none"/>
        </w:rPr>
        <w:t>涉及政府采购政策优惠对供应商分值进行调整的，</w:t>
      </w:r>
      <w:r>
        <w:rPr>
          <w:rFonts w:hint="eastAsia" w:ascii="宋体" w:hAnsi="宋体"/>
          <w:bCs/>
          <w:color w:val="auto"/>
          <w:szCs w:val="21"/>
          <w:highlight w:val="none"/>
        </w:rPr>
        <w:t>按</w:t>
      </w:r>
      <w:r>
        <w:rPr>
          <w:rFonts w:hint="eastAsia" w:ascii="宋体" w:hAnsi="宋体"/>
          <w:b/>
          <w:color w:val="auto"/>
          <w:szCs w:val="21"/>
          <w:highlight w:val="none"/>
        </w:rPr>
        <w:t>磋商须知前附表</w:t>
      </w:r>
      <w:r>
        <w:rPr>
          <w:rFonts w:hint="eastAsia" w:ascii="宋体" w:hAnsi="宋体"/>
          <w:bCs/>
          <w:color w:val="auto"/>
          <w:szCs w:val="21"/>
          <w:highlight w:val="none"/>
        </w:rPr>
        <w:t>规定</w:t>
      </w:r>
      <w:r>
        <w:rPr>
          <w:rFonts w:hint="eastAsia" w:ascii="宋体" w:hAnsi="宋体"/>
          <w:color w:val="auto"/>
          <w:szCs w:val="21"/>
          <w:highlight w:val="none"/>
        </w:rPr>
        <w:t>调整供应商的技术、商务、价格</w:t>
      </w:r>
      <w:r>
        <w:rPr>
          <w:rFonts w:hint="eastAsia" w:ascii="宋体" w:hAnsi="宋体" w:cs="宋体"/>
          <w:color w:val="auto"/>
          <w:kern w:val="0"/>
          <w:szCs w:val="21"/>
          <w:highlight w:val="none"/>
        </w:rPr>
        <w:t>得分或总得分</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31.6涉及多处或部分获得政府采购政策优惠的，其多处或部分享受政府采购优惠政策的计算方法见</w:t>
      </w:r>
      <w:r>
        <w:rPr>
          <w:rFonts w:hint="eastAsia" w:ascii="宋体" w:hAnsi="宋体"/>
          <w:b/>
          <w:color w:val="auto"/>
          <w:szCs w:val="21"/>
          <w:highlight w:val="none"/>
        </w:rPr>
        <w:t>磋商须知前附表</w:t>
      </w:r>
      <w:r>
        <w:rPr>
          <w:rFonts w:hint="eastAsia" w:ascii="宋体" w:hAnsi="宋体"/>
          <w:color w:val="auto"/>
          <w:szCs w:val="21"/>
          <w:highlight w:val="none"/>
        </w:rPr>
        <w:t>相关规定。</w:t>
      </w:r>
    </w:p>
    <w:p>
      <w:pPr>
        <w:widowControl/>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s="宋体"/>
          <w:color w:val="auto"/>
          <w:kern w:val="0"/>
          <w:szCs w:val="21"/>
          <w:highlight w:val="none"/>
        </w:rPr>
        <w:t>31.7</w:t>
      </w:r>
      <w:r>
        <w:rPr>
          <w:rFonts w:hint="eastAsia" w:ascii="宋体" w:hAnsi="宋体"/>
          <w:color w:val="auto"/>
          <w:szCs w:val="21"/>
          <w:highlight w:val="none"/>
        </w:rPr>
        <w:t>评审时，磋商小组各成员应当独立对每个供应商的</w:t>
      </w:r>
      <w:r>
        <w:rPr>
          <w:rFonts w:hint="eastAsia" w:ascii="宋体" w:hAnsi="宋体"/>
          <w:bCs/>
          <w:color w:val="auto"/>
          <w:szCs w:val="21"/>
          <w:highlight w:val="none"/>
        </w:rPr>
        <w:t>响应文件</w:t>
      </w:r>
      <w:r>
        <w:rPr>
          <w:rFonts w:hint="eastAsia" w:ascii="宋体" w:hAnsi="宋体"/>
          <w:color w:val="auto"/>
          <w:szCs w:val="21"/>
          <w:highlight w:val="none"/>
        </w:rPr>
        <w:t>进行评价、评分，并按照政府采购优惠政策对最后报价进行价格扣除和技术、商务、价格加分后，汇总各供应商的总得分。</w:t>
      </w:r>
    </w:p>
    <w:p>
      <w:pPr>
        <w:widowControl/>
        <w:adjustRightInd w:val="0"/>
        <w:snapToGrid w:val="0"/>
        <w:spacing w:line="380" w:lineRule="exact"/>
        <w:jc w:val="left"/>
        <w:rPr>
          <w:rFonts w:ascii="宋体" w:hAnsi="宋体"/>
          <w:b/>
          <w:bCs/>
          <w:color w:val="auto"/>
          <w:szCs w:val="21"/>
          <w:highlight w:val="none"/>
        </w:rPr>
      </w:pPr>
      <w:r>
        <w:rPr>
          <w:rFonts w:hint="eastAsia" w:ascii="宋体" w:hAnsi="宋体"/>
          <w:b/>
          <w:bCs/>
          <w:color w:val="auto"/>
          <w:szCs w:val="21"/>
          <w:highlight w:val="none"/>
        </w:rPr>
        <w:t>32</w:t>
      </w:r>
      <w:r>
        <w:rPr>
          <w:rFonts w:hint="eastAsia" w:ascii="宋体" w:hAnsi="宋体" w:cs="宋体"/>
          <w:b/>
          <w:color w:val="auto"/>
          <w:kern w:val="0"/>
          <w:szCs w:val="21"/>
          <w:highlight w:val="none"/>
        </w:rPr>
        <w:t>.</w:t>
      </w:r>
      <w:r>
        <w:rPr>
          <w:rFonts w:hint="eastAsia" w:ascii="宋体" w:hAnsi="宋体"/>
          <w:b/>
          <w:bCs/>
          <w:color w:val="auto"/>
          <w:szCs w:val="21"/>
          <w:highlight w:val="none"/>
        </w:rPr>
        <w:t>提出成交供应商</w:t>
      </w:r>
    </w:p>
    <w:p>
      <w:pPr>
        <w:widowControl/>
        <w:spacing w:line="380" w:lineRule="exact"/>
        <w:jc w:val="center"/>
        <w:rPr>
          <w:rFonts w:ascii="宋体" w:hAnsi="宋体"/>
          <w:bCs/>
          <w:color w:val="auto"/>
          <w:szCs w:val="21"/>
          <w:highlight w:val="none"/>
        </w:rPr>
      </w:pPr>
      <w:r>
        <w:rPr>
          <w:rFonts w:hint="eastAsia" w:ascii="宋体" w:hAnsi="宋体" w:cs="宋体"/>
          <w:color w:val="auto"/>
          <w:kern w:val="0"/>
          <w:szCs w:val="21"/>
          <w:highlight w:val="none"/>
        </w:rPr>
        <w:t xml:space="preserve">    32.1</w:t>
      </w:r>
      <w:r>
        <w:rPr>
          <w:rFonts w:hint="eastAsia" w:ascii="宋体" w:hAnsi="宋体"/>
          <w:bCs/>
          <w:color w:val="auto"/>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380" w:lineRule="exact"/>
        <w:rPr>
          <w:rFonts w:ascii="宋体" w:hAnsi="宋体"/>
          <w:bCs/>
          <w:color w:val="auto"/>
          <w:szCs w:val="21"/>
          <w:highlight w:val="none"/>
        </w:rPr>
      </w:pPr>
      <w:r>
        <w:rPr>
          <w:rFonts w:hint="eastAsia" w:ascii="宋体" w:hAnsi="宋体"/>
          <w:bCs/>
          <w:color w:val="auto"/>
          <w:szCs w:val="21"/>
          <w:highlight w:val="none"/>
        </w:rPr>
        <w:t>库〔2014〕214号)</w:t>
      </w:r>
      <w:r>
        <w:rPr>
          <w:rFonts w:hint="eastAsia" w:ascii="宋体" w:hAnsi="宋体" w:cs="宋体"/>
          <w:color w:val="auto"/>
          <w:kern w:val="0"/>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bCs/>
          <w:color w:val="auto"/>
          <w:szCs w:val="21"/>
          <w:highlight w:val="none"/>
        </w:rPr>
        <w:t>可以推荐2家成交候选供应商。</w:t>
      </w:r>
    </w:p>
    <w:p>
      <w:pPr>
        <w:widowControl/>
        <w:spacing w:line="380" w:lineRule="exact"/>
        <w:rPr>
          <w:rFonts w:ascii="宋体" w:hAnsi="宋体" w:cs="宋体"/>
          <w:color w:val="auto"/>
          <w:kern w:val="0"/>
          <w:szCs w:val="21"/>
          <w:highlight w:val="none"/>
        </w:rPr>
      </w:pPr>
    </w:p>
    <w:p>
      <w:pPr>
        <w:tabs>
          <w:tab w:val="left" w:pos="0"/>
        </w:tabs>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33.确定成交供应商</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33.1采购代理机构应当在评审结束后2个工作日内将评审报告送采购人确认。</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3"/>
        <w:adjustRightInd w:val="0"/>
        <w:snapToGrid w:val="0"/>
        <w:spacing w:line="380" w:lineRule="exact"/>
        <w:ind w:left="632" w:hanging="632" w:hangingChars="300"/>
        <w:rPr>
          <w:rFonts w:hAnsi="宋体"/>
          <w:b/>
          <w:color w:val="auto"/>
          <w:highlight w:val="none"/>
        </w:rPr>
      </w:pPr>
      <w:r>
        <w:rPr>
          <w:rFonts w:hint="eastAsia" w:hAnsi="宋体"/>
          <w:b/>
          <w:color w:val="auto"/>
          <w:highlight w:val="none"/>
        </w:rPr>
        <w:t>34.磋商终止</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bCs/>
          <w:color w:val="auto"/>
          <w:szCs w:val="21"/>
          <w:highlight w:val="none"/>
        </w:rPr>
        <w:t>34.1</w:t>
      </w:r>
      <w:r>
        <w:rPr>
          <w:rFonts w:hint="eastAsia" w:ascii="宋体" w:hAnsi="宋体" w:cs="宋体"/>
          <w:color w:val="auto"/>
          <w:kern w:val="0"/>
          <w:szCs w:val="21"/>
          <w:highlight w:val="none"/>
        </w:rPr>
        <w:t>出现下列情形之一的，采购人或者采购代理机构应当终止竞争性磋商采购活动，</w:t>
      </w:r>
      <w:r>
        <w:rPr>
          <w:rFonts w:hint="eastAsia" w:ascii="宋体" w:hAnsi="宋体"/>
          <w:color w:val="auto"/>
          <w:highlight w:val="none"/>
        </w:rPr>
        <w:t>在本章第37.1款指定的媒体上</w:t>
      </w:r>
      <w:r>
        <w:rPr>
          <w:rFonts w:hint="eastAsia" w:ascii="宋体" w:hAnsi="宋体" w:cs="宋体"/>
          <w:color w:val="auto"/>
          <w:kern w:val="0"/>
          <w:szCs w:val="21"/>
          <w:highlight w:val="none"/>
        </w:rPr>
        <w:t xml:space="preserve">发布项目终止公告并说明原因，重新开展采购活动： </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（1）因情况变化，不再符合规定的竞争性磋商采购方式适用情形的；</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（2）出现影响采购公正的违法、违规行为的；</w:t>
      </w:r>
    </w:p>
    <w:p>
      <w:pPr>
        <w:widowControl/>
        <w:adjustRightInd w:val="0"/>
        <w:snapToGrid w:val="0"/>
        <w:spacing w:line="380" w:lineRule="exact"/>
        <w:ind w:firstLine="420"/>
        <w:jc w:val="left"/>
        <w:rPr>
          <w:rFonts w:ascii="宋体" w:hAnsi="宋体"/>
          <w:bCs/>
          <w:color w:val="auto"/>
          <w:szCs w:val="21"/>
          <w:highlight w:val="none"/>
        </w:rPr>
      </w:pPr>
      <w:r>
        <w:rPr>
          <w:rFonts w:hint="eastAsia" w:ascii="宋体" w:hAnsi="宋体" w:cs="宋体"/>
          <w:color w:val="auto"/>
          <w:kern w:val="0"/>
          <w:szCs w:val="21"/>
          <w:highlight w:val="none"/>
        </w:rPr>
        <w:t>（3）</w:t>
      </w:r>
      <w:r>
        <w:rPr>
          <w:rFonts w:hint="eastAsia" w:ascii="宋体" w:hAnsi="宋体"/>
          <w:bCs/>
          <w:color w:val="auto"/>
          <w:szCs w:val="21"/>
          <w:highlight w:val="none"/>
        </w:rPr>
        <w:t>除《政府采购竞争性磋商采购方式管理暂行办法》(财库〔2014〕214号)</w:t>
      </w:r>
      <w:r>
        <w:rPr>
          <w:rFonts w:hint="eastAsia" w:ascii="宋体" w:hAnsi="宋体" w:cs="宋体"/>
          <w:color w:val="auto"/>
          <w:kern w:val="0"/>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bCs/>
          <w:color w:val="auto"/>
          <w:szCs w:val="21"/>
          <w:highlight w:val="none"/>
        </w:rPr>
        <w:t>情形外，在采购过程中符合要求的供应商或者报价未超过采购预算的供应商不足3家的；</w:t>
      </w:r>
    </w:p>
    <w:p>
      <w:pPr>
        <w:widowControl/>
        <w:adjustRightInd w:val="0"/>
        <w:snapToGrid w:val="0"/>
        <w:spacing w:line="380" w:lineRule="exact"/>
        <w:ind w:firstLine="420"/>
        <w:jc w:val="left"/>
        <w:rPr>
          <w:rFonts w:ascii="宋体" w:hAnsi="宋体"/>
          <w:bCs/>
          <w:color w:val="auto"/>
          <w:szCs w:val="21"/>
          <w:highlight w:val="none"/>
        </w:rPr>
      </w:pPr>
      <w:r>
        <w:rPr>
          <w:rFonts w:hint="eastAsia" w:ascii="宋体" w:hAnsi="宋体" w:cs="宋体"/>
          <w:color w:val="auto"/>
          <w:kern w:val="0"/>
          <w:szCs w:val="21"/>
          <w:highlight w:val="none"/>
        </w:rPr>
        <w:t>（4）因重大变故，采购任务取消的。</w:t>
      </w:r>
    </w:p>
    <w:p>
      <w:pPr>
        <w:widowControl/>
        <w:adjustRightInd w:val="0"/>
        <w:snapToGrid w:val="0"/>
        <w:spacing w:line="380" w:lineRule="exact"/>
        <w:jc w:val="left"/>
        <w:rPr>
          <w:rFonts w:ascii="宋体" w:hAnsi="宋体" w:cs="宋体"/>
          <w:b/>
          <w:color w:val="auto"/>
          <w:kern w:val="0"/>
          <w:szCs w:val="21"/>
          <w:highlight w:val="none"/>
        </w:rPr>
      </w:pPr>
      <w:r>
        <w:rPr>
          <w:rFonts w:hint="eastAsia" w:ascii="宋体" w:hAnsi="宋体" w:cs="宋体"/>
          <w:b/>
          <w:color w:val="auto"/>
          <w:kern w:val="0"/>
          <w:szCs w:val="21"/>
          <w:highlight w:val="none"/>
        </w:rPr>
        <w:t>35．重新评审</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36.保密及串通行为</w:t>
      </w:r>
    </w:p>
    <w:p>
      <w:pPr>
        <w:adjustRightInd w:val="0"/>
        <w:snapToGrid w:val="0"/>
        <w:spacing w:line="380" w:lineRule="exact"/>
        <w:ind w:firstLine="420" w:firstLineChars="200"/>
        <w:rPr>
          <w:rFonts w:ascii="宋体" w:hAnsi="宋体"/>
          <w:color w:val="auto"/>
          <w:highlight w:val="none"/>
        </w:rPr>
      </w:pPr>
      <w:r>
        <w:rPr>
          <w:rFonts w:hint="eastAsia" w:ascii="宋体" w:hAnsi="宋体"/>
          <w:color w:val="auto"/>
          <w:highlight w:val="none"/>
        </w:rPr>
        <w:t>36.1磋商小组成员以及与评审工作有关的人员不得泄露评审情况以及评审过程中获悉的国家秘密、商业秘密。</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36.2</w:t>
      </w:r>
      <w:r>
        <w:rPr>
          <w:rFonts w:hint="eastAsia" w:ascii="宋体" w:hAnsi="宋体" w:cs="宋体"/>
          <w:color w:val="auto"/>
          <w:kern w:val="0"/>
          <w:szCs w:val="21"/>
          <w:highlight w:val="none"/>
        </w:rPr>
        <w:t>供应商</w:t>
      </w:r>
      <w:r>
        <w:rPr>
          <w:rFonts w:hint="eastAsia" w:ascii="宋体" w:hAnsi="宋体"/>
          <w:color w:val="auto"/>
          <w:szCs w:val="21"/>
          <w:highlight w:val="none"/>
        </w:rPr>
        <w:t>不得与</w:t>
      </w:r>
      <w:r>
        <w:rPr>
          <w:rFonts w:hint="eastAsia" w:ascii="宋体" w:hAnsi="宋体" w:cs="宋体"/>
          <w:color w:val="auto"/>
          <w:kern w:val="0"/>
          <w:szCs w:val="21"/>
          <w:highlight w:val="none"/>
        </w:rPr>
        <w:t>采购人、采购代理机构、其他供应商恶意</w:t>
      </w:r>
      <w:r>
        <w:rPr>
          <w:rFonts w:hint="eastAsia" w:ascii="宋体" w:hAnsi="宋体"/>
          <w:color w:val="auto"/>
          <w:szCs w:val="21"/>
          <w:highlight w:val="none"/>
        </w:rPr>
        <w:t>串通；不得向</w:t>
      </w:r>
      <w:r>
        <w:rPr>
          <w:rFonts w:hint="eastAsia" w:ascii="宋体" w:hAnsi="宋体" w:cs="宋体"/>
          <w:color w:val="auto"/>
          <w:kern w:val="0"/>
          <w:szCs w:val="21"/>
          <w:highlight w:val="none"/>
        </w:rPr>
        <w:t>采购人、采购代理机构</w:t>
      </w:r>
      <w:r>
        <w:rPr>
          <w:rFonts w:hint="eastAsia" w:ascii="宋体" w:hAnsi="宋体"/>
          <w:color w:val="auto"/>
          <w:szCs w:val="21"/>
          <w:highlight w:val="none"/>
        </w:rPr>
        <w:t>或者磋商小组成员行贿或者提供其他不正当利益；不得提供虚假资料谋取成交；不得以任何方式干扰、影响采购工作。</w:t>
      </w:r>
    </w:p>
    <w:p>
      <w:pPr>
        <w:pStyle w:val="37"/>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s="Arial"/>
          <w:color w:val="auto"/>
          <w:sz w:val="21"/>
          <w:szCs w:val="21"/>
          <w:highlight w:val="none"/>
        </w:rPr>
        <w:t>36.3</w:t>
      </w:r>
      <w:r>
        <w:rPr>
          <w:rFonts w:hint="eastAsia"/>
          <w:color w:val="auto"/>
          <w:sz w:val="21"/>
          <w:szCs w:val="21"/>
          <w:highlight w:val="none"/>
          <w:lang w:val="zh-CN"/>
        </w:rPr>
        <w:t>有下列情形之一的，属于恶意串通，对供应商依照政府采购法第七十七条第一款的规定追究法律责任：</w:t>
      </w:r>
    </w:p>
    <w:p>
      <w:pPr>
        <w:pStyle w:val="37"/>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（一）供应商直接或者间接从采购人或者采购代理机构处获得其他供应商的相关情况并修改其投标文件或者响应文件；</w:t>
      </w:r>
    </w:p>
    <w:p>
      <w:pPr>
        <w:pStyle w:val="37"/>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（二）供应商按照采购人或者采购代理机构的授意撤换、修改投标文件或者响应文件；</w:t>
      </w:r>
    </w:p>
    <w:p>
      <w:pPr>
        <w:pStyle w:val="37"/>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（三）供应商之间协商报价、技术方案等投标文件或者响应文件的实质性内容；</w:t>
      </w:r>
    </w:p>
    <w:p>
      <w:pPr>
        <w:pStyle w:val="37"/>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（四）属于同一集团、协会、商会等组织成员的供应商按照该组织要求协同参加政府采购活动；</w:t>
      </w:r>
    </w:p>
    <w:p>
      <w:pPr>
        <w:pStyle w:val="37"/>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（五）供应商之间事先约定由某一特定供应商中标、成交；</w:t>
      </w:r>
    </w:p>
    <w:p>
      <w:pPr>
        <w:pStyle w:val="37"/>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（六）供应商之间商定部分供应商放弃参加政府采购活动或者放弃中标、成交；</w:t>
      </w:r>
    </w:p>
    <w:p>
      <w:pPr>
        <w:pStyle w:val="37"/>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（七）供应商与采购人或者采购代理机构之间、供应商相互之间，为谋求特定供应商中标、成交或者排斥其他供应商的其他串通行为。</w:t>
      </w: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六、成交结果信息公布与授予合同</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37.成交信息的公布</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37.1成交供应商确定后2个工作日内，成交结果信息将在</w:t>
      </w:r>
      <w:r>
        <w:rPr>
          <w:rFonts w:hint="eastAsia" w:hAnsi="宋体"/>
          <w:b/>
          <w:color w:val="auto"/>
          <w:highlight w:val="none"/>
        </w:rPr>
        <w:t>磋商须知前附表</w:t>
      </w:r>
      <w:r>
        <w:rPr>
          <w:rFonts w:hint="eastAsia" w:hAnsi="宋体"/>
          <w:color w:val="auto"/>
          <w:highlight w:val="none"/>
        </w:rPr>
        <w:t>指定的媒体上公布。</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38.询问及质疑</w:t>
      </w:r>
    </w:p>
    <w:p>
      <w:pPr>
        <w:adjustRightInd w:val="0"/>
        <w:snapToGrid w:val="0"/>
        <w:spacing w:line="380" w:lineRule="exact"/>
        <w:ind w:firstLine="420" w:firstLineChars="200"/>
        <w:jc w:val="left"/>
        <w:rPr>
          <w:rFonts w:hAnsi="宋体"/>
          <w:color w:val="auto"/>
          <w:highlight w:val="none"/>
        </w:rPr>
      </w:pPr>
      <w:r>
        <w:rPr>
          <w:rFonts w:hint="eastAsia" w:ascii="宋体" w:hAnsi="宋体"/>
          <w:color w:val="auto"/>
          <w:szCs w:val="21"/>
          <w:highlight w:val="none"/>
        </w:rPr>
        <w:t>38.1供应商对政府采购活动事项有疑问的，可以向采购人或采购代理机构提出询问。</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38.2供应商若认为磋商文件、采购过程和成交结果使自己的权益受到损害，可以按法律、行政法规及湖南省财政厅规范性文件规定向采购人或采购代理机构提出质疑，供应商在法定质疑期内一次性提出针对统一采购程序环节的质疑。</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39.成交通知</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39.1成交供应商确定后，采购人或采购代理机构将以书面形式向成交供应商发出成交通知书。成交通知书对采购人和成交供应商具有同等法律效力。</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39.2 成交通知书是合同文件的组成部分。</w:t>
      </w:r>
    </w:p>
    <w:p>
      <w:pPr>
        <w:tabs>
          <w:tab w:val="left" w:pos="7560"/>
          <w:tab w:val="left" w:pos="7740"/>
          <w:tab w:val="left" w:pos="7920"/>
        </w:tabs>
        <w:autoSpaceDN w:val="0"/>
        <w:adjustRightInd w:val="0"/>
        <w:snapToGrid w:val="0"/>
        <w:spacing w:line="380" w:lineRule="exact"/>
        <w:ind w:firstLine="420" w:firstLineChars="200"/>
        <w:rPr>
          <w:rFonts w:ascii="宋体" w:hAnsi="宋体"/>
          <w:color w:val="auto"/>
          <w:szCs w:val="21"/>
          <w:highlight w:val="none"/>
        </w:rPr>
      </w:pPr>
      <w:r>
        <w:rPr>
          <w:rFonts w:hint="eastAsia" w:ascii="宋体" w:hAnsi="宋体" w:cs="宋体"/>
          <w:color w:val="auto"/>
          <w:kern w:val="0"/>
          <w:szCs w:val="21"/>
          <w:highlight w:val="none"/>
        </w:rPr>
        <w:t xml:space="preserve">39.3 </w:t>
      </w:r>
      <w:r>
        <w:rPr>
          <w:rFonts w:hint="eastAsia" w:ascii="宋体" w:hAnsi="宋体"/>
          <w:color w:val="auto"/>
          <w:szCs w:val="21"/>
          <w:highlight w:val="none"/>
        </w:rPr>
        <w:t>成交供应商在收到采购代理机构的成交通知书后10日内，应按照</w:t>
      </w:r>
      <w:r>
        <w:rPr>
          <w:rFonts w:hint="eastAsia" w:ascii="宋体" w:hAnsi="宋体"/>
          <w:b/>
          <w:color w:val="auto"/>
          <w:szCs w:val="21"/>
          <w:highlight w:val="none"/>
        </w:rPr>
        <w:t>磋商须知前附表</w:t>
      </w:r>
      <w:r>
        <w:rPr>
          <w:rFonts w:hint="eastAsia" w:ascii="宋体" w:hAnsi="宋体"/>
          <w:color w:val="auto"/>
          <w:szCs w:val="21"/>
          <w:highlight w:val="none"/>
        </w:rPr>
        <w:t>的规定，向采购人提交履约担保。联合体成交的，履约担保由联合体各方或联合体中牵头人的名义提交。</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39.4 成交供应商</w:t>
      </w:r>
      <w:r>
        <w:rPr>
          <w:rFonts w:hint="eastAsia" w:hAnsi="宋体"/>
          <w:color w:val="auto"/>
          <w:spacing w:val="4"/>
          <w:highlight w:val="none"/>
        </w:rPr>
        <w:t>没有按照本章第39.3</w:t>
      </w:r>
      <w:r>
        <w:rPr>
          <w:rFonts w:hint="eastAsia" w:hAnsi="宋体" w:cs="宋体"/>
          <w:color w:val="auto"/>
          <w:kern w:val="0"/>
          <w:highlight w:val="none"/>
          <w:lang w:val="zh-CN"/>
        </w:rPr>
        <w:t>款</w:t>
      </w:r>
      <w:r>
        <w:rPr>
          <w:rFonts w:hint="eastAsia" w:hAnsi="宋体"/>
          <w:color w:val="auto"/>
          <w:spacing w:val="4"/>
          <w:highlight w:val="none"/>
        </w:rPr>
        <w:t>规定</w:t>
      </w:r>
      <w:r>
        <w:rPr>
          <w:rFonts w:hint="eastAsia" w:hAnsi="宋体"/>
          <w:color w:val="auto"/>
          <w:highlight w:val="none"/>
        </w:rPr>
        <w:t>提交履约担保的</w:t>
      </w:r>
      <w:r>
        <w:rPr>
          <w:rFonts w:hint="eastAsia" w:hAnsi="宋体"/>
          <w:color w:val="auto"/>
          <w:spacing w:val="4"/>
          <w:highlight w:val="none"/>
        </w:rPr>
        <w:t>，视为放弃</w:t>
      </w:r>
      <w:r>
        <w:rPr>
          <w:rFonts w:hint="eastAsia" w:hAnsi="宋体"/>
          <w:color w:val="auto"/>
          <w:highlight w:val="none"/>
        </w:rPr>
        <w:t>成交资格</w:t>
      </w:r>
      <w:r>
        <w:rPr>
          <w:rFonts w:hint="eastAsia" w:hAnsi="宋体"/>
          <w:color w:val="auto"/>
          <w:spacing w:val="4"/>
          <w:highlight w:val="none"/>
        </w:rPr>
        <w:t>，</w:t>
      </w:r>
      <w:r>
        <w:rPr>
          <w:rFonts w:hint="eastAsia" w:hAnsi="宋体"/>
          <w:color w:val="auto"/>
          <w:spacing w:val="2"/>
          <w:highlight w:val="none"/>
        </w:rPr>
        <w:t>其保证金不予退还。</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40.签订合同</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40.1成交供应商应当在成交通知书发出之日起30日内与采购人签订政府采购合同。</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40.2磋商文件、成交供应商的响应文件等均为签订政府采购合同的依据。</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40.3 成交供应商应当按照合同约定履行义务。成交供应商不得向他人转让成交项目，也不得将成交项目分包后分别向他人转让。</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40.4 成交供应商有下列情形之一的，责令限期改正，情节严重的，列入不良行为记录名单，在1至3年内禁止参加政府采购活动，并予以通报：</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（一）成交后无正当理由不与采购人签订合同的；</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（二）未按照采购文件确定的事项签订政府采购合同，或者与采购人另行订立背离合同实质性内容的协议的；</w:t>
      </w:r>
    </w:p>
    <w:p>
      <w:pPr>
        <w:pStyle w:val="23"/>
        <w:adjustRightInd w:val="0"/>
        <w:snapToGrid w:val="0"/>
        <w:spacing w:line="380" w:lineRule="exact"/>
        <w:ind w:firstLine="420" w:firstLineChars="200"/>
        <w:rPr>
          <w:rFonts w:hAnsi="宋体"/>
          <w:color w:val="auto"/>
          <w:highlight w:val="none"/>
        </w:rPr>
      </w:pPr>
      <w:r>
        <w:rPr>
          <w:rFonts w:hint="eastAsia" w:hAnsi="宋体"/>
          <w:color w:val="auto"/>
          <w:highlight w:val="none"/>
        </w:rPr>
        <w:t>（三）拒绝履行合同义务的；</w:t>
      </w:r>
    </w:p>
    <w:p>
      <w:pPr>
        <w:pStyle w:val="23"/>
        <w:adjustRightInd w:val="0"/>
        <w:snapToGrid w:val="0"/>
        <w:spacing w:line="380" w:lineRule="exact"/>
        <w:ind w:firstLine="420" w:firstLineChars="200"/>
        <w:rPr>
          <w:rFonts w:hAnsi="宋体" w:cs="宋体"/>
          <w:color w:val="auto"/>
          <w:kern w:val="0"/>
          <w:highlight w:val="none"/>
        </w:rPr>
      </w:pPr>
      <w:r>
        <w:rPr>
          <w:rFonts w:hint="eastAsia" w:hAnsi="宋体"/>
          <w:color w:val="auto"/>
          <w:highlight w:val="none"/>
        </w:rPr>
        <w:t>（四）</w:t>
      </w:r>
      <w:r>
        <w:rPr>
          <w:rFonts w:hint="eastAsia" w:hAnsi="宋体" w:cs="宋体"/>
          <w:color w:val="auto"/>
          <w:kern w:val="0"/>
          <w:highlight w:val="none"/>
        </w:rPr>
        <w:t>违反法律、规章、规范性文件规定的。</w:t>
      </w:r>
    </w:p>
    <w:p>
      <w:pPr>
        <w:adjustRightInd w:val="0"/>
        <w:snapToGrid w:val="0"/>
        <w:spacing w:line="380" w:lineRule="exact"/>
        <w:jc w:val="center"/>
        <w:rPr>
          <w:rFonts w:ascii="黑体" w:hAnsi="宋体" w:eastAsia="黑体"/>
          <w:b/>
          <w:bCs/>
          <w:color w:val="auto"/>
          <w:sz w:val="24"/>
          <w:highlight w:val="none"/>
        </w:rPr>
      </w:pPr>
    </w:p>
    <w:p>
      <w:pPr>
        <w:adjustRightInd w:val="0"/>
        <w:snapToGrid w:val="0"/>
        <w:spacing w:line="380" w:lineRule="exact"/>
        <w:jc w:val="center"/>
        <w:rPr>
          <w:rFonts w:ascii="黑体" w:hAnsi="宋体" w:eastAsia="黑体"/>
          <w:b/>
          <w:bCs/>
          <w:color w:val="auto"/>
          <w:sz w:val="24"/>
          <w:highlight w:val="none"/>
        </w:rPr>
      </w:pP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七、其他规定</w:t>
      </w:r>
    </w:p>
    <w:p>
      <w:pPr>
        <w:adjustRightInd w:val="0"/>
        <w:snapToGrid w:val="0"/>
        <w:spacing w:line="380" w:lineRule="exact"/>
        <w:jc w:val="left"/>
        <w:rPr>
          <w:rFonts w:ascii="宋体" w:hAnsi="宋体"/>
          <w:b/>
          <w:color w:val="auto"/>
          <w:szCs w:val="21"/>
          <w:highlight w:val="none"/>
        </w:rPr>
      </w:pPr>
      <w:r>
        <w:rPr>
          <w:rFonts w:hint="eastAsia" w:ascii="宋体" w:hAnsi="宋体"/>
          <w:b/>
          <w:color w:val="auto"/>
          <w:szCs w:val="21"/>
          <w:highlight w:val="none"/>
        </w:rPr>
        <w:t>41.1采购代理服务费</w:t>
      </w:r>
    </w:p>
    <w:p>
      <w:pPr>
        <w:tabs>
          <w:tab w:val="left" w:pos="420"/>
          <w:tab w:val="left" w:pos="7560"/>
          <w:tab w:val="left" w:pos="7740"/>
          <w:tab w:val="left" w:pos="7920"/>
        </w:tabs>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41.1采购代理机构应按</w:t>
      </w:r>
      <w:r>
        <w:rPr>
          <w:rFonts w:hint="eastAsia" w:ascii="宋体" w:hAnsi="宋体"/>
          <w:b/>
          <w:color w:val="auto"/>
          <w:szCs w:val="21"/>
          <w:highlight w:val="none"/>
        </w:rPr>
        <w:t>磋商须知前附表</w:t>
      </w:r>
      <w:r>
        <w:rPr>
          <w:rFonts w:hint="eastAsia" w:ascii="宋体" w:hAnsi="宋体"/>
          <w:color w:val="auto"/>
          <w:szCs w:val="21"/>
          <w:highlight w:val="none"/>
        </w:rPr>
        <w:t>规定收取采购代理服务费。</w:t>
      </w:r>
    </w:p>
    <w:p>
      <w:pPr>
        <w:tabs>
          <w:tab w:val="left" w:pos="420"/>
          <w:tab w:val="left" w:pos="7560"/>
          <w:tab w:val="left" w:pos="7740"/>
          <w:tab w:val="left" w:pos="7920"/>
        </w:tabs>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41.2集中采购机构不得收取采购代理服务费。</w:t>
      </w:r>
    </w:p>
    <w:p>
      <w:pPr>
        <w:tabs>
          <w:tab w:val="left" w:pos="420"/>
          <w:tab w:val="left" w:pos="7560"/>
          <w:tab w:val="left" w:pos="7740"/>
          <w:tab w:val="left" w:pos="7920"/>
        </w:tabs>
        <w:adjustRightInd w:val="0"/>
        <w:snapToGrid w:val="0"/>
        <w:spacing w:line="380" w:lineRule="exact"/>
        <w:rPr>
          <w:rFonts w:hAnsi="宋体"/>
          <w:b/>
          <w:color w:val="auto"/>
          <w:highlight w:val="none"/>
        </w:rPr>
      </w:pPr>
      <w:r>
        <w:rPr>
          <w:rFonts w:hint="eastAsia" w:ascii="宋体" w:hAnsi="宋体"/>
          <w:b/>
          <w:color w:val="auto"/>
          <w:szCs w:val="21"/>
          <w:highlight w:val="none"/>
        </w:rPr>
        <w:t>42.</w:t>
      </w:r>
      <w:r>
        <w:rPr>
          <w:rFonts w:hint="eastAsia" w:hAnsi="宋体"/>
          <w:b/>
          <w:color w:val="auto"/>
          <w:highlight w:val="none"/>
        </w:rPr>
        <w:t xml:space="preserve"> 其他规定</w:t>
      </w:r>
    </w:p>
    <w:p>
      <w:pPr>
        <w:tabs>
          <w:tab w:val="left" w:pos="420"/>
          <w:tab w:val="left" w:pos="7560"/>
          <w:tab w:val="left" w:pos="7740"/>
          <w:tab w:val="left" w:pos="7920"/>
        </w:tabs>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highlight w:val="none"/>
        </w:rPr>
        <w:t>42.1</w:t>
      </w:r>
      <w:r>
        <w:rPr>
          <w:rFonts w:hint="eastAsia" w:ascii="宋体" w:hAnsi="宋体"/>
          <w:color w:val="auto"/>
          <w:szCs w:val="21"/>
          <w:highlight w:val="none"/>
        </w:rPr>
        <w:t>磋商文件</w:t>
      </w:r>
      <w:r>
        <w:rPr>
          <w:rFonts w:hint="eastAsia" w:hAnsi="宋体"/>
          <w:color w:val="auto"/>
          <w:highlight w:val="none"/>
        </w:rPr>
        <w:t>的其他规定</w:t>
      </w:r>
      <w:r>
        <w:rPr>
          <w:rFonts w:hint="eastAsia" w:ascii="宋体" w:hAnsi="宋体"/>
          <w:color w:val="auto"/>
          <w:szCs w:val="21"/>
          <w:highlight w:val="none"/>
        </w:rPr>
        <w:t>见</w:t>
      </w:r>
      <w:r>
        <w:rPr>
          <w:rFonts w:hint="eastAsia" w:ascii="宋体" w:hAnsi="宋体"/>
          <w:b/>
          <w:color w:val="auto"/>
          <w:szCs w:val="21"/>
          <w:highlight w:val="none"/>
        </w:rPr>
        <w:t>磋商须知前附表</w:t>
      </w:r>
      <w:r>
        <w:rPr>
          <w:rFonts w:hint="eastAsia" w:ascii="宋体" w:hAnsi="宋体"/>
          <w:color w:val="auto"/>
          <w:szCs w:val="21"/>
          <w:highlight w:val="none"/>
        </w:rPr>
        <w:t>。</w:t>
      </w:r>
    </w:p>
    <w:p>
      <w:pPr>
        <w:numPr>
          <w:ilvl w:val="0"/>
          <w:numId w:val="3"/>
        </w:numPr>
        <w:adjustRightInd w:val="0"/>
        <w:snapToGrid w:val="0"/>
        <w:spacing w:beforeLines="50" w:line="360" w:lineRule="auto"/>
        <w:ind w:left="420" w:leftChars="200"/>
        <w:jc w:val="center"/>
        <w:rPr>
          <w:rFonts w:hint="eastAsia" w:ascii="黑体" w:hAnsi="华文中宋" w:eastAsia="黑体"/>
          <w:b/>
          <w:bCs/>
          <w:color w:val="auto"/>
          <w:sz w:val="32"/>
          <w:szCs w:val="32"/>
          <w:highlight w:val="none"/>
        </w:rPr>
      </w:pPr>
      <w:r>
        <w:rPr>
          <w:rFonts w:hint="eastAsia" w:ascii="黑体" w:eastAsia="黑体"/>
          <w:b/>
          <w:color w:val="auto"/>
          <w:sz w:val="32"/>
          <w:szCs w:val="32"/>
          <w:highlight w:val="none"/>
        </w:rPr>
        <w:br w:type="page"/>
      </w:r>
      <w:r>
        <w:rPr>
          <w:rFonts w:hint="eastAsia" w:ascii="黑体" w:eastAsia="黑体"/>
          <w:b/>
          <w:color w:val="auto"/>
          <w:sz w:val="32"/>
          <w:szCs w:val="32"/>
          <w:highlight w:val="none"/>
        </w:rPr>
        <w:t xml:space="preserve"> </w:t>
      </w:r>
      <w:r>
        <w:rPr>
          <w:rFonts w:hint="eastAsia" w:ascii="黑体" w:hAnsi="华文中宋" w:eastAsia="黑体"/>
          <w:b/>
          <w:bCs/>
          <w:color w:val="auto"/>
          <w:sz w:val="32"/>
          <w:szCs w:val="32"/>
          <w:highlight w:val="none"/>
        </w:rPr>
        <w:t>采购合同格式</w:t>
      </w:r>
    </w:p>
    <w:p>
      <w:pPr>
        <w:pStyle w:val="2"/>
        <w:numPr>
          <w:ilvl w:val="0"/>
          <w:numId w:val="0"/>
        </w:numPr>
        <w:ind w:leftChars="400"/>
        <w:jc w:val="center"/>
        <w:rPr>
          <w:rFonts w:hint="eastAsia" w:ascii="黑体" w:hAnsi="华文中宋" w:eastAsia="黑体" w:cs="Times New Roman"/>
          <w:b/>
          <w:bCs/>
          <w:color w:val="auto"/>
          <w:kern w:val="2"/>
          <w:sz w:val="24"/>
          <w:szCs w:val="24"/>
          <w:highlight w:val="none"/>
          <w:lang w:val="en-US" w:eastAsia="zh-CN" w:bidi="ar-SA"/>
        </w:rPr>
      </w:pPr>
      <w:r>
        <w:rPr>
          <w:rFonts w:hint="eastAsia" w:ascii="黑体" w:hAnsi="华文中宋" w:eastAsia="黑体" w:cs="Times New Roman"/>
          <w:b/>
          <w:bCs/>
          <w:color w:val="auto"/>
          <w:kern w:val="2"/>
          <w:sz w:val="24"/>
          <w:szCs w:val="24"/>
          <w:highlight w:val="none"/>
          <w:lang w:val="en-US" w:eastAsia="zh-CN" w:bidi="ar-SA"/>
        </w:rPr>
        <w:t>（本合同为参考范本，最终以签订的正式合同为准）</w:t>
      </w:r>
    </w:p>
    <w:p>
      <w:pPr>
        <w:rPr>
          <w:rFonts w:ascii="黑体" w:hAnsi="宋体" w:eastAsia="黑体"/>
          <w:color w:val="auto"/>
          <w:sz w:val="30"/>
          <w:szCs w:val="30"/>
          <w:highlight w:val="none"/>
        </w:rPr>
      </w:pPr>
      <w:r>
        <w:rPr>
          <w:rFonts w:hint="eastAsia" w:ascii="黑体" w:eastAsia="黑体"/>
          <w:color w:val="auto"/>
          <w:sz w:val="30"/>
          <w:szCs w:val="30"/>
          <w:highlight w:val="none"/>
        </w:rPr>
        <w:t>一、采购合同协议书</w:t>
      </w:r>
    </w:p>
    <w:p>
      <w:pPr>
        <w:ind w:firstLine="4200" w:firstLineChars="2000"/>
        <w:rPr>
          <w:rFonts w:ascii="黑体" w:eastAsia="黑体"/>
          <w:b/>
          <w:color w:val="auto"/>
          <w:szCs w:val="21"/>
          <w:highlight w:val="none"/>
        </w:rPr>
      </w:pPr>
      <w:r>
        <w:rPr>
          <w:rFonts w:hint="eastAsia" w:ascii="宋体" w:hAnsi="宋体"/>
          <w:color w:val="auto"/>
          <w:szCs w:val="21"/>
          <w:highlight w:val="none"/>
        </w:rPr>
        <w:t xml:space="preserve">               采购合同编号：</w:t>
      </w:r>
    </w:p>
    <w:p>
      <w:pPr>
        <w:adjustRightInd w:val="0"/>
        <w:snapToGrid w:val="0"/>
        <w:spacing w:beforeLines="50" w:line="360" w:lineRule="auto"/>
        <w:jc w:val="center"/>
        <w:rPr>
          <w:rFonts w:ascii="黑体" w:eastAsia="黑体"/>
          <w:b/>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采购人（全称）：（甲方）</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供应商（全称）：（乙方）</w:t>
      </w:r>
    </w:p>
    <w:p>
      <w:pPr>
        <w:pStyle w:val="3"/>
        <w:adjustRightInd w:val="0"/>
        <w:snapToGrid w:val="0"/>
        <w:spacing w:after="0" w:line="360" w:lineRule="auto"/>
        <w:rPr>
          <w:rFonts w:ascii="宋体" w:hAnsi="宋体"/>
          <w:color w:val="auto"/>
          <w:szCs w:val="21"/>
          <w:highlight w:val="none"/>
        </w:rPr>
      </w:pPr>
    </w:p>
    <w:p>
      <w:pPr>
        <w:pStyle w:val="3"/>
        <w:adjustRightInd w:val="0"/>
        <w:snapToGrid w:val="0"/>
        <w:spacing w:after="0" w:line="360" w:lineRule="auto"/>
        <w:ind w:left="0" w:leftChars="0" w:firstLine="420" w:firstLineChars="200"/>
        <w:rPr>
          <w:rFonts w:ascii="宋体" w:hAnsi="宋体"/>
          <w:color w:val="auto"/>
          <w:szCs w:val="21"/>
          <w:highlight w:val="none"/>
        </w:rPr>
      </w:pPr>
      <w:r>
        <w:rPr>
          <w:rFonts w:hint="eastAsia" w:ascii="宋体" w:hAnsi="宋体"/>
          <w:color w:val="auto"/>
          <w:szCs w:val="21"/>
          <w:highlight w:val="none"/>
        </w:rPr>
        <w:t>为了保护甲、乙双方合法权益，根据《中华人民共和国</w:t>
      </w:r>
      <w:r>
        <w:rPr>
          <w:rFonts w:hint="eastAsia" w:ascii="宋体" w:hAnsi="宋体"/>
          <w:color w:val="auto"/>
          <w:szCs w:val="21"/>
          <w:highlight w:val="none"/>
          <w:lang w:eastAsia="zh-CN"/>
        </w:rPr>
        <w:t>民法典</w:t>
      </w:r>
      <w:r>
        <w:rPr>
          <w:rFonts w:hint="eastAsia" w:ascii="宋体" w:hAnsi="宋体"/>
          <w:color w:val="auto"/>
          <w:szCs w:val="21"/>
          <w:highlight w:val="none"/>
        </w:rPr>
        <w:t>》、《中华人民共和国政府采购法》及其他有关法律、法规、规章，双方签订本合同协议书。</w:t>
      </w:r>
    </w:p>
    <w:p>
      <w:pPr>
        <w:adjustRightInd w:val="0"/>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1.项目信息</w:t>
      </w:r>
    </w:p>
    <w:p>
      <w:pPr>
        <w:pStyle w:val="3"/>
        <w:adjustRightInd w:val="0"/>
        <w:snapToGrid w:val="0"/>
        <w:spacing w:after="0" w:line="360" w:lineRule="auto"/>
        <w:rPr>
          <w:rFonts w:ascii="宋体" w:hAnsi="宋体"/>
          <w:color w:val="auto"/>
          <w:szCs w:val="21"/>
          <w:highlight w:val="none"/>
        </w:rPr>
      </w:pPr>
      <w:r>
        <w:rPr>
          <w:rFonts w:hint="eastAsia" w:ascii="宋体" w:hAnsi="宋体"/>
          <w:color w:val="auto"/>
          <w:szCs w:val="21"/>
          <w:highlight w:val="none"/>
        </w:rPr>
        <w:t>（1）采购项目名称：</w:t>
      </w:r>
    </w:p>
    <w:p>
      <w:pPr>
        <w:pStyle w:val="3"/>
        <w:adjustRightInd w:val="0"/>
        <w:snapToGrid w:val="0"/>
        <w:spacing w:after="0" w:line="360" w:lineRule="auto"/>
        <w:rPr>
          <w:rFonts w:ascii="宋体" w:hAnsi="宋体"/>
          <w:color w:val="auto"/>
          <w:szCs w:val="21"/>
          <w:highlight w:val="none"/>
        </w:rPr>
      </w:pPr>
      <w:r>
        <w:rPr>
          <w:rFonts w:hint="eastAsia" w:ascii="宋体" w:hAnsi="宋体"/>
          <w:color w:val="auto"/>
          <w:szCs w:val="21"/>
          <w:highlight w:val="none"/>
        </w:rPr>
        <w:t>（2）采购计划编号：</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（3）项目内容：</w:t>
      </w:r>
    </w:p>
    <w:p>
      <w:pPr>
        <w:adjustRightInd w:val="0"/>
        <w:snapToGrid w:val="0"/>
        <w:spacing w:line="360" w:lineRule="auto"/>
        <w:ind w:firstLine="840" w:firstLineChars="400"/>
        <w:rPr>
          <w:rFonts w:ascii="宋体" w:hAnsi="宋体"/>
          <w:color w:val="auto"/>
          <w:szCs w:val="21"/>
          <w:highlight w:val="none"/>
        </w:rPr>
      </w:pPr>
      <w:r>
        <w:rPr>
          <w:rFonts w:hint="eastAsia" w:ascii="宋体" w:hAnsi="宋体"/>
          <w:color w:val="auto"/>
          <w:szCs w:val="21"/>
          <w:highlight w:val="none"/>
          <w:lang w:eastAsia="zh-CN"/>
        </w:rPr>
        <w:t>服务</w:t>
      </w:r>
      <w:r>
        <w:rPr>
          <w:rFonts w:hint="eastAsia" w:ascii="宋体" w:hAnsi="宋体"/>
          <w:color w:val="auto"/>
          <w:szCs w:val="21"/>
          <w:highlight w:val="none"/>
        </w:rPr>
        <w:t>范围：</w:t>
      </w:r>
      <w:r>
        <w:rPr>
          <w:rFonts w:hint="eastAsia" w:ascii="宋体" w:hAnsi="宋体"/>
          <w:color w:val="auto"/>
          <w:szCs w:val="21"/>
          <w:highlight w:val="none"/>
          <w:u w:val="single"/>
        </w:rPr>
        <w:t xml:space="preserve">        /         </w:t>
      </w:r>
      <w:r>
        <w:rPr>
          <w:rFonts w:hint="eastAsia" w:ascii="宋体" w:hAnsi="宋体"/>
          <w:color w:val="auto"/>
          <w:szCs w:val="21"/>
          <w:highlight w:val="none"/>
        </w:rPr>
        <w:t>项目经理：</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adjustRightInd w:val="0"/>
        <w:snapToGrid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2.合同金额</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（1）合同金额小写：</w:t>
      </w:r>
    </w:p>
    <w:p>
      <w:pPr>
        <w:adjustRightInd w:val="0"/>
        <w:snapToGrid w:val="0"/>
        <w:spacing w:line="360" w:lineRule="auto"/>
        <w:ind w:firstLine="1260" w:firstLineChars="600"/>
        <w:rPr>
          <w:rFonts w:ascii="宋体" w:hAnsi="宋体"/>
          <w:b/>
          <w:color w:val="auto"/>
          <w:szCs w:val="21"/>
          <w:highlight w:val="none"/>
        </w:rPr>
      </w:pPr>
      <w:r>
        <w:rPr>
          <w:rFonts w:hint="eastAsia" w:ascii="宋体" w:hAnsi="宋体"/>
          <w:color w:val="auto"/>
          <w:szCs w:val="21"/>
          <w:highlight w:val="none"/>
        </w:rPr>
        <w:t>大写：</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（2）具体标的见附件。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（3）合同价格形式： 。</w:t>
      </w:r>
    </w:p>
    <w:p>
      <w:pPr>
        <w:adjustRightInd w:val="0"/>
        <w:snapToGrid w:val="0"/>
        <w:spacing w:line="360" w:lineRule="auto"/>
        <w:ind w:firstLine="422" w:firstLineChars="200"/>
        <w:rPr>
          <w:rFonts w:ascii="宋体" w:hAnsi="宋体"/>
          <w:color w:val="auto"/>
          <w:szCs w:val="21"/>
          <w:highlight w:val="none"/>
          <w:u w:val="single"/>
        </w:rPr>
      </w:pPr>
      <w:r>
        <w:rPr>
          <w:rFonts w:hint="eastAsia" w:ascii="宋体" w:hAnsi="宋体"/>
          <w:b/>
          <w:color w:val="auto"/>
          <w:szCs w:val="21"/>
          <w:highlight w:val="none"/>
        </w:rPr>
        <w:t>3.履行合同的期限、地点及方式</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起始日期：年月日，完成日期：年月日。总日历天数：天。</w:t>
      </w:r>
    </w:p>
    <w:p>
      <w:pPr>
        <w:adjustRightInd w:val="0"/>
        <w:snapToGrid w:val="0"/>
        <w:spacing w:line="360" w:lineRule="auto"/>
        <w:ind w:firstLine="630" w:firstLineChars="300"/>
        <w:rPr>
          <w:rFonts w:ascii="宋体" w:hAnsi="宋体"/>
          <w:color w:val="auto"/>
          <w:szCs w:val="21"/>
          <w:highlight w:val="none"/>
          <w:u w:val="single"/>
        </w:rPr>
      </w:pPr>
      <w:r>
        <w:rPr>
          <w:rFonts w:hint="eastAsia" w:ascii="宋体" w:hAnsi="宋体"/>
          <w:color w:val="auto"/>
          <w:szCs w:val="21"/>
          <w:highlight w:val="none"/>
        </w:rPr>
        <w:t>地点</w:t>
      </w:r>
      <w:r>
        <w:rPr>
          <w:rFonts w:hint="eastAsia" w:ascii="宋体" w:hAnsi="宋体"/>
          <w:b/>
          <w:color w:val="auto"/>
          <w:szCs w:val="21"/>
          <w:highlight w:val="none"/>
        </w:rPr>
        <w:t>：</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方式：</w:t>
      </w:r>
    </w:p>
    <w:p>
      <w:pPr>
        <w:adjustRightInd w:val="0"/>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4.付款：</w:t>
      </w:r>
    </w:p>
    <w:p>
      <w:pPr>
        <w:adjustRightInd w:val="0"/>
        <w:snapToGrid w:val="0"/>
        <w:spacing w:line="360" w:lineRule="auto"/>
        <w:ind w:firstLine="630" w:firstLineChars="300"/>
        <w:rPr>
          <w:rFonts w:ascii="宋体" w:hAnsi="宋体"/>
          <w:bCs/>
          <w:color w:val="auto"/>
          <w:szCs w:val="21"/>
          <w:highlight w:val="none"/>
        </w:rPr>
      </w:pPr>
      <w:r>
        <w:rPr>
          <w:rFonts w:hint="eastAsia" w:ascii="宋体" w:hAnsi="宋体"/>
          <w:color w:val="auto"/>
          <w:szCs w:val="21"/>
          <w:highlight w:val="none"/>
        </w:rPr>
        <w:t xml:space="preserve">1、。  </w:t>
      </w:r>
    </w:p>
    <w:p>
      <w:pPr>
        <w:adjustRightInd w:val="0"/>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5.解决合同纠纷方式</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首先通过双方协商解决，协商解决不成，则通过以下途径之一解决纠纷：</w:t>
      </w:r>
    </w:p>
    <w:p>
      <w:pPr>
        <w:adjustRightInd w:val="0"/>
        <w:snapToGrid w:val="0"/>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 提请仲裁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向人民法院提起诉讼</w:t>
      </w:r>
    </w:p>
    <w:p>
      <w:pPr>
        <w:adjustRightInd w:val="0"/>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6.组成合同的文件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本协议书与下列文件一起构成合同文件，如下述文件之间有任何抵触、矛盾或歧义，应按以下顺序解释：</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（1）在采购或合同履行过程中乙方作出的承诺以及双方协商达成的变更或补充协议</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（2）成交通知书</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（3）响应文件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（4）政府采购合同格式条款及其附件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（5）专用合同条款</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（6）通用合同条款（如果有）</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（7）标准、规范及有关技术文件，图纸，已标价工程量清单或预算书（如果有）</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（8）其他合同文件。</w:t>
      </w:r>
    </w:p>
    <w:p>
      <w:pPr>
        <w:adjustRightInd w:val="0"/>
        <w:snapToGrid w:val="0"/>
        <w:spacing w:line="360" w:lineRule="auto"/>
        <w:ind w:firstLine="310" w:firstLineChars="147"/>
        <w:rPr>
          <w:rFonts w:ascii="宋体" w:hAnsi="宋体"/>
          <w:b/>
          <w:color w:val="auto"/>
          <w:szCs w:val="21"/>
          <w:highlight w:val="none"/>
        </w:rPr>
      </w:pPr>
      <w:r>
        <w:rPr>
          <w:rFonts w:hint="eastAsia" w:ascii="宋体" w:hAnsi="宋体"/>
          <w:b/>
          <w:color w:val="auto"/>
          <w:szCs w:val="21"/>
          <w:highlight w:val="none"/>
        </w:rPr>
        <w:t>7.合同生效</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本合同自生效。</w:t>
      </w:r>
    </w:p>
    <w:p>
      <w:pPr>
        <w:adjustRightInd w:val="0"/>
        <w:snapToGrid w:val="0"/>
        <w:spacing w:line="360" w:lineRule="auto"/>
        <w:ind w:firstLine="310" w:firstLineChars="147"/>
        <w:rPr>
          <w:rFonts w:ascii="宋体" w:hAnsi="宋体"/>
          <w:b/>
          <w:color w:val="auto"/>
          <w:szCs w:val="21"/>
          <w:highlight w:val="none"/>
        </w:rPr>
      </w:pPr>
      <w:r>
        <w:rPr>
          <w:rFonts w:hint="eastAsia" w:ascii="宋体" w:hAnsi="宋体"/>
          <w:b/>
          <w:color w:val="auto"/>
          <w:szCs w:val="21"/>
          <w:highlight w:val="none"/>
        </w:rPr>
        <w:t>8.合同份数</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本合同一式</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份，采购人执</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份，供应商执</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份，均具有同等法律效力。</w:t>
      </w:r>
    </w:p>
    <w:p>
      <w:pPr>
        <w:adjustRightInd w:val="0"/>
        <w:snapToGrid w:val="0"/>
        <w:spacing w:line="360" w:lineRule="auto"/>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合同订立时间：年月日</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合同订立地点：</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甲      方：（公章）                     乙      方：（公章）</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法定代表人：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法定代表人：</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委托代理人：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委托代理人：</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电      话：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电      话：</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传      真：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传      真：</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开 户 银 行：</w:t>
      </w:r>
    </w:p>
    <w:p>
      <w:pPr>
        <w:adjustRightInd w:val="0"/>
        <w:snapToGrid w:val="0"/>
        <w:spacing w:line="360" w:lineRule="auto"/>
        <w:jc w:val="center"/>
        <w:rPr>
          <w:rFonts w:ascii="宋体" w:hAnsi="宋体"/>
          <w:b/>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帐       号：</w:t>
      </w: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pStyle w:val="76"/>
        <w:rPr>
          <w:color w:val="auto"/>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r>
        <w:rPr>
          <w:rFonts w:hint="eastAsia" w:ascii="黑体" w:hAnsi="华文中宋" w:eastAsia="黑体"/>
          <w:bCs/>
          <w:color w:val="auto"/>
          <w:sz w:val="30"/>
          <w:szCs w:val="30"/>
          <w:highlight w:val="none"/>
        </w:rPr>
        <w:t>二、采购合同通用条款</w:t>
      </w:r>
    </w:p>
    <w:p>
      <w:pPr>
        <w:tabs>
          <w:tab w:val="left" w:pos="8820"/>
          <w:tab w:val="left" w:pos="9345"/>
          <w:tab w:val="left" w:pos="9765"/>
        </w:tabs>
        <w:adjustRightInd w:val="0"/>
        <w:snapToGrid w:val="0"/>
        <w:spacing w:beforeLines="50" w:line="360" w:lineRule="auto"/>
        <w:ind w:right="384" w:rightChars="183"/>
        <w:rPr>
          <w:rFonts w:ascii="黑体" w:hAnsi="华文中宋" w:eastAsia="黑体"/>
          <w:b/>
          <w:bCs/>
          <w:color w:val="auto"/>
          <w:sz w:val="32"/>
          <w:szCs w:val="32"/>
          <w:highlight w:val="none"/>
        </w:rPr>
      </w:pPr>
    </w:p>
    <w:p>
      <w:pPr>
        <w:tabs>
          <w:tab w:val="left" w:pos="8820"/>
          <w:tab w:val="left" w:pos="9345"/>
          <w:tab w:val="left" w:pos="9765"/>
        </w:tabs>
        <w:adjustRightInd w:val="0"/>
        <w:snapToGrid w:val="0"/>
        <w:spacing w:beforeLines="50" w:line="360" w:lineRule="auto"/>
        <w:ind w:right="384" w:rightChars="183"/>
        <w:jc w:val="center"/>
        <w:rPr>
          <w:rFonts w:ascii="黑体" w:hAnsi="华文中宋" w:eastAsia="黑体"/>
          <w:b/>
          <w:bCs/>
          <w:color w:val="auto"/>
          <w:sz w:val="36"/>
          <w:szCs w:val="36"/>
          <w:highlight w:val="none"/>
        </w:rPr>
      </w:pPr>
      <w:r>
        <w:rPr>
          <w:rFonts w:hint="eastAsia" w:ascii="黑体" w:hAnsi="华文中宋" w:eastAsia="黑体"/>
          <w:b/>
          <w:bCs/>
          <w:color w:val="auto"/>
          <w:sz w:val="36"/>
          <w:szCs w:val="36"/>
          <w:highlight w:val="none"/>
        </w:rPr>
        <w:t>采购合同通用条款</w:t>
      </w:r>
    </w:p>
    <w:p>
      <w:pPr>
        <w:adjustRightInd w:val="0"/>
        <w:snapToGrid w:val="0"/>
        <w:spacing w:line="360" w:lineRule="auto"/>
        <w:ind w:firstLine="420" w:firstLineChars="200"/>
        <w:rPr>
          <w:rFonts w:ascii="黑体" w:hAnsi="宋体" w:eastAsia="黑体"/>
          <w:b/>
          <w:color w:val="auto"/>
          <w:sz w:val="30"/>
          <w:szCs w:val="30"/>
          <w:highlight w:val="none"/>
        </w:rPr>
      </w:pPr>
      <w:r>
        <w:rPr>
          <w:rFonts w:hint="eastAsia" w:ascii="宋体" w:hAnsi="宋体"/>
          <w:bCs/>
          <w:color w:val="auto"/>
          <w:szCs w:val="21"/>
          <w:highlight w:val="none"/>
        </w:rPr>
        <w:t>服务类采购合同格式文本</w:t>
      </w:r>
      <w:r>
        <w:rPr>
          <w:rFonts w:hint="eastAsia" w:ascii="宋体"/>
          <w:color w:val="auto"/>
          <w:szCs w:val="21"/>
          <w:highlight w:val="none"/>
        </w:rPr>
        <w:t>省级以上政府部门或行业组织有标准或</w:t>
      </w:r>
      <w:r>
        <w:rPr>
          <w:rFonts w:ascii="宋体" w:hAnsi="宋体"/>
          <w:color w:val="auto"/>
          <w:szCs w:val="21"/>
          <w:highlight w:val="none"/>
        </w:rPr>
        <w:t>示范</w:t>
      </w:r>
      <w:r>
        <w:rPr>
          <w:rFonts w:hint="eastAsia" w:ascii="宋体"/>
          <w:color w:val="auto"/>
          <w:szCs w:val="21"/>
          <w:highlight w:val="none"/>
        </w:rPr>
        <w:t>文本的，应按照其文本确定</w:t>
      </w:r>
      <w:r>
        <w:rPr>
          <w:rFonts w:hint="eastAsia" w:ascii="宋体" w:hAnsi="宋体"/>
          <w:bCs/>
          <w:color w:val="auto"/>
          <w:szCs w:val="21"/>
          <w:highlight w:val="none"/>
        </w:rPr>
        <w:t>合同格式</w:t>
      </w:r>
      <w:r>
        <w:rPr>
          <w:rFonts w:hint="eastAsia" w:ascii="宋体"/>
          <w:color w:val="auto"/>
          <w:szCs w:val="21"/>
          <w:highlight w:val="none"/>
        </w:rPr>
        <w:t>。没有文本的，按照《中华人民共和国</w:t>
      </w:r>
      <w:r>
        <w:rPr>
          <w:rFonts w:hint="eastAsia" w:ascii="宋体"/>
          <w:color w:val="auto"/>
          <w:szCs w:val="21"/>
          <w:highlight w:val="none"/>
          <w:lang w:eastAsia="zh-CN"/>
        </w:rPr>
        <w:t>民法典</w:t>
      </w:r>
      <w:r>
        <w:rPr>
          <w:rFonts w:hint="eastAsia" w:ascii="宋体"/>
          <w:color w:val="auto"/>
          <w:szCs w:val="21"/>
          <w:highlight w:val="none"/>
        </w:rPr>
        <w:t>》及采购项目特点自行拟定特定文本确定</w:t>
      </w:r>
      <w:r>
        <w:rPr>
          <w:rFonts w:hint="eastAsia" w:ascii="宋体" w:hAnsi="宋体"/>
          <w:bCs/>
          <w:color w:val="auto"/>
          <w:szCs w:val="21"/>
          <w:highlight w:val="none"/>
        </w:rPr>
        <w:t>合同格式</w:t>
      </w:r>
      <w:r>
        <w:rPr>
          <w:rFonts w:hint="eastAsia" w:ascii="宋体"/>
          <w:color w:val="auto"/>
          <w:szCs w:val="21"/>
          <w:highlight w:val="none"/>
        </w:rPr>
        <w:t>。</w:t>
      </w:r>
    </w:p>
    <w:p>
      <w:pPr>
        <w:adjustRightInd w:val="0"/>
        <w:snapToGrid w:val="0"/>
        <w:spacing w:line="360" w:lineRule="auto"/>
        <w:rPr>
          <w:rFonts w:ascii="宋体" w:hAnsi="宋体"/>
          <w:color w:val="auto"/>
          <w:szCs w:val="21"/>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pStyle w:val="2"/>
        <w:ind w:firstLine="400"/>
        <w:rPr>
          <w:color w:val="auto"/>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r>
        <w:rPr>
          <w:rFonts w:hint="eastAsia" w:ascii="黑体" w:hAnsi="华文中宋" w:eastAsia="黑体"/>
          <w:bCs/>
          <w:color w:val="auto"/>
          <w:sz w:val="30"/>
          <w:szCs w:val="30"/>
          <w:highlight w:val="none"/>
        </w:rPr>
        <w:t>三、采购合同专用条款</w:t>
      </w:r>
    </w:p>
    <w:p>
      <w:pPr>
        <w:pStyle w:val="19"/>
        <w:snapToGrid w:val="0"/>
        <w:ind w:left="105" w:leftChars="50"/>
        <w:jc w:val="center"/>
        <w:rPr>
          <w:rFonts w:ascii="黑体" w:hAnsi="华文中宋" w:eastAsia="黑体"/>
          <w:b/>
          <w:bCs/>
          <w:color w:val="auto"/>
          <w:sz w:val="36"/>
          <w:szCs w:val="36"/>
          <w:highlight w:val="none"/>
        </w:rPr>
      </w:pPr>
    </w:p>
    <w:p>
      <w:pPr>
        <w:pStyle w:val="19"/>
        <w:snapToGrid w:val="0"/>
        <w:ind w:left="105" w:leftChars="50"/>
        <w:jc w:val="center"/>
        <w:rPr>
          <w:rFonts w:hint="eastAsia" w:ascii="黑体" w:hAnsi="华文中宋" w:eastAsia="黑体"/>
          <w:b/>
          <w:bCs/>
          <w:color w:val="auto"/>
          <w:sz w:val="36"/>
          <w:szCs w:val="36"/>
          <w:highlight w:val="none"/>
        </w:rPr>
      </w:pPr>
      <w:r>
        <w:rPr>
          <w:rFonts w:hint="eastAsia" w:ascii="黑体" w:hAnsi="华文中宋" w:eastAsia="黑体"/>
          <w:b/>
          <w:bCs/>
          <w:color w:val="auto"/>
          <w:sz w:val="36"/>
          <w:szCs w:val="36"/>
          <w:highlight w:val="none"/>
        </w:rPr>
        <w:t>采购合同专用条款</w:t>
      </w:r>
    </w:p>
    <w:p>
      <w:pPr>
        <w:pStyle w:val="2"/>
        <w:numPr>
          <w:ilvl w:val="0"/>
          <w:numId w:val="0"/>
        </w:numPr>
        <w:ind w:leftChars="400"/>
        <w:jc w:val="center"/>
        <w:rPr>
          <w:rFonts w:hint="eastAsia" w:ascii="黑体" w:hAnsi="华文中宋" w:eastAsia="黑体" w:cs="Times New Roman"/>
          <w:b/>
          <w:bCs/>
          <w:color w:val="auto"/>
          <w:kern w:val="2"/>
          <w:sz w:val="24"/>
          <w:szCs w:val="24"/>
          <w:highlight w:val="none"/>
          <w:lang w:val="en-US" w:eastAsia="zh-CN" w:bidi="ar-SA"/>
        </w:rPr>
      </w:pPr>
      <w:r>
        <w:rPr>
          <w:rFonts w:hint="eastAsia" w:ascii="黑体" w:hAnsi="华文中宋" w:eastAsia="黑体" w:cs="Times New Roman"/>
          <w:b/>
          <w:bCs/>
          <w:color w:val="auto"/>
          <w:kern w:val="2"/>
          <w:sz w:val="24"/>
          <w:szCs w:val="24"/>
          <w:highlight w:val="none"/>
          <w:lang w:val="en-US" w:eastAsia="zh-CN" w:bidi="ar-SA"/>
        </w:rPr>
        <w:t>（本合同为参考范本，最终以签订的正式合同为准）</w:t>
      </w:r>
    </w:p>
    <w:tbl>
      <w:tblPr>
        <w:tblStyle w:val="41"/>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31"/>
        <w:gridCol w:w="64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b/>
                <w:color w:val="auto"/>
                <w:szCs w:val="21"/>
                <w:highlight w:val="none"/>
              </w:rPr>
              <w:t>条款名称</w:t>
            </w:r>
          </w:p>
        </w:tc>
        <w:tc>
          <w:tcPr>
            <w:tcW w:w="6429" w:type="dxa"/>
            <w:noWrap/>
            <w:vAlign w:val="center"/>
          </w:tcPr>
          <w:p>
            <w:pPr>
              <w:adjustRightInd w:val="0"/>
              <w:snapToGrid w:val="0"/>
              <w:spacing w:line="400" w:lineRule="exact"/>
              <w:rPr>
                <w:rFonts w:ascii="黑体" w:hAnsi="宋体" w:eastAsia="黑体"/>
                <w:b/>
                <w:color w:val="auto"/>
                <w:sz w:val="30"/>
                <w:szCs w:val="30"/>
                <w:highlight w:val="none"/>
              </w:rPr>
            </w:pPr>
            <w:r>
              <w:rPr>
                <w:rFonts w:hint="eastAsia" w:ascii="宋体" w:hAnsi="宋体"/>
                <w:b/>
                <w:color w:val="auto"/>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项目现场</w:t>
            </w:r>
          </w:p>
        </w:tc>
        <w:tc>
          <w:tcPr>
            <w:tcW w:w="6429" w:type="dxa"/>
            <w:noWrap/>
            <w:vAlign w:val="center"/>
          </w:tcPr>
          <w:p>
            <w:pPr>
              <w:adjustRightInd w:val="0"/>
              <w:snapToGrid w:val="0"/>
              <w:spacing w:line="400" w:lineRule="exact"/>
              <w:rPr>
                <w:rFonts w:ascii="黑体" w:hAnsi="宋体" w:eastAsia="黑体"/>
                <w:b/>
                <w:color w:val="auto"/>
                <w:sz w:val="30"/>
                <w:szCs w:val="30"/>
                <w:highlight w:val="none"/>
              </w:rPr>
            </w:pPr>
            <w:r>
              <w:rPr>
                <w:rFonts w:hint="eastAsia" w:ascii="宋体" w:hAnsi="宋体" w:cs="宋体"/>
                <w:bCs/>
                <w:color w:val="auto"/>
                <w:szCs w:val="21"/>
                <w:highlight w:val="none"/>
                <w:lang w:val="zh-TW" w:eastAsia="zh-CN"/>
              </w:rPr>
              <w:t>湖南智谷投资发展集团有限公司</w:t>
            </w:r>
            <w:r>
              <w:rPr>
                <w:rFonts w:hint="eastAsia" w:ascii="宋体" w:hAnsi="宋体" w:cs="宋体"/>
                <w:bCs/>
                <w:color w:val="auto"/>
                <w:szCs w:val="21"/>
                <w:highlight w:val="none"/>
                <w:lang w:val="zh-TW" w:eastAsia="zh-TW"/>
              </w:rPr>
              <w:t>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履行合同的时间、地点及方式</w:t>
            </w:r>
          </w:p>
        </w:tc>
        <w:tc>
          <w:tcPr>
            <w:tcW w:w="6429" w:type="dxa"/>
            <w:noWrap/>
            <w:vAlign w:val="center"/>
          </w:tcPr>
          <w:p>
            <w:pPr>
              <w:adjustRightInd w:val="0"/>
              <w:snapToGrid w:val="0"/>
              <w:spacing w:line="400" w:lineRule="exact"/>
              <w:rPr>
                <w:rFonts w:ascii="黑体" w:hAnsi="宋体"/>
                <w:b/>
                <w:color w:val="auto"/>
                <w:sz w:val="30"/>
                <w:szCs w:val="30"/>
                <w:highlight w:val="none"/>
              </w:rPr>
            </w:pPr>
            <w:r>
              <w:rPr>
                <w:rFonts w:hint="eastAsia" w:ascii="宋体" w:hAnsi="宋体" w:cs="宋体"/>
                <w:bCs/>
                <w:color w:val="auto"/>
                <w:szCs w:val="21"/>
                <w:highlight w:val="none"/>
              </w:rPr>
              <w:t>详见“第四章 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2631" w:type="dxa"/>
            <w:noWrap/>
            <w:vAlign w:val="center"/>
          </w:tcPr>
          <w:p>
            <w:pPr>
              <w:tabs>
                <w:tab w:val="center" w:pos="1137"/>
                <w:tab w:val="right" w:pos="2154"/>
              </w:tabs>
              <w:adjustRightInd w:val="0"/>
              <w:snapToGrid w:val="0"/>
              <w:spacing w:line="400" w:lineRule="exact"/>
              <w:jc w:val="left"/>
              <w:rPr>
                <w:rFonts w:hint="eastAsia" w:ascii="黑体" w:hAnsi="宋体" w:eastAsia="宋体"/>
                <w:b/>
                <w:color w:val="auto"/>
                <w:sz w:val="30"/>
                <w:szCs w:val="30"/>
                <w:highlight w:val="none"/>
                <w:lang w:eastAsia="zh-CN"/>
              </w:rPr>
            </w:pPr>
            <w:r>
              <w:rPr>
                <w:rFonts w:hint="eastAsia" w:ascii="宋体" w:hAnsi="宋体"/>
                <w:color w:val="auto"/>
                <w:szCs w:val="21"/>
                <w:highlight w:val="none"/>
                <w:lang w:eastAsia="zh-CN"/>
              </w:rPr>
              <w:tab/>
            </w:r>
            <w:r>
              <w:rPr>
                <w:rFonts w:hint="eastAsia" w:ascii="宋体" w:hAnsi="宋体"/>
                <w:color w:val="auto"/>
                <w:szCs w:val="21"/>
                <w:highlight w:val="none"/>
              </w:rPr>
              <w:t>质量保证期</w:t>
            </w:r>
            <w:r>
              <w:rPr>
                <w:rFonts w:hint="eastAsia" w:ascii="宋体" w:hAnsi="宋体"/>
                <w:color w:val="auto"/>
                <w:szCs w:val="21"/>
                <w:highlight w:val="none"/>
                <w:lang w:eastAsia="zh-CN"/>
              </w:rPr>
              <w:tab/>
            </w:r>
          </w:p>
        </w:tc>
        <w:tc>
          <w:tcPr>
            <w:tcW w:w="6429" w:type="dxa"/>
            <w:noWrap/>
            <w:vAlign w:val="center"/>
          </w:tcPr>
          <w:p>
            <w:pPr>
              <w:adjustRightInd w:val="0"/>
              <w:snapToGrid w:val="0"/>
              <w:spacing w:line="400" w:lineRule="exact"/>
              <w:rPr>
                <w:rFonts w:hint="eastAsia" w:ascii="宋体" w:hAnsi="宋体" w:eastAsia="宋体"/>
                <w:color w:val="auto"/>
                <w:szCs w:val="21"/>
                <w:highlight w:val="none"/>
                <w:lang w:eastAsia="zh-CN"/>
              </w:rPr>
            </w:pPr>
            <w:r>
              <w:rPr>
                <w:rFonts w:hint="eastAsia" w:ascii="宋体" w:hAnsi="宋体" w:cs="宋体"/>
                <w:bCs/>
                <w:color w:val="auto"/>
                <w:szCs w:val="21"/>
                <w:highlight w:val="none"/>
              </w:rPr>
              <w:t>详见“第四章 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响应时间</w:t>
            </w:r>
          </w:p>
        </w:tc>
        <w:tc>
          <w:tcPr>
            <w:tcW w:w="6429" w:type="dxa"/>
            <w:noWrap/>
            <w:vAlign w:val="center"/>
          </w:tcPr>
          <w:p>
            <w:pPr>
              <w:adjustRightInd w:val="0"/>
              <w:snapToGrid w:val="0"/>
              <w:spacing w:line="400" w:lineRule="exact"/>
              <w:rPr>
                <w:rFonts w:hint="default" w:ascii="宋体" w:hAnsi="宋体" w:eastAsia="宋体"/>
                <w:color w:val="auto"/>
                <w:szCs w:val="21"/>
                <w:highlight w:val="none"/>
                <w:lang w:val="en-US" w:eastAsia="zh-CN"/>
              </w:rPr>
            </w:pPr>
            <w:r>
              <w:rPr>
                <w:rFonts w:hint="eastAsia" w:ascii="宋体" w:hAnsi="宋体" w:cs="宋体"/>
                <w:bCs/>
                <w:color w:val="auto"/>
                <w:szCs w:val="21"/>
                <w:highlight w:val="none"/>
              </w:rPr>
              <w:t>详见“第四章 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631" w:type="dxa"/>
            <w:noWrap/>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合同价款支付方式</w:t>
            </w:r>
          </w:p>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和条件</w:t>
            </w:r>
          </w:p>
        </w:tc>
        <w:tc>
          <w:tcPr>
            <w:tcW w:w="6429" w:type="dxa"/>
            <w:noWrap/>
            <w:vAlign w:val="center"/>
          </w:tcPr>
          <w:p>
            <w:pPr>
              <w:adjustRightInd w:val="0"/>
              <w:snapToGrid w:val="0"/>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（1）付款人：</w:t>
            </w:r>
            <w:r>
              <w:rPr>
                <w:rFonts w:hint="eastAsia" w:ascii="宋体" w:hAnsi="宋体" w:cs="宋体"/>
                <w:b w:val="0"/>
                <w:bCs/>
                <w:color w:val="auto"/>
                <w:kern w:val="2"/>
                <w:sz w:val="21"/>
                <w:szCs w:val="21"/>
                <w:highlight w:val="none"/>
                <w:lang w:val="en-US" w:eastAsia="zh-CN" w:bidi="ar-SA"/>
              </w:rPr>
              <w:t>湖南智谷鑫服物业管理有限公司</w:t>
            </w:r>
          </w:p>
          <w:p>
            <w:p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（2）付款方式：</w:t>
            </w:r>
            <w:r>
              <w:rPr>
                <w:rFonts w:hint="eastAsia" w:ascii="宋体" w:hAnsi="宋体" w:cs="宋体"/>
                <w:color w:val="auto"/>
                <w:szCs w:val="21"/>
                <w:highlight w:val="none"/>
              </w:rPr>
              <w:t>维保服务费按季度进行付款，乙方按规定每月完成保养2次，保质保量完成电梯维护保养工作，并经甲方认可，提供增值税专用发票后按季度支付相关款项。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伴随服务</w:t>
            </w:r>
          </w:p>
        </w:tc>
        <w:tc>
          <w:tcPr>
            <w:tcW w:w="6429" w:type="dxa"/>
            <w:noWrap/>
            <w:vAlign w:val="center"/>
          </w:tcPr>
          <w:p>
            <w:p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9"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解决争议的方式</w:t>
            </w:r>
          </w:p>
        </w:tc>
        <w:tc>
          <w:tcPr>
            <w:tcW w:w="6429" w:type="dxa"/>
            <w:noWrap/>
            <w:vAlign w:val="center"/>
          </w:tcPr>
          <w:p>
            <w:p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向甲方人民法院提起诉讼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合同未尽事项</w:t>
            </w:r>
          </w:p>
        </w:tc>
        <w:tc>
          <w:tcPr>
            <w:tcW w:w="6429" w:type="dxa"/>
            <w:noWrap/>
            <w:vAlign w:val="center"/>
          </w:tcPr>
          <w:p>
            <w:p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甲乙双方协商解决</w:t>
            </w:r>
          </w:p>
        </w:tc>
      </w:tr>
    </w:tbl>
    <w:p>
      <w:pPr>
        <w:adjustRightInd w:val="0"/>
        <w:snapToGrid w:val="0"/>
        <w:spacing w:line="360" w:lineRule="auto"/>
        <w:rPr>
          <w:rFonts w:ascii="黑体" w:hAnsi="宋体" w:eastAsia="黑体"/>
          <w:b/>
          <w:color w:val="auto"/>
          <w:sz w:val="30"/>
          <w:szCs w:val="30"/>
          <w:highlight w:val="none"/>
        </w:rPr>
      </w:pPr>
    </w:p>
    <w:p>
      <w:pPr>
        <w:rPr>
          <w:color w:val="auto"/>
          <w:kern w:val="0"/>
          <w:highlight w:val="none"/>
        </w:rPr>
      </w:pPr>
      <w:r>
        <w:rPr>
          <w:color w:val="auto"/>
          <w:kern w:val="0"/>
          <w:highlight w:val="none"/>
        </w:rPr>
        <w:br w:type="page"/>
      </w:r>
    </w:p>
    <w:p>
      <w:pPr>
        <w:spacing w:line="360" w:lineRule="exact"/>
        <w:jc w:val="center"/>
        <w:rPr>
          <w:rFonts w:ascii="黑体" w:eastAsia="黑体"/>
          <w:b/>
          <w:color w:val="auto"/>
          <w:sz w:val="32"/>
          <w:szCs w:val="32"/>
          <w:highlight w:val="none"/>
        </w:rPr>
      </w:pPr>
      <w:r>
        <w:rPr>
          <w:rFonts w:hint="eastAsia" w:ascii="黑体" w:hAnsi="宋体" w:eastAsia="黑体"/>
          <w:b/>
          <w:bCs/>
          <w:color w:val="auto"/>
          <w:sz w:val="32"/>
          <w:szCs w:val="32"/>
          <w:highlight w:val="none"/>
        </w:rPr>
        <w:t xml:space="preserve">第四章 </w:t>
      </w:r>
      <w:r>
        <w:rPr>
          <w:rFonts w:hint="eastAsia" w:ascii="黑体" w:eastAsia="黑体"/>
          <w:b/>
          <w:color w:val="auto"/>
          <w:sz w:val="32"/>
          <w:szCs w:val="32"/>
          <w:highlight w:val="none"/>
        </w:rPr>
        <w:t>采购需求</w:t>
      </w:r>
    </w:p>
    <w:p>
      <w:pPr>
        <w:adjustRightInd w:val="0"/>
        <w:snapToGrid w:val="0"/>
        <w:spacing w:line="360" w:lineRule="auto"/>
        <w:ind w:firstLine="480"/>
        <w:rPr>
          <w:b/>
          <w:color w:val="auto"/>
          <w:highlight w:val="none"/>
        </w:rPr>
      </w:pPr>
    </w:p>
    <w:p>
      <w:pPr>
        <w:numPr>
          <w:ilvl w:val="0"/>
          <w:numId w:val="4"/>
        </w:numPr>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采购项目名称：</w:t>
      </w:r>
    </w:p>
    <w:p>
      <w:pPr>
        <w:numPr>
          <w:ilvl w:val="0"/>
          <w:numId w:val="0"/>
        </w:numPr>
        <w:adjustRightInd w:val="0"/>
        <w:snapToGrid w:val="0"/>
        <w:spacing w:line="360" w:lineRule="auto"/>
        <w:ind w:firstLine="420" w:firstLineChars="200"/>
        <w:rPr>
          <w:rFonts w:hint="eastAsia" w:ascii="宋体" w:hAnsi="宋体" w:cs="宋体"/>
          <w:b w:val="0"/>
          <w:bCs/>
          <w:color w:val="auto"/>
          <w:szCs w:val="21"/>
          <w:highlight w:val="none"/>
          <w:lang w:val="zh-TW" w:eastAsia="zh-CN"/>
        </w:rPr>
      </w:pPr>
      <w:r>
        <w:rPr>
          <w:rFonts w:hint="eastAsia" w:ascii="宋体" w:hAnsi="宋体" w:cs="宋体"/>
          <w:b w:val="0"/>
          <w:bCs/>
          <w:color w:val="auto"/>
          <w:szCs w:val="21"/>
          <w:highlight w:val="none"/>
          <w:lang w:val="zh-TW" w:eastAsia="zh-CN"/>
        </w:rPr>
        <w:t>湖南智谷鑫服物业管理有限公司电梯维保服务</w:t>
      </w:r>
    </w:p>
    <w:p>
      <w:pPr>
        <w:numPr>
          <w:ilvl w:val="0"/>
          <w:numId w:val="4"/>
        </w:numPr>
        <w:adjustRightInd w:val="0"/>
        <w:snapToGrid w:val="0"/>
        <w:spacing w:line="360" w:lineRule="auto"/>
        <w:rPr>
          <w:rFonts w:hint="default"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项目概况：</w:t>
      </w:r>
    </w:p>
    <w:p>
      <w:pPr>
        <w:numPr>
          <w:ilvl w:val="0"/>
          <w:numId w:val="0"/>
        </w:numPr>
        <w:adjustRightInd w:val="0"/>
        <w:snapToGrid w:val="0"/>
        <w:spacing w:line="360" w:lineRule="auto"/>
        <w:ind w:firstLine="420" w:firstLineChars="200"/>
        <w:rPr>
          <w:rFonts w:hint="eastAsia" w:ascii="宋体" w:hAnsi="宋体" w:cs="宋体"/>
          <w:b w:val="0"/>
          <w:bCs/>
          <w:color w:val="auto"/>
          <w:szCs w:val="21"/>
          <w:highlight w:val="none"/>
          <w:lang w:val="en-US" w:eastAsia="zh-CN"/>
        </w:rPr>
      </w:pPr>
      <w:r>
        <w:rPr>
          <w:rFonts w:hint="eastAsia" w:ascii="宋体" w:hAnsi="宋体" w:cs="宋体"/>
          <w:b w:val="0"/>
          <w:bCs/>
          <w:color w:val="auto"/>
          <w:szCs w:val="21"/>
          <w:highlight w:val="none"/>
          <w:lang w:val="en-US" w:eastAsia="zh-CN"/>
        </w:rPr>
        <w:t>项目位于岳麓高新区学士街道学士路336号湖南省检验检测特色产业园，属于工业园区。</w:t>
      </w:r>
    </w:p>
    <w:p>
      <w:pPr>
        <w:numPr>
          <w:ilvl w:val="0"/>
          <w:numId w:val="4"/>
        </w:numPr>
        <w:adjustRightInd w:val="0"/>
        <w:snapToGrid w:val="0"/>
        <w:spacing w:line="360" w:lineRule="auto"/>
        <w:rPr>
          <w:rFonts w:hint="default"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采购内容及要求：</w:t>
      </w:r>
    </w:p>
    <w:p>
      <w:pPr>
        <w:numPr>
          <w:ilvl w:val="0"/>
          <w:numId w:val="0"/>
        </w:numPr>
        <w:adjustRightInd w:val="0"/>
        <w:snapToGrid w:val="0"/>
        <w:spacing w:line="360" w:lineRule="auto"/>
        <w:ind w:firstLine="420" w:firstLineChars="200"/>
        <w:rPr>
          <w:rFonts w:hint="default" w:ascii="宋体" w:hAnsi="宋体" w:cs="宋体"/>
          <w:b w:val="0"/>
          <w:bCs/>
          <w:color w:val="auto"/>
          <w:szCs w:val="21"/>
          <w:highlight w:val="none"/>
          <w:lang w:val="en-US" w:eastAsia="zh-CN"/>
        </w:rPr>
      </w:pPr>
      <w:r>
        <w:rPr>
          <w:rFonts w:hint="default" w:ascii="宋体" w:hAnsi="宋体" w:cs="宋体"/>
          <w:b w:val="0"/>
          <w:bCs/>
          <w:color w:val="auto"/>
          <w:szCs w:val="21"/>
          <w:highlight w:val="none"/>
          <w:lang w:val="en-US" w:eastAsia="zh-CN"/>
        </w:rPr>
        <w:t>负责检验检测特色产业园、综合楼电梯的日常维修保养服务，并保质保量完成电梯维保工作。</w:t>
      </w:r>
    </w:p>
    <w:p>
      <w:pPr>
        <w:numPr>
          <w:ilvl w:val="0"/>
          <w:numId w:val="4"/>
        </w:numPr>
        <w:adjustRightInd w:val="0"/>
        <w:snapToGrid w:val="0"/>
        <w:spacing w:line="360" w:lineRule="auto"/>
        <w:rPr>
          <w:rFonts w:hint="default"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服务要求：</w:t>
      </w:r>
    </w:p>
    <w:p>
      <w:pPr>
        <w:numPr>
          <w:ilvl w:val="0"/>
          <w:numId w:val="0"/>
        </w:numPr>
        <w:adjustRightInd w:val="0"/>
        <w:snapToGrid w:val="0"/>
        <w:spacing w:line="360" w:lineRule="auto"/>
        <w:ind w:firstLine="420" w:firstLineChars="200"/>
        <w:rPr>
          <w:rFonts w:hint="eastAsia" w:ascii="宋体" w:hAnsi="宋体" w:cs="宋体"/>
          <w:b w:val="0"/>
          <w:bCs/>
          <w:color w:val="auto"/>
          <w:szCs w:val="21"/>
          <w:highlight w:val="none"/>
          <w:lang w:val="en-US" w:eastAsia="zh-CN"/>
        </w:rPr>
      </w:pPr>
      <w:r>
        <w:rPr>
          <w:rFonts w:hint="eastAsia" w:ascii="宋体" w:hAnsi="宋体" w:cs="宋体"/>
          <w:b w:val="0"/>
          <w:bCs/>
          <w:color w:val="auto"/>
          <w:szCs w:val="21"/>
          <w:highlight w:val="none"/>
          <w:lang w:val="en-US" w:eastAsia="zh-CN"/>
        </w:rPr>
        <w:t>（1）供应商自主聘用工作人员，应遵守国家及地方法规的相关规定，为聘用人员购买社会保险，所聘任人员所发生的任何经济纠纷及安全责任事故与采购人无关，皆由供应商负责。</w:t>
      </w:r>
    </w:p>
    <w:p>
      <w:pPr>
        <w:numPr>
          <w:ilvl w:val="0"/>
          <w:numId w:val="0"/>
        </w:numPr>
        <w:adjustRightInd w:val="0"/>
        <w:snapToGrid w:val="0"/>
        <w:spacing w:line="360" w:lineRule="auto"/>
        <w:ind w:firstLine="420" w:firstLineChars="200"/>
        <w:rPr>
          <w:rFonts w:hint="eastAsia" w:ascii="宋体" w:hAnsi="宋体" w:cs="宋体"/>
          <w:b w:val="0"/>
          <w:bCs/>
          <w:color w:val="auto"/>
          <w:szCs w:val="21"/>
          <w:highlight w:val="none"/>
          <w:lang w:val="en-US" w:eastAsia="zh-CN"/>
        </w:rPr>
      </w:pPr>
      <w:r>
        <w:rPr>
          <w:rFonts w:hint="eastAsia" w:ascii="宋体" w:hAnsi="宋体" w:cs="宋体"/>
          <w:b w:val="0"/>
          <w:bCs/>
          <w:color w:val="auto"/>
          <w:szCs w:val="21"/>
          <w:highlight w:val="none"/>
          <w:lang w:val="en-US" w:eastAsia="zh-CN"/>
        </w:rPr>
        <w:t>（2）供应商驻场工作人员需持中华人民共和国特种设备作业人员证上岗，必须严格按照维修保养工作流程作业，确保检修安全。如发生一切意外事故，均由供应商承担，采购人不承担任何责任和费用。</w:t>
      </w:r>
    </w:p>
    <w:p>
      <w:pPr>
        <w:numPr>
          <w:ilvl w:val="0"/>
          <w:numId w:val="0"/>
        </w:numPr>
        <w:adjustRightInd w:val="0"/>
        <w:snapToGrid w:val="0"/>
        <w:spacing w:line="360" w:lineRule="auto"/>
        <w:ind w:firstLine="420" w:firstLineChars="200"/>
        <w:rPr>
          <w:rFonts w:hint="default" w:ascii="宋体" w:hAnsi="宋体" w:cs="宋体"/>
          <w:b w:val="0"/>
          <w:bCs/>
          <w:color w:val="auto"/>
          <w:szCs w:val="21"/>
          <w:highlight w:val="none"/>
          <w:lang w:val="en-US" w:eastAsia="zh-CN"/>
        </w:rPr>
      </w:pPr>
      <w:r>
        <w:rPr>
          <w:rFonts w:hint="eastAsia" w:ascii="宋体" w:hAnsi="宋体" w:cs="宋体"/>
          <w:b w:val="0"/>
          <w:bCs/>
          <w:color w:val="auto"/>
          <w:szCs w:val="21"/>
          <w:highlight w:val="none"/>
          <w:lang w:val="en-US" w:eastAsia="zh-CN"/>
        </w:rPr>
        <w:t>（3）供应商需在规定时间内处理紧急故障，一般事故不得超过24小时。</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lang w:eastAsia="zh-CN"/>
        </w:rPr>
        <w:t>七</w:t>
      </w:r>
      <w:r>
        <w:rPr>
          <w:rFonts w:hint="eastAsia" w:ascii="宋体" w:hAnsi="宋体" w:cs="宋体"/>
          <w:b/>
          <w:color w:val="auto"/>
          <w:szCs w:val="21"/>
          <w:highlight w:val="none"/>
        </w:rPr>
        <w:t>、其他要求及说明</w:t>
      </w:r>
    </w:p>
    <w:p>
      <w:pPr>
        <w:adjustRightInd w:val="0"/>
        <w:snapToGrid w:val="0"/>
        <w:spacing w:line="360" w:lineRule="auto"/>
        <w:ind w:firstLine="211" w:firstLineChars="100"/>
        <w:rPr>
          <w:rFonts w:ascii="宋体" w:hAnsi="宋体" w:cs="宋体"/>
          <w:b/>
          <w:bCs w:val="0"/>
          <w:color w:val="auto"/>
          <w:szCs w:val="21"/>
          <w:highlight w:val="none"/>
        </w:rPr>
      </w:pPr>
      <w:r>
        <w:rPr>
          <w:rFonts w:hint="eastAsia" w:ascii="宋体" w:hAnsi="宋体" w:cs="宋体"/>
          <w:b/>
          <w:bCs w:val="0"/>
          <w:color w:val="auto"/>
          <w:szCs w:val="21"/>
          <w:highlight w:val="none"/>
        </w:rPr>
        <w:t>1、服务</w:t>
      </w:r>
      <w:r>
        <w:rPr>
          <w:rFonts w:hint="eastAsia" w:ascii="宋体" w:hAnsi="宋体" w:cs="宋体"/>
          <w:b/>
          <w:bCs w:val="0"/>
          <w:color w:val="auto"/>
          <w:szCs w:val="21"/>
          <w:highlight w:val="none"/>
          <w:lang w:eastAsia="zh-CN"/>
        </w:rPr>
        <w:t>期限</w:t>
      </w:r>
      <w:r>
        <w:rPr>
          <w:rFonts w:hint="eastAsia" w:ascii="宋体" w:hAnsi="宋体" w:cs="宋体"/>
          <w:b/>
          <w:bCs w:val="0"/>
          <w:color w:val="auto"/>
          <w:szCs w:val="21"/>
          <w:highlight w:val="none"/>
        </w:rPr>
        <w:t>及地点</w:t>
      </w:r>
    </w:p>
    <w:p>
      <w:pPr>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1.1服务期限：</w:t>
      </w:r>
      <w:r>
        <w:rPr>
          <w:rFonts w:hint="eastAsia" w:ascii="宋体" w:hAnsi="宋体" w:cs="宋体"/>
          <w:bCs/>
          <w:color w:val="auto"/>
          <w:szCs w:val="21"/>
          <w:highlight w:val="none"/>
          <w:lang w:val="en-US" w:eastAsia="zh-CN"/>
        </w:rPr>
        <w:t>签订合同之日起三年</w:t>
      </w:r>
      <w:r>
        <w:rPr>
          <w:rFonts w:hint="eastAsia" w:ascii="宋体" w:hAnsi="宋体" w:cs="宋体"/>
          <w:bCs/>
          <w:color w:val="auto"/>
          <w:szCs w:val="21"/>
          <w:highlight w:val="none"/>
        </w:rPr>
        <w:t>。</w:t>
      </w:r>
    </w:p>
    <w:p>
      <w:pPr>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1.2实施地点：采购人指定地点。</w:t>
      </w:r>
    </w:p>
    <w:p>
      <w:pPr>
        <w:spacing w:line="360" w:lineRule="auto"/>
        <w:ind w:firstLine="211" w:firstLineChars="100"/>
        <w:rPr>
          <w:rFonts w:ascii="宋体" w:hAnsi="宋体" w:cs="宋体"/>
          <w:b/>
          <w:bCs/>
          <w:color w:val="auto"/>
          <w:szCs w:val="21"/>
          <w:highlight w:val="none"/>
        </w:rPr>
      </w:pP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、结算方法</w:t>
      </w:r>
    </w:p>
    <w:p>
      <w:pPr>
        <w:spacing w:line="360" w:lineRule="auto"/>
        <w:ind w:left="623" w:leftChars="200" w:hanging="203" w:hangingChars="97"/>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.1付款人：</w:t>
      </w:r>
      <w:r>
        <w:rPr>
          <w:rFonts w:hint="eastAsia" w:ascii="宋体" w:hAnsi="宋体" w:cs="宋体"/>
          <w:b w:val="0"/>
          <w:bCs/>
          <w:color w:val="auto"/>
          <w:kern w:val="2"/>
          <w:sz w:val="21"/>
          <w:szCs w:val="21"/>
          <w:highlight w:val="none"/>
          <w:lang w:val="en-US" w:eastAsia="zh-CN" w:bidi="ar-SA"/>
        </w:rPr>
        <w:t>湖南智谷鑫服物业管理有限公司</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.2付款方式：维保服务费按季度进行付款，乙方按规定每月</w:t>
      </w:r>
      <w:r>
        <w:rPr>
          <w:rFonts w:hint="eastAsia" w:ascii="宋体" w:hAnsi="宋体" w:cs="宋体"/>
          <w:color w:val="auto"/>
          <w:szCs w:val="21"/>
          <w:highlight w:val="none"/>
          <w:lang w:val="en-US" w:eastAsia="zh-CN"/>
        </w:rPr>
        <w:t>至少</w:t>
      </w:r>
      <w:r>
        <w:rPr>
          <w:rFonts w:hint="eastAsia" w:ascii="宋体" w:hAnsi="宋体" w:cs="宋体"/>
          <w:color w:val="auto"/>
          <w:szCs w:val="21"/>
          <w:highlight w:val="none"/>
        </w:rPr>
        <w:t>完成保养2次，保质保量完成电梯维护保养工作，并经甲方认可，提供增值税专用发票后按季度支付相关款项。</w:t>
      </w:r>
    </w:p>
    <w:p>
      <w:pPr>
        <w:pStyle w:val="28"/>
        <w:numPr>
          <w:ilvl w:val="0"/>
          <w:numId w:val="0"/>
        </w:numPr>
        <w:ind w:leftChars="0" w:firstLine="211" w:firstLineChars="100"/>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3、</w:t>
      </w:r>
      <w:r>
        <w:rPr>
          <w:rFonts w:hint="eastAsia" w:ascii="宋体" w:hAnsi="宋体" w:eastAsia="宋体" w:cs="宋体"/>
          <w:b/>
          <w:bCs/>
          <w:color w:val="auto"/>
          <w:kern w:val="2"/>
          <w:sz w:val="21"/>
          <w:szCs w:val="21"/>
          <w:highlight w:val="none"/>
          <w:lang w:val="en-US" w:eastAsia="zh-CN" w:bidi="ar-SA"/>
        </w:rPr>
        <w:t>费用上限值</w:t>
      </w:r>
    </w:p>
    <w:p>
      <w:pPr>
        <w:pStyle w:val="2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20" w:firstLineChars="200"/>
        <w:textAlignment w:val="auto"/>
        <w:rPr>
          <w:rFonts w:hint="eastAsia" w:ascii="宋体" w:hAnsi="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电梯维保共计</w:t>
      </w:r>
      <w:r>
        <w:rPr>
          <w:rFonts w:hint="eastAsia" w:ascii="宋体" w:hAnsi="宋体" w:cs="宋体"/>
          <w:b w:val="0"/>
          <w:bCs/>
          <w:color w:val="auto"/>
          <w:kern w:val="2"/>
          <w:sz w:val="21"/>
          <w:szCs w:val="21"/>
          <w:highlight w:val="none"/>
          <w:lang w:val="en-US" w:eastAsia="zh-CN" w:bidi="ar-SA"/>
        </w:rPr>
        <w:t>56</w:t>
      </w:r>
      <w:r>
        <w:rPr>
          <w:rFonts w:hint="eastAsia" w:ascii="宋体" w:hAnsi="宋体" w:eastAsia="宋体" w:cs="宋体"/>
          <w:b w:val="0"/>
          <w:bCs/>
          <w:color w:val="auto"/>
          <w:kern w:val="2"/>
          <w:sz w:val="21"/>
          <w:szCs w:val="21"/>
          <w:highlight w:val="none"/>
          <w:lang w:val="en-US" w:eastAsia="zh-CN" w:bidi="ar-SA"/>
        </w:rPr>
        <w:t>台，维保期限为3年</w:t>
      </w:r>
      <w:r>
        <w:rPr>
          <w:rFonts w:hint="eastAsia" w:ascii="宋体" w:hAnsi="宋体" w:cs="宋体"/>
          <w:b w:val="0"/>
          <w:bCs/>
          <w:color w:val="auto"/>
          <w:kern w:val="2"/>
          <w:sz w:val="21"/>
          <w:szCs w:val="21"/>
          <w:highlight w:val="none"/>
          <w:lang w:val="en-US" w:eastAsia="zh-CN" w:bidi="ar-SA"/>
        </w:rPr>
        <w:t>；</w:t>
      </w:r>
      <w:r>
        <w:rPr>
          <w:rFonts w:hint="eastAsia" w:ascii="宋体" w:hAnsi="宋体" w:eastAsia="宋体" w:cs="宋体"/>
          <w:b w:val="0"/>
          <w:bCs/>
          <w:color w:val="auto"/>
          <w:kern w:val="2"/>
          <w:sz w:val="21"/>
          <w:szCs w:val="21"/>
          <w:highlight w:val="none"/>
          <w:lang w:val="en-US" w:eastAsia="zh-CN" w:bidi="ar-SA"/>
        </w:rPr>
        <w:t>总费用不超过</w:t>
      </w:r>
      <w:r>
        <w:rPr>
          <w:rFonts w:hint="eastAsia" w:ascii="宋体" w:hAnsi="宋体" w:cs="宋体"/>
          <w:b w:val="0"/>
          <w:bCs/>
          <w:color w:val="auto"/>
          <w:kern w:val="2"/>
          <w:sz w:val="21"/>
          <w:szCs w:val="21"/>
          <w:highlight w:val="none"/>
          <w:lang w:val="en-US" w:eastAsia="zh-CN" w:bidi="ar-SA"/>
        </w:rPr>
        <w:t>672000.00元。</w:t>
      </w:r>
    </w:p>
    <w:p>
      <w:pPr>
        <w:pStyle w:val="2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211" w:firstLineChars="100"/>
        <w:textAlignment w:val="auto"/>
        <w:rPr>
          <w:rFonts w:hint="eastAsia" w:ascii="宋体" w:hAnsi="宋体" w:cs="宋体"/>
          <w:b w:val="0"/>
          <w:bCs/>
          <w:color w:val="auto"/>
          <w:kern w:val="2"/>
          <w:sz w:val="21"/>
          <w:szCs w:val="21"/>
          <w:highlight w:val="none"/>
          <w:lang w:val="en-US" w:eastAsia="zh-CN" w:bidi="ar-SA"/>
        </w:rPr>
      </w:pPr>
      <w:r>
        <w:rPr>
          <w:rFonts w:hint="eastAsia" w:ascii="宋体" w:hAnsi="宋体" w:cs="宋体"/>
          <w:b/>
          <w:bCs w:val="0"/>
          <w:color w:val="auto"/>
          <w:kern w:val="2"/>
          <w:sz w:val="21"/>
          <w:szCs w:val="21"/>
          <w:highlight w:val="none"/>
          <w:lang w:val="en-US" w:eastAsia="zh-CN" w:bidi="ar-SA"/>
        </w:rPr>
        <w:t>4、服务期间电梯如需更换配件，单件配件金额在2000元（含）以内由成交供应商自行负责，单件配件金额在2000元以上由采购人负责。</w:t>
      </w:r>
    </w:p>
    <w:p>
      <w:pPr>
        <w:pStyle w:val="28"/>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宋体" w:hAnsi="宋体" w:cs="宋体"/>
          <w:b w:val="0"/>
          <w:bCs/>
          <w:color w:val="auto"/>
          <w:kern w:val="2"/>
          <w:sz w:val="21"/>
          <w:szCs w:val="21"/>
          <w:highlight w:val="none"/>
          <w:lang w:val="en-US" w:eastAsia="zh-CN" w:bidi="ar-SA"/>
        </w:rPr>
      </w:pPr>
      <w:r>
        <w:rPr>
          <w:rFonts w:hint="eastAsia" w:ascii="宋体" w:hAnsi="宋体" w:cs="宋体"/>
          <w:b w:val="0"/>
          <w:bCs/>
          <w:color w:val="auto"/>
          <w:kern w:val="2"/>
          <w:sz w:val="21"/>
          <w:szCs w:val="21"/>
          <w:highlight w:val="none"/>
          <w:lang w:val="en-US" w:eastAsia="zh-CN" w:bidi="ar-SA"/>
        </w:rPr>
        <w:t xml:space="preserve">  </w:t>
      </w:r>
      <w:r>
        <w:rPr>
          <w:rFonts w:hint="eastAsia" w:ascii="宋体" w:hAnsi="宋体" w:cs="宋体"/>
          <w:b/>
          <w:bCs w:val="0"/>
          <w:color w:val="auto"/>
          <w:kern w:val="2"/>
          <w:sz w:val="21"/>
          <w:szCs w:val="21"/>
          <w:highlight w:val="none"/>
          <w:lang w:val="en-US" w:eastAsia="zh-CN" w:bidi="ar-SA"/>
        </w:rPr>
        <w:t>5、因集团扁平化管理，采购人为湖南智谷投资发展集团有限公司，但合同签订、项目验收及项目付款为湖南智谷鑫服物业管理有限公司，该公司系湖南智谷投资发展集团有限公司的项目公司。</w:t>
      </w:r>
    </w:p>
    <w:p>
      <w:pPr>
        <w:spacing w:line="360" w:lineRule="auto"/>
        <w:ind w:firstLine="211" w:firstLineChars="100"/>
        <w:rPr>
          <w:rFonts w:ascii="宋体" w:hAnsi="宋体" w:cs="宋体"/>
          <w:color w:val="auto"/>
          <w:szCs w:val="21"/>
          <w:highlight w:val="none"/>
        </w:rPr>
      </w:pPr>
      <w:r>
        <w:rPr>
          <w:rFonts w:hint="eastAsia" w:ascii="宋体" w:hAnsi="宋体" w:cs="宋体"/>
          <w:b/>
          <w:color w:val="auto"/>
          <w:szCs w:val="21"/>
          <w:highlight w:val="none"/>
          <w:lang w:val="en-US" w:eastAsia="zh-CN"/>
        </w:rPr>
        <w:t>6、</w:t>
      </w:r>
      <w:r>
        <w:rPr>
          <w:rFonts w:hint="eastAsia" w:ascii="宋体" w:hAnsi="宋体" w:cs="宋体"/>
          <w:b/>
          <w:color w:val="auto"/>
          <w:szCs w:val="21"/>
          <w:highlight w:val="none"/>
        </w:rPr>
        <w:t>对于上述项目要求，投标人应在投标文件中进行回应，作出承诺及说明。</w:t>
      </w:r>
    </w:p>
    <w:p>
      <w:pPr>
        <w:adjustRightInd w:val="0"/>
        <w:snapToGrid w:val="0"/>
        <w:spacing w:line="360" w:lineRule="auto"/>
        <w:ind w:firstLine="643" w:firstLineChars="200"/>
        <w:jc w:val="center"/>
        <w:rPr>
          <w:rFonts w:ascii="黑体" w:eastAsia="黑体"/>
          <w:b/>
          <w:color w:val="auto"/>
          <w:sz w:val="32"/>
          <w:szCs w:val="32"/>
          <w:highlight w:val="none"/>
        </w:rPr>
      </w:pPr>
      <w:r>
        <w:rPr>
          <w:rFonts w:hint="eastAsia" w:ascii="黑体" w:eastAsia="黑体"/>
          <w:b/>
          <w:color w:val="auto"/>
          <w:sz w:val="32"/>
          <w:szCs w:val="32"/>
          <w:highlight w:val="none"/>
        </w:rPr>
        <w:br w:type="page"/>
      </w:r>
      <w:r>
        <w:rPr>
          <w:rFonts w:hint="eastAsia" w:ascii="黑体" w:eastAsia="黑体"/>
          <w:b/>
          <w:color w:val="auto"/>
          <w:sz w:val="32"/>
          <w:szCs w:val="32"/>
          <w:highlight w:val="none"/>
        </w:rPr>
        <w:t>第五章 响应文件组成</w:t>
      </w:r>
    </w:p>
    <w:p>
      <w:pPr>
        <w:spacing w:line="360" w:lineRule="exact"/>
        <w:rPr>
          <w:rFonts w:ascii="宋体"/>
          <w:color w:val="auto"/>
          <w:highlight w:val="none"/>
        </w:rPr>
      </w:pPr>
    </w:p>
    <w:p>
      <w:pPr>
        <w:spacing w:line="360" w:lineRule="auto"/>
        <w:rPr>
          <w:rFonts w:ascii="宋体"/>
          <w:color w:val="auto"/>
          <w:highlight w:val="none"/>
        </w:rPr>
      </w:pPr>
      <w:r>
        <w:rPr>
          <w:rFonts w:hint="eastAsia" w:ascii="宋体"/>
          <w:color w:val="auto"/>
          <w:highlight w:val="none"/>
        </w:rPr>
        <w:t>供应商的响应文件应包含以下十一个部分：</w:t>
      </w:r>
    </w:p>
    <w:p>
      <w:pPr>
        <w:adjustRightInd w:val="0"/>
        <w:snapToGrid w:val="0"/>
        <w:spacing w:line="360" w:lineRule="auto"/>
        <w:jc w:val="left"/>
        <w:outlineLvl w:val="0"/>
        <w:rPr>
          <w:rFonts w:ascii="宋体" w:hAnsi="宋体"/>
          <w:b/>
          <w:color w:val="auto"/>
          <w:szCs w:val="21"/>
          <w:highlight w:val="none"/>
        </w:rPr>
      </w:pPr>
      <w:r>
        <w:rPr>
          <w:rFonts w:hint="eastAsia" w:ascii="宋体" w:hAnsi="宋体"/>
          <w:b/>
          <w:color w:val="auto"/>
          <w:szCs w:val="21"/>
          <w:highlight w:val="none"/>
        </w:rPr>
        <w:t>一、磋商响应声明</w:t>
      </w:r>
    </w:p>
    <w:p>
      <w:pPr>
        <w:adjustRightInd w:val="0"/>
        <w:snapToGrid w:val="0"/>
        <w:spacing w:line="360" w:lineRule="auto"/>
        <w:ind w:firstLine="420" w:firstLineChars="200"/>
        <w:jc w:val="left"/>
        <w:outlineLvl w:val="0"/>
        <w:rPr>
          <w:rFonts w:ascii="宋体" w:hAnsi="宋体"/>
          <w:color w:val="auto"/>
          <w:szCs w:val="21"/>
          <w:highlight w:val="none"/>
        </w:rPr>
      </w:pPr>
      <w:r>
        <w:rPr>
          <w:rFonts w:hint="eastAsia" w:ascii="宋体" w:hAnsi="宋体"/>
          <w:color w:val="auto"/>
          <w:szCs w:val="21"/>
          <w:highlight w:val="none"/>
        </w:rPr>
        <w:t>附件1：法定代表人身份证明</w:t>
      </w:r>
    </w:p>
    <w:p>
      <w:pPr>
        <w:adjustRightInd w:val="0"/>
        <w:snapToGrid w:val="0"/>
        <w:spacing w:line="360" w:lineRule="auto"/>
        <w:ind w:firstLine="420" w:firstLineChars="200"/>
        <w:jc w:val="left"/>
        <w:outlineLvl w:val="0"/>
        <w:rPr>
          <w:rFonts w:ascii="宋体" w:hAnsi="宋体"/>
          <w:color w:val="auto"/>
          <w:szCs w:val="21"/>
          <w:highlight w:val="none"/>
        </w:rPr>
      </w:pPr>
      <w:r>
        <w:rPr>
          <w:rFonts w:hint="eastAsia" w:ascii="宋体" w:hAnsi="宋体"/>
          <w:color w:val="auto"/>
          <w:szCs w:val="21"/>
          <w:highlight w:val="none"/>
        </w:rPr>
        <w:t>附件2：法定代表人授权委托书</w:t>
      </w:r>
    </w:p>
    <w:p>
      <w:pPr>
        <w:adjustRightInd w:val="0"/>
        <w:snapToGrid w:val="0"/>
        <w:spacing w:line="360" w:lineRule="auto"/>
        <w:jc w:val="left"/>
        <w:outlineLvl w:val="0"/>
        <w:rPr>
          <w:rFonts w:ascii="宋体" w:hAnsi="宋体"/>
          <w:b/>
          <w:color w:val="auto"/>
          <w:szCs w:val="21"/>
          <w:highlight w:val="none"/>
        </w:rPr>
      </w:pPr>
      <w:r>
        <w:rPr>
          <w:rFonts w:hint="eastAsia" w:ascii="宋体" w:hAnsi="宋体"/>
          <w:b/>
          <w:color w:val="auto"/>
          <w:szCs w:val="21"/>
          <w:highlight w:val="none"/>
        </w:rPr>
        <w:t>二、保证金</w:t>
      </w:r>
    </w:p>
    <w:p>
      <w:pPr>
        <w:adjustRightInd w:val="0"/>
        <w:snapToGrid w:val="0"/>
        <w:spacing w:line="360" w:lineRule="auto"/>
        <w:jc w:val="left"/>
        <w:outlineLvl w:val="0"/>
        <w:rPr>
          <w:rFonts w:ascii="宋体" w:hAnsi="宋体"/>
          <w:b/>
          <w:color w:val="auto"/>
          <w:szCs w:val="21"/>
          <w:highlight w:val="none"/>
        </w:rPr>
      </w:pPr>
      <w:r>
        <w:rPr>
          <w:rFonts w:hint="eastAsia" w:ascii="宋体" w:hAnsi="宋体"/>
          <w:b/>
          <w:color w:val="auto"/>
          <w:szCs w:val="21"/>
          <w:highlight w:val="none"/>
        </w:rPr>
        <w:t>三、联合体协议（本项目不适用）</w:t>
      </w:r>
    </w:p>
    <w:p>
      <w:pPr>
        <w:adjustRightInd w:val="0"/>
        <w:snapToGrid w:val="0"/>
        <w:spacing w:line="360" w:lineRule="auto"/>
        <w:jc w:val="left"/>
        <w:outlineLvl w:val="0"/>
        <w:rPr>
          <w:rFonts w:ascii="宋体" w:hAnsi="宋体"/>
          <w:b/>
          <w:color w:val="auto"/>
          <w:szCs w:val="21"/>
          <w:highlight w:val="none"/>
        </w:rPr>
      </w:pPr>
      <w:r>
        <w:rPr>
          <w:rFonts w:hint="eastAsia" w:ascii="宋体" w:hAnsi="宋体"/>
          <w:b/>
          <w:color w:val="auto"/>
          <w:szCs w:val="21"/>
          <w:highlight w:val="none"/>
        </w:rPr>
        <w:t>四、供应商的资格证明资料</w:t>
      </w:r>
    </w:p>
    <w:p>
      <w:pPr>
        <w:adjustRightInd w:val="0"/>
        <w:snapToGrid w:val="0"/>
        <w:spacing w:line="360" w:lineRule="auto"/>
        <w:ind w:firstLine="420" w:firstLineChars="200"/>
        <w:jc w:val="left"/>
        <w:outlineLvl w:val="0"/>
        <w:rPr>
          <w:rFonts w:ascii="宋体" w:hAnsi="宋体"/>
          <w:color w:val="auto"/>
          <w:szCs w:val="21"/>
          <w:highlight w:val="none"/>
        </w:rPr>
      </w:pPr>
      <w:r>
        <w:rPr>
          <w:rFonts w:hint="eastAsia" w:ascii="宋体" w:hAnsi="宋体"/>
          <w:color w:val="auto"/>
          <w:szCs w:val="21"/>
          <w:highlight w:val="none"/>
        </w:rPr>
        <w:t>附件3：供应商基本情况表</w:t>
      </w:r>
    </w:p>
    <w:p>
      <w:pPr>
        <w:adjustRightInd w:val="0"/>
        <w:snapToGrid w:val="0"/>
        <w:spacing w:line="360" w:lineRule="auto"/>
        <w:ind w:firstLine="420" w:firstLineChars="200"/>
        <w:outlineLvl w:val="0"/>
        <w:rPr>
          <w:rFonts w:ascii="宋体" w:hAnsi="宋体"/>
          <w:color w:val="auto"/>
          <w:szCs w:val="21"/>
          <w:highlight w:val="none"/>
        </w:rPr>
      </w:pPr>
      <w:r>
        <w:rPr>
          <w:rFonts w:hint="eastAsia" w:ascii="宋体" w:hAnsi="宋体"/>
          <w:color w:val="auto"/>
          <w:szCs w:val="21"/>
          <w:highlight w:val="none"/>
        </w:rPr>
        <w:t>附件4：磋商文件规定的基本资格条件证明资料</w:t>
      </w:r>
    </w:p>
    <w:p>
      <w:pPr>
        <w:adjustRightInd w:val="0"/>
        <w:snapToGrid w:val="0"/>
        <w:spacing w:line="360" w:lineRule="auto"/>
        <w:ind w:firstLine="420" w:firstLineChars="200"/>
        <w:outlineLvl w:val="0"/>
        <w:rPr>
          <w:rFonts w:ascii="宋体" w:hAnsi="宋体"/>
          <w:color w:val="auto"/>
          <w:szCs w:val="21"/>
          <w:highlight w:val="none"/>
        </w:rPr>
      </w:pPr>
      <w:r>
        <w:rPr>
          <w:rFonts w:hint="eastAsia" w:ascii="宋体" w:hAnsi="宋体"/>
          <w:color w:val="auto"/>
          <w:szCs w:val="21"/>
          <w:highlight w:val="none"/>
        </w:rPr>
        <w:t>附件5：磋商文件规定的特定资格条件证明资料</w:t>
      </w:r>
    </w:p>
    <w:p>
      <w:pPr>
        <w:adjustRightInd w:val="0"/>
        <w:snapToGrid w:val="0"/>
        <w:spacing w:line="360" w:lineRule="auto"/>
        <w:ind w:firstLine="420" w:firstLineChars="200"/>
        <w:outlineLvl w:val="0"/>
        <w:rPr>
          <w:rFonts w:ascii="宋体" w:hAnsi="宋体"/>
          <w:bCs/>
          <w:color w:val="auto"/>
          <w:szCs w:val="21"/>
          <w:highlight w:val="none"/>
        </w:rPr>
      </w:pPr>
      <w:r>
        <w:rPr>
          <w:rFonts w:hint="eastAsia" w:ascii="宋体" w:hAnsi="宋体"/>
          <w:bCs/>
          <w:color w:val="auto"/>
          <w:szCs w:val="21"/>
          <w:highlight w:val="none"/>
        </w:rPr>
        <w:t>附件6：其他说明</w:t>
      </w:r>
    </w:p>
    <w:p>
      <w:pPr>
        <w:pStyle w:val="23"/>
        <w:adjustRightInd w:val="0"/>
        <w:snapToGrid w:val="0"/>
        <w:spacing w:line="360" w:lineRule="auto"/>
        <w:rPr>
          <w:rFonts w:hAnsi="宋体"/>
          <w:b/>
          <w:color w:val="auto"/>
          <w:highlight w:val="none"/>
        </w:rPr>
      </w:pPr>
      <w:r>
        <w:rPr>
          <w:rFonts w:hint="eastAsia" w:hAnsi="宋体"/>
          <w:b/>
          <w:color w:val="auto"/>
          <w:highlight w:val="none"/>
        </w:rPr>
        <w:t>五、服务方案</w:t>
      </w:r>
    </w:p>
    <w:p>
      <w:pPr>
        <w:pStyle w:val="23"/>
        <w:adjustRightInd w:val="0"/>
        <w:snapToGrid w:val="0"/>
        <w:spacing w:line="360" w:lineRule="auto"/>
        <w:ind w:firstLine="435"/>
        <w:rPr>
          <w:rFonts w:hAnsi="宋体"/>
          <w:color w:val="auto"/>
          <w:highlight w:val="none"/>
        </w:rPr>
      </w:pPr>
      <w:r>
        <w:rPr>
          <w:rFonts w:hint="eastAsia" w:hAnsi="宋体"/>
          <w:color w:val="auto"/>
          <w:highlight w:val="none"/>
        </w:rPr>
        <w:t>附件7-1：服务方案说明</w:t>
      </w:r>
    </w:p>
    <w:p>
      <w:pPr>
        <w:pStyle w:val="23"/>
        <w:adjustRightInd w:val="0"/>
        <w:snapToGrid w:val="0"/>
        <w:spacing w:line="360" w:lineRule="auto"/>
        <w:ind w:firstLine="435"/>
        <w:rPr>
          <w:rFonts w:hAnsi="宋体"/>
          <w:b/>
          <w:color w:val="auto"/>
          <w:highlight w:val="none"/>
        </w:rPr>
      </w:pPr>
      <w:r>
        <w:rPr>
          <w:rFonts w:hint="eastAsia" w:hAnsi="宋体"/>
          <w:color w:val="auto"/>
          <w:highlight w:val="none"/>
        </w:rPr>
        <w:t>附件7-2：主要人员简历表</w:t>
      </w:r>
    </w:p>
    <w:p>
      <w:pPr>
        <w:adjustRightInd w:val="0"/>
        <w:snapToGrid w:val="0"/>
        <w:spacing w:line="360" w:lineRule="auto"/>
        <w:rPr>
          <w:rFonts w:hAnsi="宋体"/>
          <w:b/>
          <w:color w:val="auto"/>
          <w:highlight w:val="none"/>
        </w:rPr>
      </w:pPr>
      <w:r>
        <w:rPr>
          <w:rFonts w:hint="eastAsia" w:hAnsi="宋体"/>
          <w:b/>
          <w:color w:val="auto"/>
          <w:highlight w:val="none"/>
        </w:rPr>
        <w:t>六、技术/商务响应与偏离表</w:t>
      </w:r>
    </w:p>
    <w:p>
      <w:pPr>
        <w:pStyle w:val="23"/>
        <w:adjustRightInd w:val="0"/>
        <w:snapToGrid w:val="0"/>
        <w:spacing w:line="360" w:lineRule="auto"/>
        <w:rPr>
          <w:rFonts w:hint="eastAsia" w:hAnsi="宋体"/>
          <w:b/>
          <w:color w:val="auto"/>
          <w:highlight w:val="none"/>
        </w:rPr>
      </w:pPr>
      <w:r>
        <w:rPr>
          <w:rFonts w:hint="eastAsia" w:hAnsi="宋体"/>
          <w:b/>
          <w:color w:val="auto"/>
          <w:highlight w:val="none"/>
        </w:rPr>
        <w:t>七、提供享受政府采购政策的证明资料和清单表（本项目不需要提供）</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附件8-1：中小企业声明函</w:t>
      </w:r>
    </w:p>
    <w:p>
      <w:pPr>
        <w:pStyle w:val="23"/>
        <w:adjustRightInd w:val="0"/>
        <w:snapToGrid w:val="0"/>
        <w:spacing w:line="360" w:lineRule="auto"/>
        <w:ind w:firstLine="420" w:firstLineChars="200"/>
        <w:rPr>
          <w:rFonts w:hAnsi="宋体"/>
          <w:color w:val="auto"/>
          <w:spacing w:val="6"/>
          <w:highlight w:val="none"/>
        </w:rPr>
      </w:pPr>
      <w:r>
        <w:rPr>
          <w:rFonts w:hint="eastAsia" w:hAnsi="宋体"/>
          <w:color w:val="auto"/>
          <w:highlight w:val="none"/>
        </w:rPr>
        <w:t>附件8-2：</w:t>
      </w:r>
      <w:r>
        <w:rPr>
          <w:rFonts w:hint="eastAsia" w:hAnsi="宋体"/>
          <w:color w:val="auto"/>
          <w:spacing w:val="6"/>
          <w:highlight w:val="none"/>
        </w:rPr>
        <w:t>残疾人福利性单位声明函</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附件8-3：监狱企业证明资料</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附件8-4：“节能产品”、“环境标志产品”、“两型产品”证明材料</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附件8-5：附件8-3：节能产品、环境标志产品、两型产品清单表</w:t>
      </w:r>
    </w:p>
    <w:p>
      <w:pPr>
        <w:pStyle w:val="23"/>
        <w:adjustRightInd w:val="0"/>
        <w:snapToGrid w:val="0"/>
        <w:spacing w:line="360" w:lineRule="auto"/>
        <w:rPr>
          <w:rFonts w:hAnsi="宋体"/>
          <w:b/>
          <w:bCs/>
          <w:color w:val="auto"/>
          <w:highlight w:val="none"/>
        </w:rPr>
      </w:pPr>
      <w:r>
        <w:rPr>
          <w:rFonts w:hint="eastAsia" w:hAnsi="宋体"/>
          <w:b/>
          <w:bCs/>
          <w:color w:val="auto"/>
          <w:highlight w:val="none"/>
        </w:rPr>
        <w:t>八、经销或代理货物，或为货物提供售后服务的证明材料</w:t>
      </w:r>
    </w:p>
    <w:p>
      <w:pPr>
        <w:pStyle w:val="23"/>
        <w:adjustRightInd w:val="0"/>
        <w:snapToGrid w:val="0"/>
        <w:spacing w:line="360" w:lineRule="auto"/>
        <w:rPr>
          <w:rFonts w:hAnsi="宋体"/>
          <w:b/>
          <w:color w:val="auto"/>
          <w:highlight w:val="none"/>
        </w:rPr>
      </w:pPr>
      <w:r>
        <w:rPr>
          <w:rFonts w:hint="eastAsia" w:hAnsi="宋体"/>
          <w:b/>
          <w:color w:val="auto"/>
          <w:highlight w:val="none"/>
        </w:rPr>
        <w:t>九、报价一览表及分项价格表</w:t>
      </w:r>
    </w:p>
    <w:p>
      <w:pPr>
        <w:adjustRightInd w:val="0"/>
        <w:snapToGrid w:val="0"/>
        <w:spacing w:line="360" w:lineRule="auto"/>
        <w:ind w:firstLine="420" w:firstLineChars="200"/>
        <w:jc w:val="left"/>
        <w:outlineLvl w:val="0"/>
        <w:rPr>
          <w:rFonts w:ascii="宋体" w:hAnsi="宋体"/>
          <w:bCs/>
          <w:color w:val="auto"/>
          <w:szCs w:val="21"/>
          <w:highlight w:val="none"/>
        </w:rPr>
      </w:pPr>
      <w:r>
        <w:rPr>
          <w:rFonts w:hint="eastAsia" w:ascii="宋体" w:hAnsi="宋体"/>
          <w:color w:val="auto"/>
          <w:szCs w:val="21"/>
          <w:highlight w:val="none"/>
        </w:rPr>
        <w:t>附件9：</w:t>
      </w:r>
      <w:r>
        <w:rPr>
          <w:rFonts w:hint="eastAsia" w:ascii="宋体" w:hAnsi="宋体"/>
          <w:bCs/>
          <w:color w:val="auto"/>
          <w:szCs w:val="21"/>
          <w:highlight w:val="none"/>
        </w:rPr>
        <w:t>报价一览表</w:t>
      </w:r>
    </w:p>
    <w:p>
      <w:pPr>
        <w:adjustRightInd w:val="0"/>
        <w:snapToGrid w:val="0"/>
        <w:spacing w:line="360" w:lineRule="auto"/>
        <w:ind w:firstLine="420" w:firstLineChars="200"/>
        <w:jc w:val="left"/>
        <w:outlineLvl w:val="0"/>
        <w:rPr>
          <w:rFonts w:ascii="宋体" w:hAnsi="宋体"/>
          <w:color w:val="auto"/>
          <w:szCs w:val="21"/>
          <w:highlight w:val="none"/>
        </w:rPr>
      </w:pPr>
      <w:r>
        <w:rPr>
          <w:rFonts w:hint="eastAsia" w:ascii="宋体" w:hAnsi="宋体"/>
          <w:bCs/>
          <w:color w:val="auto"/>
          <w:szCs w:val="21"/>
          <w:highlight w:val="none"/>
        </w:rPr>
        <w:t>附件9-1：分项价格表</w:t>
      </w:r>
    </w:p>
    <w:p>
      <w:pPr>
        <w:pStyle w:val="23"/>
        <w:adjustRightInd w:val="0"/>
        <w:snapToGrid w:val="0"/>
        <w:spacing w:line="360" w:lineRule="auto"/>
        <w:rPr>
          <w:rFonts w:hAnsi="宋体"/>
          <w:b/>
          <w:color w:val="auto"/>
          <w:highlight w:val="none"/>
        </w:rPr>
      </w:pPr>
      <w:r>
        <w:rPr>
          <w:rFonts w:hint="eastAsia" w:hAnsi="宋体"/>
          <w:b/>
          <w:color w:val="auto"/>
          <w:highlight w:val="none"/>
        </w:rPr>
        <w:t>十、供应商认为需提供的其它资料</w:t>
      </w:r>
    </w:p>
    <w:p>
      <w:pPr>
        <w:pStyle w:val="23"/>
        <w:adjustRightInd w:val="0"/>
        <w:snapToGrid w:val="0"/>
        <w:spacing w:line="360" w:lineRule="auto"/>
        <w:rPr>
          <w:rFonts w:hAnsi="宋体"/>
          <w:b/>
          <w:color w:val="auto"/>
          <w:highlight w:val="none"/>
        </w:rPr>
      </w:pPr>
      <w:r>
        <w:rPr>
          <w:rFonts w:hint="eastAsia" w:hAnsi="宋体"/>
          <w:b/>
          <w:color w:val="auto"/>
          <w:highlight w:val="none"/>
        </w:rPr>
        <w:t>十一、最后报价</w:t>
      </w:r>
    </w:p>
    <w:p>
      <w:pPr>
        <w:spacing w:line="360" w:lineRule="exact"/>
        <w:rPr>
          <w:rFonts w:ascii="黑体" w:eastAsia="黑体"/>
          <w:color w:val="auto"/>
          <w:sz w:val="32"/>
          <w:szCs w:val="32"/>
          <w:highlight w:val="none"/>
        </w:rPr>
      </w:pPr>
    </w:p>
    <w:p>
      <w:pPr>
        <w:spacing w:line="360" w:lineRule="exact"/>
        <w:jc w:val="center"/>
        <w:rPr>
          <w:rFonts w:ascii="黑体" w:eastAsia="黑体"/>
          <w:color w:val="auto"/>
          <w:sz w:val="32"/>
          <w:szCs w:val="32"/>
          <w:highlight w:val="none"/>
        </w:rPr>
      </w:pPr>
    </w:p>
    <w:p>
      <w:pPr>
        <w:spacing w:line="360" w:lineRule="exact"/>
        <w:jc w:val="center"/>
        <w:rPr>
          <w:rFonts w:ascii="黑体" w:eastAsia="黑体"/>
          <w:color w:val="auto"/>
          <w:sz w:val="32"/>
          <w:szCs w:val="32"/>
          <w:highlight w:val="none"/>
        </w:rPr>
      </w:pPr>
    </w:p>
    <w:p>
      <w:pPr>
        <w:spacing w:line="360" w:lineRule="exact"/>
        <w:jc w:val="center"/>
        <w:rPr>
          <w:rFonts w:ascii="黑体" w:eastAsia="黑体"/>
          <w:b/>
          <w:color w:val="auto"/>
          <w:sz w:val="32"/>
          <w:szCs w:val="32"/>
          <w:highlight w:val="none"/>
        </w:rPr>
      </w:pPr>
      <w:r>
        <w:rPr>
          <w:rFonts w:hint="eastAsia" w:ascii="黑体" w:eastAsia="黑体"/>
          <w:b/>
          <w:color w:val="auto"/>
          <w:sz w:val="32"/>
          <w:szCs w:val="32"/>
          <w:highlight w:val="none"/>
        </w:rPr>
        <w:br w:type="page"/>
      </w:r>
      <w:r>
        <w:rPr>
          <w:rFonts w:hint="eastAsia" w:ascii="黑体" w:eastAsia="黑体"/>
          <w:b/>
          <w:color w:val="auto"/>
          <w:sz w:val="32"/>
          <w:szCs w:val="32"/>
          <w:highlight w:val="none"/>
        </w:rPr>
        <w:t>一、</w:t>
      </w:r>
      <w:r>
        <w:rPr>
          <w:rFonts w:hint="eastAsia" w:ascii="黑体" w:hAnsi="宋体" w:eastAsia="黑体"/>
          <w:b/>
          <w:color w:val="auto"/>
          <w:sz w:val="32"/>
          <w:szCs w:val="32"/>
          <w:highlight w:val="none"/>
        </w:rPr>
        <w:t>磋商响应声明</w:t>
      </w:r>
    </w:p>
    <w:p>
      <w:pPr>
        <w:adjustRightInd w:val="0"/>
        <w:snapToGrid w:val="0"/>
        <w:spacing w:line="360" w:lineRule="auto"/>
        <w:rPr>
          <w:rFonts w:ascii="仿宋_GB2312" w:hAnsi="宋体" w:eastAsia="仿宋_GB2312"/>
          <w:color w:val="auto"/>
          <w:sz w:val="24"/>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致 (采购人或采购代理机构)：</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我方已仔细研究了</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项目名称)的竞争性磋商文件（</w:t>
      </w:r>
      <w:r>
        <w:rPr>
          <w:rFonts w:hint="eastAsia" w:ascii="宋体" w:hAnsi="宋体"/>
          <w:color w:val="auto"/>
          <w:szCs w:val="21"/>
          <w:highlight w:val="none"/>
          <w:lang w:eastAsia="zh-CN"/>
        </w:rPr>
        <w:t>项目编号</w:t>
      </w:r>
      <w:r>
        <w:rPr>
          <w:rFonts w:hint="eastAsia" w:ascii="宋体" w:hAnsi="宋体"/>
          <w:color w:val="auto"/>
          <w:szCs w:val="21"/>
          <w:highlight w:val="none"/>
        </w:rPr>
        <w:t>： ；采购代理编号：）的全部内容，</w:t>
      </w:r>
      <w:r>
        <w:rPr>
          <w:rFonts w:hint="eastAsia" w:hAnsi="宋体"/>
          <w:color w:val="auto"/>
          <w:highlight w:val="none"/>
        </w:rPr>
        <w:t>知悉参加竞争性磋商的风险，我方承诺接受磋商文件的全部条款且无任何异议。</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一、我方同意在磋商文件中规定的提交首次响应文件截止时间起日内(响应文件有效期)遵守本响应文件中的承诺且在此期限期满之前均具有法律约束力。</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二、我方提交响应文件正本一份和副本一式份，并保证响应文件提供的数据和资料全部内容真实、合法、准确和完整，我们对此负责，并愿承担由此引起的法律责任。</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三、我方愿意向贵方提供任何与本项采购有关的数据、情况和技术资料。若贵方需要，我方愿意提供我方作出的一切承诺的证明资料。</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四、我方愿意按磋商文件规定和磋商小组要求重新提交响应文件和最后报价。</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五、我方承诺遵守《中华人民共和国政府采购法》的有关规定，保证在获得成交资格后，按照磋商文件确定的事项签订政府采购合同，履行双方所签订的合同，并承担合同规定的责任和义务。</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 xml:space="preserve">六、我方在此声明： </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（一）我方与采购人或采购代理机构不存在隶属关系或者其他利害关系。</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（二）我方与参加本项目的其他供应商不存在直接控股、管理关系，或者与其他供应商法定代表人（或者负责人）为同一人。</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（三）我方未为本项目前期准备提供设计或咨询服务。</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（四）我方承诺（承诺期：成立三年以上的，为提交首次响应文件截止时间前三年内；成立不足三年的，为实际时间）：</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1、我方依法缴纳了各项税费及各项社会保障资金，没有偷税、漏税及欠缴行为。</w:t>
      </w:r>
    </w:p>
    <w:p>
      <w:pPr>
        <w:pStyle w:val="23"/>
        <w:adjustRightInd w:val="0"/>
        <w:snapToGrid w:val="0"/>
        <w:spacing w:line="360" w:lineRule="auto"/>
        <w:ind w:firstLine="420" w:firstLineChars="200"/>
        <w:rPr>
          <w:rFonts w:hAnsi="宋体"/>
          <w:color w:val="auto"/>
          <w:highlight w:val="none"/>
        </w:rPr>
      </w:pPr>
      <w:r>
        <w:rPr>
          <w:rFonts w:hint="eastAsia" w:hAnsi="宋体"/>
          <w:color w:val="auto"/>
          <w:highlight w:val="none"/>
        </w:rPr>
        <w:t>2、我单位在参加</w:t>
      </w:r>
      <w:r>
        <w:rPr>
          <w:rFonts w:hint="eastAsia" w:hAnsi="宋体"/>
          <w:color w:val="auto"/>
          <w:highlight w:val="none"/>
          <w:lang w:eastAsia="zh-CN"/>
        </w:rPr>
        <w:t>本</w:t>
      </w:r>
      <w:r>
        <w:rPr>
          <w:rFonts w:hint="eastAsia" w:hAnsi="宋体"/>
          <w:color w:val="auto"/>
          <w:highlight w:val="none"/>
        </w:rPr>
        <w:t>采购项目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pPr>
        <w:adjustRightInd w:val="0"/>
        <w:snapToGrid w:val="0"/>
        <w:spacing w:line="360" w:lineRule="auto"/>
        <w:ind w:right="24"/>
        <w:rPr>
          <w:rFonts w:ascii="宋体" w:hAnsi="宋体"/>
          <w:color w:val="auto"/>
          <w:szCs w:val="21"/>
          <w:highlight w:val="none"/>
        </w:rPr>
      </w:pPr>
      <w:r>
        <w:rPr>
          <w:rFonts w:hint="eastAsia" w:ascii="宋体" w:hAnsi="宋体"/>
          <w:bCs/>
          <w:color w:val="auto"/>
          <w:szCs w:val="21"/>
          <w:highlight w:val="none"/>
        </w:rPr>
        <w:t>附件1：</w:t>
      </w:r>
      <w:r>
        <w:rPr>
          <w:rFonts w:hint="eastAsia" w:ascii="宋体" w:hAnsi="宋体"/>
          <w:color w:val="auto"/>
          <w:szCs w:val="21"/>
          <w:highlight w:val="none"/>
        </w:rPr>
        <w:t>法定代表人身份证明</w:t>
      </w:r>
    </w:p>
    <w:p>
      <w:pPr>
        <w:adjustRightInd w:val="0"/>
        <w:snapToGrid w:val="0"/>
        <w:spacing w:line="360" w:lineRule="auto"/>
        <w:ind w:right="24"/>
        <w:rPr>
          <w:rFonts w:ascii="宋体" w:hAnsi="宋体"/>
          <w:color w:val="auto"/>
          <w:szCs w:val="21"/>
          <w:highlight w:val="none"/>
        </w:rPr>
      </w:pPr>
      <w:r>
        <w:rPr>
          <w:rFonts w:hint="eastAsia" w:ascii="宋体" w:hAnsi="宋体"/>
          <w:bCs/>
          <w:color w:val="auto"/>
          <w:szCs w:val="21"/>
          <w:highlight w:val="none"/>
        </w:rPr>
        <w:t>附件2</w:t>
      </w:r>
      <w:r>
        <w:rPr>
          <w:rFonts w:hint="eastAsia" w:ascii="宋体" w:hAnsi="宋体"/>
          <w:color w:val="auto"/>
          <w:szCs w:val="21"/>
          <w:highlight w:val="none"/>
        </w:rPr>
        <w:t>：法定代表人授权书</w:t>
      </w:r>
    </w:p>
    <w:p>
      <w:pPr>
        <w:pStyle w:val="23"/>
        <w:adjustRightInd w:val="0"/>
        <w:snapToGrid w:val="0"/>
        <w:spacing w:line="360" w:lineRule="auto"/>
        <w:rPr>
          <w:rFonts w:hAnsi="宋体"/>
          <w:color w:val="auto"/>
          <w:highlight w:val="none"/>
        </w:rPr>
      </w:pPr>
    </w:p>
    <w:p>
      <w:pPr>
        <w:pStyle w:val="23"/>
        <w:adjustRightInd w:val="0"/>
        <w:snapToGrid w:val="0"/>
        <w:spacing w:line="360" w:lineRule="auto"/>
        <w:rPr>
          <w:rFonts w:hAnsi="宋体"/>
          <w:color w:val="auto"/>
          <w:highlight w:val="none"/>
        </w:rPr>
      </w:pPr>
      <w:r>
        <w:rPr>
          <w:rFonts w:hint="eastAsia" w:hAnsi="宋体"/>
          <w:color w:val="auto"/>
          <w:highlight w:val="none"/>
        </w:rPr>
        <w:t>供应商名称(盖单位章)：</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法定代表人或其委托代理人 (签字)：</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日     期：年月日</w:t>
      </w:r>
    </w:p>
    <w:p>
      <w:pPr>
        <w:adjustRightInd w:val="0"/>
        <w:snapToGrid w:val="0"/>
        <w:spacing w:line="360" w:lineRule="auto"/>
        <w:ind w:right="24"/>
        <w:rPr>
          <w:rFonts w:ascii="黑体" w:hAnsi="黑体" w:eastAsia="黑体"/>
          <w:bCs/>
          <w:color w:val="auto"/>
          <w:sz w:val="30"/>
          <w:szCs w:val="30"/>
          <w:highlight w:val="none"/>
        </w:rPr>
      </w:pPr>
      <w:r>
        <w:rPr>
          <w:rFonts w:hint="eastAsia" w:ascii="黑体" w:hAnsi="黑体" w:eastAsia="黑体"/>
          <w:bCs/>
          <w:color w:val="auto"/>
          <w:sz w:val="30"/>
          <w:szCs w:val="30"/>
          <w:highlight w:val="none"/>
        </w:rPr>
        <w:t>附件1</w:t>
      </w:r>
    </w:p>
    <w:p>
      <w:pPr>
        <w:jc w:val="center"/>
        <w:rPr>
          <w:rFonts w:ascii="黑体" w:hAnsi="黑体" w:eastAsia="黑体"/>
          <w:b/>
          <w:color w:val="auto"/>
          <w:sz w:val="30"/>
          <w:szCs w:val="30"/>
          <w:highlight w:val="none"/>
        </w:rPr>
      </w:pPr>
      <w:r>
        <w:rPr>
          <w:rFonts w:hint="eastAsia" w:ascii="黑体" w:hAnsi="黑体" w:eastAsia="黑体"/>
          <w:b/>
          <w:color w:val="auto"/>
          <w:sz w:val="30"/>
          <w:szCs w:val="30"/>
          <w:highlight w:val="none"/>
        </w:rPr>
        <w:t>法定代表人身份证明</w:t>
      </w:r>
    </w:p>
    <w:p>
      <w:pPr>
        <w:snapToGrid w:val="0"/>
        <w:spacing w:line="480" w:lineRule="auto"/>
        <w:rPr>
          <w:rFonts w:ascii="宋体" w:hAnsi="宋体"/>
          <w:color w:val="auto"/>
          <w:szCs w:val="21"/>
          <w:highlight w:val="none"/>
        </w:rPr>
      </w:pP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olor w:val="auto"/>
          <w:szCs w:val="21"/>
          <w:highlight w:val="none"/>
        </w:rPr>
        <w:t>供应商</w:t>
      </w:r>
      <w:r>
        <w:rPr>
          <w:rFonts w:hint="eastAsia" w:ascii="宋体" w:hAnsi="宋体" w:cs="宋体"/>
          <w:color w:val="auto"/>
          <w:kern w:val="0"/>
          <w:szCs w:val="21"/>
          <w:highlight w:val="none"/>
        </w:rPr>
        <w:t>名称：</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注册号：</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注册地址：</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成立时间： 年 月 日</w:t>
      </w:r>
    </w:p>
    <w:p>
      <w:pPr>
        <w:autoSpaceDE w:val="0"/>
        <w:autoSpaceDN w:val="0"/>
        <w:adjustRightInd w:val="0"/>
        <w:snapToGrid w:val="0"/>
        <w:spacing w:line="360" w:lineRule="auto"/>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经营期限：</w:t>
      </w:r>
    </w:p>
    <w:p>
      <w:pPr>
        <w:autoSpaceDE w:val="0"/>
        <w:autoSpaceDN w:val="0"/>
        <w:adjustRightInd w:val="0"/>
        <w:snapToGrid w:val="0"/>
        <w:spacing w:line="360" w:lineRule="auto"/>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经营范围：主营： ；兼营：</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姓名： 性别： 年龄： 系（</w:t>
      </w:r>
      <w:r>
        <w:rPr>
          <w:rFonts w:hint="eastAsia" w:ascii="宋体" w:hAnsi="宋体"/>
          <w:color w:val="auto"/>
          <w:szCs w:val="21"/>
          <w:highlight w:val="none"/>
        </w:rPr>
        <w:t>供应商</w:t>
      </w:r>
      <w:r>
        <w:rPr>
          <w:rFonts w:hint="eastAsia" w:ascii="宋体" w:hAnsi="宋体" w:cs="宋体"/>
          <w:color w:val="auto"/>
          <w:kern w:val="0"/>
          <w:szCs w:val="21"/>
          <w:highlight w:val="none"/>
        </w:rPr>
        <w:t>名称）的法定代表人。</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特此证明。</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olor w:val="auto"/>
          <w:szCs w:val="21"/>
          <w:highlight w:val="none"/>
        </w:rPr>
        <w:t>附：法定代表人身份证复印件</w:t>
      </w:r>
    </w:p>
    <w:p>
      <w:pPr>
        <w:snapToGrid w:val="0"/>
        <w:spacing w:line="480" w:lineRule="auto"/>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r>
        <w:rPr>
          <w:rFonts w:hint="eastAsia" w:ascii="宋体" w:hAnsi="宋体"/>
          <w:color w:val="auto"/>
          <w:szCs w:val="21"/>
          <w:highlight w:val="none"/>
        </w:rPr>
        <w:t>供应商名称（盖单位章）：</w:t>
      </w:r>
    </w:p>
    <w:p>
      <w:pPr>
        <w:adjustRightInd w:val="0"/>
        <w:snapToGrid w:val="0"/>
        <w:spacing w:line="360" w:lineRule="auto"/>
        <w:ind w:right="420"/>
        <w:rPr>
          <w:rFonts w:ascii="仿宋_GB2312" w:hAnsi="宋体" w:eastAsia="仿宋_GB2312"/>
          <w:color w:val="auto"/>
          <w:szCs w:val="21"/>
          <w:highlight w:val="none"/>
        </w:rPr>
      </w:pPr>
      <w:r>
        <w:rPr>
          <w:rFonts w:hint="eastAsia" w:ascii="宋体" w:hAnsi="宋体"/>
          <w:color w:val="auto"/>
          <w:szCs w:val="21"/>
          <w:highlight w:val="none"/>
        </w:rPr>
        <w:t xml:space="preserve">日期：年月日      </w:t>
      </w:r>
    </w:p>
    <w:p>
      <w:pPr>
        <w:adjustRightInd w:val="0"/>
        <w:snapToGrid w:val="0"/>
        <w:spacing w:beforeLines="50" w:line="360" w:lineRule="auto"/>
        <w:rPr>
          <w:rFonts w:ascii="仿宋_GB2312" w:hAnsi="宋体" w:eastAsia="仿宋_GB2312"/>
          <w:color w:val="auto"/>
          <w:szCs w:val="21"/>
          <w:highlight w:val="none"/>
        </w:rPr>
      </w:pPr>
    </w:p>
    <w:p>
      <w:pPr>
        <w:adjustRightInd w:val="0"/>
        <w:snapToGrid w:val="0"/>
        <w:spacing w:beforeLines="50" w:line="360" w:lineRule="auto"/>
        <w:rPr>
          <w:rFonts w:ascii="仿宋_GB2312" w:hAnsi="宋体" w:eastAsia="仿宋_GB2312"/>
          <w:color w:val="auto"/>
          <w:szCs w:val="21"/>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color w:val="auto"/>
          <w:sz w:val="30"/>
          <w:szCs w:val="30"/>
          <w:highlight w:val="none"/>
        </w:rPr>
      </w:pPr>
      <w:r>
        <w:rPr>
          <w:rFonts w:hint="eastAsia" w:ascii="黑体" w:hAnsi="黑体" w:eastAsia="黑体"/>
          <w:bCs/>
          <w:color w:val="auto"/>
          <w:sz w:val="30"/>
          <w:szCs w:val="30"/>
          <w:highlight w:val="none"/>
        </w:rPr>
        <w:t>附件2</w:t>
      </w:r>
    </w:p>
    <w:p>
      <w:pPr>
        <w:jc w:val="center"/>
        <w:rPr>
          <w:rFonts w:ascii="黑体" w:hAnsi="黑体" w:eastAsia="黑体"/>
          <w:b/>
          <w:color w:val="auto"/>
          <w:sz w:val="30"/>
          <w:szCs w:val="30"/>
          <w:highlight w:val="none"/>
        </w:rPr>
      </w:pPr>
      <w:r>
        <w:rPr>
          <w:rFonts w:hint="eastAsia" w:ascii="黑体" w:hAnsi="黑体" w:eastAsia="黑体"/>
          <w:b/>
          <w:color w:val="auto"/>
          <w:sz w:val="30"/>
          <w:szCs w:val="30"/>
          <w:highlight w:val="none"/>
        </w:rPr>
        <w:t>法定代表人授权委托书</w:t>
      </w:r>
    </w:p>
    <w:p>
      <w:pPr>
        <w:adjustRightInd w:val="0"/>
        <w:snapToGrid w:val="0"/>
        <w:spacing w:line="360" w:lineRule="auto"/>
        <w:jc w:val="center"/>
        <w:rPr>
          <w:rFonts w:ascii="黑体" w:hAnsi="华文中宋" w:eastAsia="黑体"/>
          <w:b/>
          <w:color w:val="auto"/>
          <w:sz w:val="28"/>
          <w:szCs w:val="28"/>
          <w:highlight w:val="none"/>
        </w:rPr>
      </w:pPr>
    </w:p>
    <w:p>
      <w:pPr>
        <w:autoSpaceDE w:val="0"/>
        <w:autoSpaceDN w:val="0"/>
        <w:adjustRightInd w:val="0"/>
        <w:snapToGrid w:val="0"/>
        <w:spacing w:beforeLines="50"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本人（姓名、职务）系 （</w:t>
      </w:r>
      <w:r>
        <w:rPr>
          <w:rFonts w:hint="eastAsia" w:ascii="宋体" w:hAnsi="宋体"/>
          <w:color w:val="auto"/>
          <w:szCs w:val="21"/>
          <w:highlight w:val="none"/>
        </w:rPr>
        <w:t>供应商</w:t>
      </w:r>
      <w:r>
        <w:rPr>
          <w:rFonts w:hint="eastAsia" w:ascii="宋体" w:hAnsi="宋体" w:cs="宋体"/>
          <w:color w:val="auto"/>
          <w:kern w:val="0"/>
          <w:szCs w:val="21"/>
          <w:highlight w:val="none"/>
        </w:rPr>
        <w:t>名称）的法定代表人，现授权（姓名、职务）为我方代理人。代理人根据授权，以我方名义：(1)签署、澄清、补正、修改、撤回、提交（项目名称、</w:t>
      </w:r>
      <w:r>
        <w:rPr>
          <w:rFonts w:hint="eastAsia" w:ascii="宋体" w:hAnsi="宋体"/>
          <w:color w:val="auto"/>
          <w:szCs w:val="21"/>
          <w:highlight w:val="none"/>
          <w:lang w:eastAsia="zh-CN"/>
        </w:rPr>
        <w:t>项目编号</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委托代理编号</w:t>
      </w:r>
      <w:r>
        <w:rPr>
          <w:rFonts w:hint="eastAsia" w:ascii="宋体" w:hAnsi="宋体" w:cs="宋体"/>
          <w:color w:val="auto"/>
          <w:kern w:val="0"/>
          <w:szCs w:val="21"/>
          <w:highlight w:val="none"/>
        </w:rPr>
        <w:t>）响应文件；(2)签署并重新提交响应文件及最后报价；(3)签订合同和处理有关事宜，其法律后果由我方承担；（4）询问、质疑、投诉等相关事项，其法律后果由我方承担。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Lines="50" w:line="360" w:lineRule="auto"/>
        <w:ind w:firstLine="420" w:firstLineChars="200"/>
        <w:jc w:val="left"/>
        <w:rPr>
          <w:rFonts w:ascii="宋体" w:hAnsi="宋体" w:cs="宋体"/>
          <w:color w:val="auto"/>
          <w:kern w:val="0"/>
          <w:szCs w:val="21"/>
          <w:highlight w:val="none"/>
        </w:rPr>
      </w:pPr>
    </w:p>
    <w:p>
      <w:pPr>
        <w:autoSpaceDE w:val="0"/>
        <w:autoSpaceDN w:val="0"/>
        <w:adjustRightInd w:val="0"/>
        <w:snapToGrid w:val="0"/>
        <w:spacing w:beforeLines="50"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委托期限： 。</w:t>
      </w:r>
    </w:p>
    <w:p>
      <w:pPr>
        <w:spacing w:line="360" w:lineRule="auto"/>
        <w:ind w:firstLine="435"/>
        <w:rPr>
          <w:rFonts w:ascii="宋体" w:hAnsi="宋体" w:cs="宋体"/>
          <w:color w:val="auto"/>
          <w:kern w:val="0"/>
          <w:szCs w:val="21"/>
          <w:highlight w:val="none"/>
        </w:rPr>
      </w:pPr>
      <w:r>
        <w:rPr>
          <w:rFonts w:hint="eastAsia" w:ascii="宋体" w:hAnsi="宋体" w:cs="宋体"/>
          <w:color w:val="auto"/>
          <w:kern w:val="0"/>
          <w:szCs w:val="21"/>
          <w:highlight w:val="none"/>
        </w:rPr>
        <w:t>代理人无转委托权。</w:t>
      </w:r>
    </w:p>
    <w:p>
      <w:pPr>
        <w:spacing w:line="360" w:lineRule="auto"/>
        <w:ind w:firstLine="435"/>
        <w:rPr>
          <w:rFonts w:ascii="宋体" w:hAnsi="宋体"/>
          <w:color w:val="auto"/>
          <w:szCs w:val="21"/>
          <w:highlight w:val="none"/>
        </w:rPr>
      </w:pPr>
      <w:r>
        <w:rPr>
          <w:rFonts w:hint="eastAsia" w:ascii="宋体" w:hAnsi="宋体"/>
          <w:color w:val="auto"/>
          <w:szCs w:val="21"/>
          <w:highlight w:val="none"/>
        </w:rPr>
        <w:t>本授权书于年月日签字生效，特此声明。</w:t>
      </w:r>
    </w:p>
    <w:p>
      <w:pPr>
        <w:adjustRightInd w:val="0"/>
        <w:snapToGrid w:val="0"/>
        <w:spacing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附：委托代理人身份证复印件及法定代表人身份证明(附件1，原件)</w:t>
      </w: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r>
        <w:rPr>
          <w:rFonts w:hint="eastAsia" w:ascii="宋体" w:hAnsi="宋体"/>
          <w:color w:val="auto"/>
          <w:szCs w:val="21"/>
          <w:highlight w:val="none"/>
        </w:rPr>
        <w:t>法定代表人（签字）：</w:t>
      </w:r>
    </w:p>
    <w:p>
      <w:pPr>
        <w:adjustRightInd w:val="0"/>
        <w:snapToGrid w:val="0"/>
        <w:spacing w:line="360" w:lineRule="auto"/>
        <w:ind w:right="420"/>
        <w:rPr>
          <w:rFonts w:ascii="宋体" w:hAnsi="宋体"/>
          <w:color w:val="auto"/>
          <w:szCs w:val="21"/>
          <w:highlight w:val="none"/>
        </w:rPr>
      </w:pPr>
      <w:r>
        <w:rPr>
          <w:rFonts w:hint="eastAsia" w:ascii="宋体" w:hAnsi="宋体"/>
          <w:color w:val="auto"/>
          <w:szCs w:val="21"/>
          <w:highlight w:val="none"/>
        </w:rPr>
        <w:t>委托代理人（签字）：</w:t>
      </w:r>
    </w:p>
    <w:p>
      <w:pPr>
        <w:adjustRightInd w:val="0"/>
        <w:snapToGrid w:val="0"/>
        <w:spacing w:line="360" w:lineRule="auto"/>
        <w:ind w:right="24"/>
        <w:rPr>
          <w:rFonts w:ascii="宋体" w:hAnsi="宋体"/>
          <w:color w:val="auto"/>
          <w:szCs w:val="21"/>
          <w:highlight w:val="none"/>
        </w:rPr>
      </w:pPr>
      <w:r>
        <w:rPr>
          <w:rFonts w:hint="eastAsia" w:ascii="宋体" w:hAnsi="宋体"/>
          <w:color w:val="auto"/>
          <w:szCs w:val="21"/>
          <w:highlight w:val="none"/>
        </w:rPr>
        <w:t>日期：年月日</w:t>
      </w: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jc w:val="center"/>
        <w:rPr>
          <w:rFonts w:ascii="黑体" w:eastAsia="黑体"/>
          <w:b/>
          <w:color w:val="auto"/>
          <w:sz w:val="32"/>
          <w:szCs w:val="32"/>
          <w:highlight w:val="none"/>
        </w:rPr>
      </w:pPr>
      <w:r>
        <w:rPr>
          <w:rFonts w:hint="eastAsia" w:ascii="黑体" w:eastAsia="黑体"/>
          <w:b/>
          <w:color w:val="auto"/>
          <w:sz w:val="32"/>
          <w:szCs w:val="32"/>
          <w:highlight w:val="none"/>
        </w:rPr>
        <w:t>二</w:t>
      </w:r>
      <w:r>
        <w:rPr>
          <w:rFonts w:hint="eastAsia" w:ascii="黑体" w:hAnsi="宋体" w:eastAsia="黑体"/>
          <w:b/>
          <w:color w:val="auto"/>
          <w:sz w:val="32"/>
          <w:szCs w:val="32"/>
          <w:highlight w:val="none"/>
        </w:rPr>
        <w:t>、磋商</w:t>
      </w:r>
      <w:r>
        <w:rPr>
          <w:rFonts w:hint="eastAsia" w:ascii="黑体" w:eastAsia="黑体"/>
          <w:b/>
          <w:color w:val="auto"/>
          <w:sz w:val="32"/>
          <w:szCs w:val="32"/>
          <w:highlight w:val="none"/>
        </w:rPr>
        <w:t>保证金缴纳证明材料</w:t>
      </w:r>
    </w:p>
    <w:p>
      <w:pPr>
        <w:pStyle w:val="23"/>
        <w:adjustRightInd w:val="0"/>
        <w:snapToGrid w:val="0"/>
        <w:spacing w:beforeLines="50" w:line="360" w:lineRule="auto"/>
        <w:rPr>
          <w:rFonts w:hAnsi="宋体"/>
          <w:color w:val="auto"/>
          <w:highlight w:val="none"/>
        </w:rPr>
      </w:pPr>
    </w:p>
    <w:p>
      <w:pPr>
        <w:numPr>
          <w:ilvl w:val="0"/>
          <w:numId w:val="5"/>
        </w:numPr>
        <w:adjustRightInd w:val="0"/>
        <w:snapToGrid w:val="0"/>
        <w:spacing w:line="360" w:lineRule="auto"/>
        <w:rPr>
          <w:rFonts w:ascii="宋体" w:hAnsi="宋体"/>
          <w:color w:val="auto"/>
          <w:highlight w:val="none"/>
        </w:rPr>
      </w:pPr>
      <w:r>
        <w:rPr>
          <w:rFonts w:hint="eastAsia" w:ascii="宋体" w:hAnsi="宋体"/>
          <w:color w:val="auto"/>
          <w:highlight w:val="none"/>
        </w:rPr>
        <w:t>提供付款凭证复印件。</w:t>
      </w:r>
    </w:p>
    <w:p>
      <w:pPr>
        <w:adjustRightInd w:val="0"/>
        <w:snapToGrid w:val="0"/>
        <w:spacing w:line="360" w:lineRule="auto"/>
        <w:jc w:val="center"/>
        <w:outlineLvl w:val="0"/>
        <w:rPr>
          <w:rFonts w:ascii="黑体" w:hAnsi="黑体" w:eastAsia="黑体"/>
          <w:b/>
          <w:color w:val="auto"/>
          <w:sz w:val="32"/>
          <w:szCs w:val="32"/>
          <w:highlight w:val="none"/>
        </w:rPr>
      </w:pPr>
    </w:p>
    <w:p>
      <w:pPr>
        <w:adjustRightInd w:val="0"/>
        <w:snapToGrid w:val="0"/>
        <w:spacing w:line="360" w:lineRule="auto"/>
        <w:jc w:val="center"/>
        <w:outlineLvl w:val="0"/>
        <w:rPr>
          <w:rFonts w:ascii="黑体" w:hAnsi="黑体" w:eastAsia="黑体"/>
          <w:b/>
          <w:bCs/>
          <w:color w:val="auto"/>
          <w:sz w:val="32"/>
          <w:szCs w:val="32"/>
          <w:highlight w:val="none"/>
        </w:rPr>
      </w:pPr>
      <w:r>
        <w:rPr>
          <w:rFonts w:hint="eastAsia" w:ascii="黑体" w:hAnsi="黑体" w:eastAsia="黑体"/>
          <w:b/>
          <w:color w:val="auto"/>
          <w:sz w:val="32"/>
          <w:szCs w:val="32"/>
          <w:highlight w:val="none"/>
        </w:rPr>
        <w:t>三、联合体协议(格式)（本项目不适用）</w:t>
      </w:r>
    </w:p>
    <w:p>
      <w:pPr>
        <w:adjustRightInd w:val="0"/>
        <w:snapToGrid w:val="0"/>
        <w:spacing w:line="360" w:lineRule="auto"/>
        <w:rPr>
          <w:rFonts w:ascii="宋体" w:hAnsi="宋体"/>
          <w:color w:val="auto"/>
          <w:sz w:val="24"/>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致(采购人或采购代理机构)：</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经研究，我们决定自愿组成联合体共同申请参加（项目名称）项目（</w:t>
      </w:r>
      <w:r>
        <w:rPr>
          <w:rFonts w:hint="eastAsia" w:ascii="宋体" w:hAnsi="宋体"/>
          <w:color w:val="auto"/>
          <w:szCs w:val="21"/>
          <w:highlight w:val="none"/>
          <w:lang w:eastAsia="zh-CN"/>
        </w:rPr>
        <w:t>项目编号</w:t>
      </w:r>
      <w:r>
        <w:rPr>
          <w:rFonts w:hint="eastAsia" w:ascii="宋体" w:hAnsi="宋体"/>
          <w:color w:val="auto"/>
          <w:szCs w:val="21"/>
          <w:highlight w:val="none"/>
        </w:rPr>
        <w:t>、采购代理编号）的竞争性磋商。现就联合体事宜订立如下协议：</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一、联合体基本信息：（各方公司名称、地址、营业执照、法定代表人姓名）。</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二、（某成员单位名称）为（联合体名称）牵头人。</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四．联合体将严格按照磋商文件的各项要求，递交响应文件，参加磋商，履行成交义务和成交后的合同，并向采购人承担连带责任。</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五、联合体各成员单位内部的职责分工如下：。按照本条上述分工，联合体成员单位各自所承担的合同工作量比例如下：。</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六、本协议书自签署之日起生效，合同履行完毕后自动失效。</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七、本协议书一式份，联合体成员和采购人各执一份。</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牵头人名称（盖单位章）：</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法定代表人或其委托代理人（签字）：</w:t>
      </w:r>
    </w:p>
    <w:p>
      <w:pPr>
        <w:adjustRightInd w:val="0"/>
        <w:snapToGrid w:val="0"/>
        <w:spacing w:line="360" w:lineRule="auto"/>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成员二名称（盖单位章）：</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法定代表人或其委托代理人（签字）：</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 xml:space="preserve">年月日  </w:t>
      </w:r>
    </w:p>
    <w:p>
      <w:pPr>
        <w:adjustRightInd w:val="0"/>
        <w:snapToGrid w:val="0"/>
        <w:spacing w:line="360" w:lineRule="auto"/>
        <w:rPr>
          <w:rFonts w:ascii="仿宋_GB2312" w:hAnsi="宋体" w:eastAsia="仿宋_GB2312" w:cs="宋体"/>
          <w:color w:val="auto"/>
          <w:spacing w:val="6"/>
          <w:kern w:val="0"/>
          <w:szCs w:val="21"/>
          <w:highlight w:val="none"/>
        </w:rPr>
      </w:pPr>
      <w:r>
        <w:rPr>
          <w:rFonts w:hint="eastAsia" w:ascii="仿宋_GB2312" w:hAnsi="宋体" w:eastAsia="仿宋_GB2312"/>
          <w:color w:val="auto"/>
          <w:szCs w:val="21"/>
          <w:highlight w:val="none"/>
        </w:rPr>
        <w:t>说明：1、本协议书由委托代理人签</w:t>
      </w:r>
      <w:r>
        <w:rPr>
          <w:rFonts w:hint="eastAsia" w:ascii="仿宋_GB2312" w:hAnsi="宋体" w:eastAsia="仿宋_GB2312" w:cs="宋体"/>
          <w:color w:val="auto"/>
          <w:spacing w:val="6"/>
          <w:kern w:val="0"/>
          <w:szCs w:val="21"/>
          <w:highlight w:val="none"/>
        </w:rPr>
        <w:t>字的，应附法定代表人签字的授权委托书。</w:t>
      </w:r>
    </w:p>
    <w:p>
      <w:pPr>
        <w:adjustRightInd w:val="0"/>
        <w:snapToGrid w:val="0"/>
        <w:spacing w:line="360" w:lineRule="auto"/>
        <w:ind w:firstLine="666" w:firstLineChars="300"/>
        <w:rPr>
          <w:rFonts w:ascii="仿宋_GB2312" w:hAnsi="宋体" w:eastAsia="仿宋_GB2312" w:cs="宋体"/>
          <w:color w:val="auto"/>
          <w:spacing w:val="6"/>
          <w:kern w:val="0"/>
          <w:szCs w:val="21"/>
          <w:highlight w:val="none"/>
        </w:rPr>
      </w:pPr>
      <w:r>
        <w:rPr>
          <w:rFonts w:hint="eastAsia" w:ascii="仿宋_GB2312" w:hAnsi="宋体" w:eastAsia="仿宋_GB2312" w:cs="宋体"/>
          <w:color w:val="auto"/>
          <w:spacing w:val="6"/>
          <w:kern w:val="0"/>
          <w:szCs w:val="21"/>
          <w:highlight w:val="none"/>
        </w:rPr>
        <w:t>2、联合体符合《工业和信息化部、国家统计局、国家发展和改革委员会、财政部关于印发中小企业划型标准规定的通知》（工信部联企业[2011]300号）和《政府采购促进中小企业发展管理办法》（财库﹝2020﹞46 号）相关规定的，应提交《附件8-1：中小企业声明函》。</w:t>
      </w:r>
    </w:p>
    <w:p>
      <w:pPr>
        <w:adjustRightInd w:val="0"/>
        <w:snapToGrid w:val="0"/>
        <w:spacing w:line="360" w:lineRule="auto"/>
        <w:jc w:val="center"/>
        <w:rPr>
          <w:rFonts w:ascii="黑体" w:hAnsi="宋体" w:eastAsia="黑体"/>
          <w:b/>
          <w:bCs/>
          <w:color w:val="auto"/>
          <w:sz w:val="32"/>
          <w:szCs w:val="32"/>
          <w:highlight w:val="none"/>
        </w:rPr>
      </w:pPr>
      <w:r>
        <w:rPr>
          <w:rFonts w:hint="eastAsia" w:ascii="黑体" w:hAnsi="宋体" w:eastAsia="黑体"/>
          <w:b/>
          <w:color w:val="auto"/>
          <w:sz w:val="32"/>
          <w:szCs w:val="32"/>
          <w:highlight w:val="none"/>
        </w:rPr>
        <w:br w:type="page"/>
      </w:r>
      <w:r>
        <w:rPr>
          <w:rFonts w:hint="eastAsia" w:ascii="黑体" w:hAnsi="宋体" w:eastAsia="黑体"/>
          <w:b/>
          <w:color w:val="auto"/>
          <w:sz w:val="32"/>
          <w:szCs w:val="32"/>
          <w:highlight w:val="none"/>
        </w:rPr>
        <w:t>四</w:t>
      </w:r>
      <w:r>
        <w:rPr>
          <w:rFonts w:hint="eastAsia" w:ascii="黑体" w:eastAsia="黑体"/>
          <w:b/>
          <w:color w:val="auto"/>
          <w:sz w:val="32"/>
          <w:szCs w:val="32"/>
          <w:highlight w:val="none"/>
        </w:rPr>
        <w:t>、</w:t>
      </w:r>
      <w:r>
        <w:rPr>
          <w:rFonts w:hint="eastAsia" w:ascii="黑体" w:hAnsi="宋体" w:eastAsia="黑体"/>
          <w:b/>
          <w:color w:val="auto"/>
          <w:sz w:val="32"/>
          <w:szCs w:val="32"/>
          <w:highlight w:val="none"/>
        </w:rPr>
        <w:t>供应商</w:t>
      </w:r>
      <w:r>
        <w:rPr>
          <w:rFonts w:hint="eastAsia" w:ascii="黑体" w:hAnsi="宋体" w:eastAsia="黑体"/>
          <w:b/>
          <w:bCs/>
          <w:color w:val="auto"/>
          <w:sz w:val="32"/>
          <w:szCs w:val="32"/>
          <w:highlight w:val="none"/>
        </w:rPr>
        <w:t>的资格证明资料</w:t>
      </w:r>
    </w:p>
    <w:p>
      <w:pPr>
        <w:spacing w:line="480" w:lineRule="exact"/>
        <w:rPr>
          <w:rFonts w:ascii="黑体" w:hAnsi="黑体" w:eastAsia="黑体"/>
          <w:color w:val="auto"/>
          <w:sz w:val="30"/>
          <w:szCs w:val="30"/>
          <w:highlight w:val="none"/>
        </w:rPr>
      </w:pPr>
      <w:r>
        <w:rPr>
          <w:rFonts w:hint="eastAsia" w:ascii="黑体" w:hAnsi="黑体" w:eastAsia="黑体"/>
          <w:color w:val="auto"/>
          <w:sz w:val="30"/>
          <w:szCs w:val="30"/>
          <w:highlight w:val="none"/>
        </w:rPr>
        <w:t>附件3              供应商基本情况表</w:t>
      </w:r>
    </w:p>
    <w:p>
      <w:pPr>
        <w:spacing w:line="480" w:lineRule="exact"/>
        <w:rPr>
          <w:rFonts w:ascii="黑体" w:hAnsi="黑体" w:eastAsia="黑体"/>
          <w:color w:val="auto"/>
          <w:sz w:val="30"/>
          <w:szCs w:val="30"/>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盖供应商单位章</w:t>
      </w:r>
    </w:p>
    <w:tbl>
      <w:tblPr>
        <w:tblStyle w:val="41"/>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rPr>
              <w:t>名称</w:t>
            </w:r>
          </w:p>
        </w:tc>
        <w:tc>
          <w:tcPr>
            <w:tcW w:w="3960" w:type="dxa"/>
            <w:gridSpan w:val="5"/>
            <w:tcBorders>
              <w:top w:val="double" w:color="auto" w:sz="4"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29" w:type="dxa"/>
            <w:tcBorders>
              <w:top w:val="double" w:color="auto" w:sz="4"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委托代理</w:t>
            </w:r>
            <w:r>
              <w:rPr>
                <w:rFonts w:ascii="宋体" w:hAnsi="宋体"/>
                <w:color w:val="auto"/>
                <w:szCs w:val="21"/>
                <w:highlight w:val="none"/>
              </w:rPr>
              <w:t>人</w:t>
            </w:r>
          </w:p>
        </w:tc>
        <w:tc>
          <w:tcPr>
            <w:tcW w:w="3960" w:type="dxa"/>
            <w:gridSpan w:val="5"/>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3960" w:type="dxa"/>
            <w:gridSpan w:val="5"/>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ind w:firstLine="105" w:firstLineChars="50"/>
              <w:jc w:val="center"/>
              <w:rPr>
                <w:rFonts w:ascii="宋体" w:hAnsi="宋体"/>
                <w:color w:val="auto"/>
                <w:szCs w:val="21"/>
                <w:highlight w:val="none"/>
              </w:rPr>
            </w:pPr>
            <w:r>
              <w:rPr>
                <w:rFonts w:hint="eastAsia" w:ascii="宋体" w:hAnsi="宋体"/>
                <w:color w:val="auto"/>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ind w:firstLine="105" w:firstLineChars="50"/>
              <w:jc w:val="center"/>
              <w:rPr>
                <w:rFonts w:ascii="宋体" w:hAnsi="宋体"/>
                <w:color w:val="auto"/>
                <w:szCs w:val="21"/>
                <w:highlight w:val="none"/>
              </w:rPr>
            </w:pPr>
            <w:r>
              <w:rPr>
                <w:rFonts w:hint="eastAsia" w:ascii="宋体" w:hAnsi="宋体"/>
                <w:color w:val="auto"/>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营业范围（主营）</w:t>
            </w:r>
          </w:p>
        </w:tc>
        <w:tc>
          <w:tcPr>
            <w:tcW w:w="6057" w:type="dxa"/>
            <w:gridSpan w:val="6"/>
            <w:tcBorders>
              <w:top w:val="single" w:color="auto" w:sz="6" w:space="0"/>
              <w:left w:val="single" w:color="auto" w:sz="6" w:space="0"/>
              <w:bottom w:val="single" w:color="auto" w:sz="6" w:space="0"/>
              <w:right w:val="double" w:color="auto" w:sz="4" w:space="0"/>
            </w:tcBorders>
            <w:noWrap/>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营业范围（兼营）</w:t>
            </w:r>
          </w:p>
        </w:tc>
        <w:tc>
          <w:tcPr>
            <w:tcW w:w="6057" w:type="dxa"/>
            <w:gridSpan w:val="6"/>
            <w:tcBorders>
              <w:top w:val="single" w:color="auto" w:sz="6" w:space="0"/>
              <w:left w:val="single" w:color="auto" w:sz="6" w:space="0"/>
              <w:bottom w:val="single" w:color="auto" w:sz="6" w:space="0"/>
              <w:right w:val="double" w:color="auto" w:sz="4" w:space="0"/>
            </w:tcBorders>
            <w:noWrap/>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资质</w:t>
            </w:r>
            <w:r>
              <w:rPr>
                <w:rFonts w:hint="eastAsia" w:ascii="宋体" w:hAnsi="宋体"/>
                <w:color w:val="auto"/>
                <w:szCs w:val="21"/>
                <w:highlight w:val="none"/>
              </w:rPr>
              <w:t>名称</w:t>
            </w:r>
          </w:p>
        </w:tc>
        <w:tc>
          <w:tcPr>
            <w:tcW w:w="884"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ign w:val="center"/>
          </w:tcPr>
          <w:p>
            <w:pPr>
              <w:topLinePunct/>
              <w:spacing w:line="440" w:lineRule="exact"/>
              <w:rPr>
                <w:rFonts w:ascii="黑体" w:hAnsi="宋体" w:eastAsia="黑体"/>
                <w:color w:val="auto"/>
                <w:szCs w:val="21"/>
                <w:highlight w:val="none"/>
              </w:rPr>
            </w:pPr>
            <w:r>
              <w:rPr>
                <w:rFonts w:hint="eastAsia" w:ascii="黑体" w:hAnsi="宋体" w:eastAsia="黑体"/>
                <w:color w:val="auto"/>
                <w:szCs w:val="21"/>
                <w:highlight w:val="none"/>
              </w:rPr>
              <w:t>附《营业执照》（副本）复印件</w:t>
            </w:r>
          </w:p>
        </w:tc>
      </w:tr>
    </w:tbl>
    <w:p>
      <w:pPr>
        <w:spacing w:line="480" w:lineRule="exact"/>
        <w:rPr>
          <w:rFonts w:ascii="黑体" w:eastAsia="黑体"/>
          <w:color w:val="auto"/>
          <w:sz w:val="30"/>
          <w:szCs w:val="30"/>
          <w:highlight w:val="none"/>
        </w:rPr>
      </w:pPr>
    </w:p>
    <w:p>
      <w:pPr>
        <w:spacing w:line="480" w:lineRule="exact"/>
        <w:rPr>
          <w:rFonts w:ascii="黑体" w:eastAsia="黑体"/>
          <w:color w:val="auto"/>
          <w:sz w:val="30"/>
          <w:szCs w:val="30"/>
          <w:highlight w:val="none"/>
        </w:rPr>
      </w:pPr>
    </w:p>
    <w:p>
      <w:pPr>
        <w:spacing w:line="480" w:lineRule="exact"/>
        <w:rPr>
          <w:rFonts w:ascii="黑体" w:eastAsia="黑体"/>
          <w:color w:val="auto"/>
          <w:sz w:val="30"/>
          <w:szCs w:val="30"/>
          <w:highlight w:val="none"/>
        </w:rPr>
      </w:pPr>
      <w:r>
        <w:rPr>
          <w:rFonts w:hint="eastAsia" w:ascii="黑体" w:eastAsia="黑体"/>
          <w:color w:val="auto"/>
          <w:sz w:val="30"/>
          <w:szCs w:val="30"/>
          <w:highlight w:val="none"/>
        </w:rPr>
        <w:br w:type="page"/>
      </w:r>
      <w:r>
        <w:rPr>
          <w:rFonts w:hint="eastAsia" w:ascii="黑体" w:eastAsia="黑体"/>
          <w:color w:val="auto"/>
          <w:sz w:val="30"/>
          <w:szCs w:val="30"/>
          <w:highlight w:val="none"/>
        </w:rPr>
        <w:t>附件4      磋商文件规定的基本资格条件证明资料</w:t>
      </w:r>
    </w:p>
    <w:p>
      <w:pPr>
        <w:spacing w:line="480" w:lineRule="exact"/>
        <w:rPr>
          <w:rFonts w:ascii="黑体" w:hAnsi="宋体" w:eastAsia="黑体"/>
          <w:color w:val="auto"/>
          <w:szCs w:val="21"/>
          <w:highlight w:val="none"/>
        </w:rPr>
      </w:pPr>
    </w:p>
    <w:p>
      <w:pPr>
        <w:spacing w:line="480" w:lineRule="exact"/>
        <w:rPr>
          <w:rFonts w:ascii="黑体" w:hAnsi="宋体" w:eastAsia="黑体"/>
          <w:color w:val="auto"/>
          <w:szCs w:val="21"/>
          <w:highlight w:val="none"/>
        </w:rPr>
      </w:pPr>
      <w:r>
        <w:rPr>
          <w:rFonts w:hint="eastAsia" w:ascii="黑体" w:hAnsi="宋体" w:eastAsia="黑体"/>
          <w:color w:val="auto"/>
          <w:szCs w:val="21"/>
          <w:highlight w:val="none"/>
        </w:rPr>
        <w:t>备注：</w:t>
      </w:r>
    </w:p>
    <w:p>
      <w:pPr>
        <w:spacing w:line="480" w:lineRule="exact"/>
        <w:ind w:firstLine="525" w:firstLineChars="250"/>
        <w:rPr>
          <w:rFonts w:ascii="宋体" w:hAnsi="宋体"/>
          <w:color w:val="auto"/>
          <w:szCs w:val="21"/>
          <w:highlight w:val="none"/>
        </w:rPr>
      </w:pPr>
      <w:r>
        <w:rPr>
          <w:rFonts w:hint="eastAsia" w:ascii="宋体" w:hAnsi="宋体"/>
          <w:color w:val="auto"/>
          <w:szCs w:val="21"/>
          <w:highlight w:val="none"/>
        </w:rPr>
        <w:t>1、依法缴纳税收和社会保险费的证明资料：</w:t>
      </w:r>
    </w:p>
    <w:p>
      <w:pPr>
        <w:spacing w:line="480" w:lineRule="exact"/>
        <w:ind w:firstLine="525" w:firstLineChars="250"/>
        <w:rPr>
          <w:rFonts w:ascii="宋体" w:hAnsi="宋体"/>
          <w:color w:val="auto"/>
          <w:szCs w:val="21"/>
          <w:highlight w:val="none"/>
        </w:rPr>
      </w:pPr>
      <w:r>
        <w:rPr>
          <w:rFonts w:hint="eastAsia" w:ascii="宋体" w:hAnsi="宋体"/>
          <w:color w:val="auto"/>
          <w:szCs w:val="21"/>
          <w:highlight w:val="none"/>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ind w:firstLine="525" w:firstLineChars="250"/>
        <w:rPr>
          <w:rFonts w:ascii="宋体" w:hAnsi="宋体"/>
          <w:color w:val="auto"/>
          <w:szCs w:val="21"/>
          <w:highlight w:val="none"/>
        </w:rPr>
      </w:pPr>
      <w:r>
        <w:rPr>
          <w:rFonts w:hint="eastAsia" w:ascii="宋体" w:hAnsi="宋体"/>
          <w:color w:val="auto"/>
          <w:szCs w:val="21"/>
          <w:highlight w:val="none"/>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ind w:firstLine="525" w:firstLineChars="250"/>
        <w:rPr>
          <w:rFonts w:ascii="宋体" w:hAnsi="宋体"/>
          <w:color w:val="auto"/>
          <w:szCs w:val="21"/>
          <w:highlight w:val="none"/>
        </w:rPr>
      </w:pPr>
      <w:r>
        <w:rPr>
          <w:rFonts w:hint="eastAsia" w:ascii="宋体" w:hAnsi="宋体"/>
          <w:color w:val="auto"/>
          <w:szCs w:val="21"/>
          <w:highlight w:val="none"/>
        </w:rPr>
        <w:t>2、提供第二章 磋商须知第3.1款供应商基本资格条件：法律、行政法规规定的其他条件[包括供应商从事磋商货物的生产、销售或经营、安装、集成等项许可(如果有的话)]证明资料的复印件。</w:t>
      </w:r>
    </w:p>
    <w:p>
      <w:pPr>
        <w:spacing w:line="480" w:lineRule="exact"/>
        <w:ind w:firstLine="630" w:firstLineChars="300"/>
        <w:rPr>
          <w:rFonts w:hint="eastAsia" w:ascii="宋体" w:hAnsi="宋体"/>
          <w:color w:val="auto"/>
          <w:szCs w:val="21"/>
          <w:highlight w:val="none"/>
          <w:lang w:eastAsia="zh-CN"/>
        </w:rPr>
      </w:pPr>
      <w:r>
        <w:rPr>
          <w:rFonts w:hint="eastAsia" w:ascii="宋体" w:hAnsi="宋体"/>
          <w:color w:val="auto"/>
          <w:szCs w:val="21"/>
          <w:highlight w:val="none"/>
        </w:rPr>
        <w:t>3、参加采购活动前三年内在经营活动中没有重大违法记录的书面声明</w:t>
      </w:r>
      <w:r>
        <w:rPr>
          <w:rFonts w:hint="eastAsia" w:ascii="宋体" w:hAnsi="宋体"/>
          <w:color w:val="auto"/>
          <w:szCs w:val="21"/>
          <w:highlight w:val="none"/>
          <w:lang w:eastAsia="zh-CN"/>
        </w:rPr>
        <w:t>。</w:t>
      </w:r>
    </w:p>
    <w:p>
      <w:pPr>
        <w:adjustRightInd w:val="0"/>
        <w:snapToGrid w:val="0"/>
        <w:spacing w:line="410" w:lineRule="exact"/>
        <w:ind w:firstLine="630" w:firstLineChars="3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4、提供2020年度经会计师事务所审计的财务报告复印件（至少包含资产负债表、利润表和现金流量表），成立不满一年的单位提供银行出具的资信证明。</w:t>
      </w:r>
    </w:p>
    <w:p>
      <w:pPr>
        <w:adjustRightInd w:val="0"/>
        <w:snapToGrid w:val="0"/>
        <w:spacing w:line="410" w:lineRule="exact"/>
        <w:ind w:firstLine="630" w:firstLineChars="3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对列入失信被执行人、重大税收违法案件当事人名单、政府采购严重违法失信行为记录名单及其他不符合《中华人民共和国政府采购法》第二十二条规定条件的供应商，将被拒绝其参与政府采购活动。信用信息查询的查询渠道为“信用中国”网站（www.creditchina.gov.cn）、中国政府采购网（www.ccgp.gov.cn）；信用信息查询的截止时点为至项目提交首次响应文件的截止时间止；信用信息查询记录的具体方式为采购人及代理机构在规定的查询渠道进行查询；信用信息查询记录证据留存的具体方式为查询记录的网上打印件。</w:t>
      </w:r>
    </w:p>
    <w:p>
      <w:pPr>
        <w:pStyle w:val="2"/>
        <w:rPr>
          <w:rFonts w:hint="eastAsia"/>
          <w:color w:val="auto"/>
          <w:highlight w:val="none"/>
          <w:lang w:eastAsia="zh-CN"/>
        </w:rPr>
      </w:pPr>
    </w:p>
    <w:p>
      <w:pPr>
        <w:spacing w:line="480" w:lineRule="exact"/>
        <w:rPr>
          <w:rFonts w:ascii="黑体" w:eastAsia="黑体"/>
          <w:color w:val="auto"/>
          <w:sz w:val="24"/>
          <w:highlight w:val="none"/>
        </w:rPr>
      </w:pPr>
      <w:r>
        <w:rPr>
          <w:rFonts w:hint="eastAsia" w:ascii="黑体" w:eastAsia="黑体"/>
          <w:color w:val="auto"/>
          <w:sz w:val="24"/>
          <w:highlight w:val="none"/>
        </w:rPr>
        <w:br w:type="page"/>
      </w:r>
      <w:r>
        <w:rPr>
          <w:rFonts w:hint="eastAsia" w:ascii="黑体" w:eastAsia="黑体"/>
          <w:color w:val="auto"/>
          <w:sz w:val="24"/>
          <w:highlight w:val="none"/>
        </w:rPr>
        <w:t>附：</w:t>
      </w:r>
    </w:p>
    <w:p>
      <w:pPr>
        <w:pStyle w:val="76"/>
        <w:ind w:firstLine="482"/>
        <w:jc w:val="center"/>
        <w:rPr>
          <w:rFonts w:ascii="黑体"/>
          <w:b/>
          <w:bCs/>
          <w:color w:val="auto"/>
          <w:sz w:val="36"/>
          <w:szCs w:val="36"/>
          <w:highlight w:val="none"/>
        </w:rPr>
      </w:pPr>
      <w:r>
        <w:rPr>
          <w:rFonts w:hint="eastAsia" w:ascii="宋体" w:hAnsi="宋体" w:cs="Times New Roman"/>
          <w:b/>
          <w:bCs/>
          <w:color w:val="auto"/>
          <w:sz w:val="24"/>
          <w:szCs w:val="24"/>
          <w:highlight w:val="none"/>
        </w:rPr>
        <w:t>参加采购活动前三年内在经营活动中没有重大违法记录的书面声明</w:t>
      </w:r>
    </w:p>
    <w:p>
      <w:pPr>
        <w:spacing w:line="480" w:lineRule="exact"/>
        <w:rPr>
          <w:rFonts w:ascii="宋体" w:hAnsi="宋体" w:cs="Courier New"/>
          <w:color w:val="auto"/>
          <w:highlight w:val="none"/>
        </w:rPr>
      </w:pPr>
    </w:p>
    <w:p>
      <w:pPr>
        <w:spacing w:line="480" w:lineRule="exact"/>
        <w:rPr>
          <w:rFonts w:ascii="宋体" w:hAnsi="宋体" w:cs="Courier New"/>
          <w:color w:val="auto"/>
          <w:highlight w:val="none"/>
        </w:rPr>
      </w:pPr>
      <w:r>
        <w:rPr>
          <w:rFonts w:hint="eastAsia" w:ascii="宋体" w:hAnsi="宋体" w:cs="Courier New"/>
          <w:color w:val="auto"/>
          <w:highlight w:val="none"/>
        </w:rPr>
        <w:t>致（采购人、采购代理机构）：</w:t>
      </w:r>
    </w:p>
    <w:p>
      <w:pPr>
        <w:spacing w:line="480" w:lineRule="exact"/>
        <w:ind w:firstLine="420" w:firstLineChars="200"/>
        <w:rPr>
          <w:rFonts w:ascii="宋体" w:hAnsi="宋体" w:cs="Courier New"/>
          <w:color w:val="auto"/>
          <w:highlight w:val="none"/>
        </w:rPr>
      </w:pPr>
      <w:r>
        <w:rPr>
          <w:rFonts w:hint="eastAsia" w:ascii="宋体" w:hAnsi="宋体" w:cs="Courier New"/>
          <w:color w:val="auto"/>
          <w:highlight w:val="none"/>
        </w:rPr>
        <w:t>我单位在参加</w:t>
      </w:r>
      <w:r>
        <w:rPr>
          <w:rFonts w:hint="eastAsia" w:ascii="宋体" w:hAnsi="宋体" w:cs="Courier New"/>
          <w:color w:val="auto"/>
          <w:highlight w:val="none"/>
          <w:lang w:eastAsia="zh-CN"/>
        </w:rPr>
        <w:t>本</w:t>
      </w:r>
      <w:r>
        <w:rPr>
          <w:rFonts w:hint="eastAsia" w:ascii="宋体" w:hAnsi="宋体" w:cs="Courier New"/>
          <w:color w:val="auto"/>
          <w:highlight w:val="none"/>
        </w:rPr>
        <w:t>采购项目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pPr>
        <w:pStyle w:val="76"/>
        <w:rPr>
          <w:rFonts w:ascii="宋体" w:hAnsi="宋体" w:cs="Courier New"/>
          <w:color w:val="auto"/>
          <w:highlight w:val="none"/>
        </w:rPr>
      </w:pPr>
    </w:p>
    <w:p>
      <w:pPr>
        <w:pStyle w:val="76"/>
        <w:rPr>
          <w:rFonts w:ascii="宋体" w:hAnsi="宋体" w:cs="Courier New"/>
          <w:color w:val="auto"/>
          <w:highlight w:val="none"/>
        </w:rPr>
      </w:pPr>
    </w:p>
    <w:p>
      <w:pPr>
        <w:pStyle w:val="25"/>
        <w:adjustRightInd w:val="0"/>
        <w:snapToGrid w:val="0"/>
        <w:spacing w:line="360" w:lineRule="auto"/>
        <w:outlineLvl w:val="0"/>
        <w:rPr>
          <w:rFonts w:ascii="宋体" w:hAnsi="宋体"/>
          <w:bCs/>
          <w:color w:val="auto"/>
          <w:sz w:val="21"/>
          <w:szCs w:val="21"/>
          <w:highlight w:val="none"/>
        </w:rPr>
      </w:pPr>
      <w:r>
        <w:rPr>
          <w:rFonts w:hint="eastAsia" w:ascii="宋体" w:hAnsi="宋体"/>
          <w:color w:val="auto"/>
          <w:sz w:val="21"/>
          <w:szCs w:val="21"/>
          <w:highlight w:val="none"/>
        </w:rPr>
        <w:t>供应商名称：</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法定代表人或其委托代理人(签字)：_</w:t>
      </w:r>
    </w:p>
    <w:p>
      <w:pPr>
        <w:spacing w:line="360" w:lineRule="exact"/>
        <w:rPr>
          <w:rFonts w:ascii="宋体"/>
          <w:color w:val="auto"/>
          <w:highlight w:val="none"/>
        </w:rPr>
      </w:pPr>
      <w:r>
        <w:rPr>
          <w:rFonts w:hint="eastAsia" w:ascii="宋体" w:hAnsi="宋体"/>
          <w:color w:val="auto"/>
          <w:szCs w:val="21"/>
          <w:highlight w:val="none"/>
        </w:rPr>
        <w:t>日期：  年  月  日</w:t>
      </w:r>
    </w:p>
    <w:p>
      <w:pPr>
        <w:adjustRightInd w:val="0"/>
        <w:snapToGrid w:val="0"/>
        <w:spacing w:line="360" w:lineRule="auto"/>
        <w:rPr>
          <w:rFonts w:ascii="宋体" w:hAnsi="宋体"/>
          <w:color w:val="auto"/>
          <w:szCs w:val="21"/>
          <w:highlight w:val="none"/>
        </w:rPr>
      </w:pPr>
    </w:p>
    <w:p>
      <w:pPr>
        <w:spacing w:line="480" w:lineRule="exact"/>
        <w:rPr>
          <w:rFonts w:ascii="黑体" w:eastAsia="黑体"/>
          <w:color w:val="auto"/>
          <w:sz w:val="30"/>
          <w:szCs w:val="30"/>
          <w:highlight w:val="none"/>
        </w:rPr>
      </w:pPr>
    </w:p>
    <w:p>
      <w:pPr>
        <w:spacing w:line="480" w:lineRule="exact"/>
        <w:rPr>
          <w:rFonts w:ascii="黑体" w:eastAsia="黑体"/>
          <w:color w:val="auto"/>
          <w:sz w:val="30"/>
          <w:szCs w:val="30"/>
          <w:highlight w:val="none"/>
        </w:rPr>
      </w:pPr>
    </w:p>
    <w:p>
      <w:pPr>
        <w:pStyle w:val="76"/>
        <w:rPr>
          <w:color w:val="auto"/>
          <w:highlight w:val="none"/>
        </w:rPr>
      </w:pPr>
    </w:p>
    <w:p>
      <w:pPr>
        <w:spacing w:line="480" w:lineRule="exact"/>
        <w:rPr>
          <w:rFonts w:ascii="黑体" w:eastAsia="黑体"/>
          <w:color w:val="auto"/>
          <w:sz w:val="30"/>
          <w:szCs w:val="30"/>
          <w:highlight w:val="none"/>
        </w:rPr>
      </w:pPr>
      <w:r>
        <w:rPr>
          <w:rFonts w:hint="eastAsia" w:ascii="黑体" w:eastAsia="黑体"/>
          <w:color w:val="auto"/>
          <w:sz w:val="30"/>
          <w:szCs w:val="30"/>
          <w:highlight w:val="none"/>
        </w:rPr>
        <w:t>附件5  磋商文件规定的特定资格条件证明资料</w:t>
      </w:r>
    </w:p>
    <w:p>
      <w:pPr>
        <w:spacing w:line="480" w:lineRule="exact"/>
        <w:rPr>
          <w:rFonts w:ascii="宋体" w:hAnsi="宋体"/>
          <w:color w:val="auto"/>
          <w:szCs w:val="21"/>
          <w:highlight w:val="none"/>
        </w:rPr>
      </w:pPr>
      <w:r>
        <w:rPr>
          <w:rFonts w:hint="eastAsia" w:ascii="宋体" w:hAnsi="宋体"/>
          <w:color w:val="auto"/>
          <w:szCs w:val="21"/>
          <w:highlight w:val="none"/>
        </w:rPr>
        <w:t>备注：提供第二章 磋商须知第3.1款供应商特定资格条件证明资料的复印件。</w:t>
      </w:r>
    </w:p>
    <w:p>
      <w:pPr>
        <w:spacing w:line="480" w:lineRule="exact"/>
        <w:rPr>
          <w:rFonts w:ascii="宋体" w:hAnsi="宋体"/>
          <w:color w:val="auto"/>
          <w:szCs w:val="21"/>
          <w:highlight w:val="none"/>
          <w:lang w:val="zh-TW"/>
        </w:rPr>
      </w:pPr>
    </w:p>
    <w:p>
      <w:pPr>
        <w:spacing w:line="480" w:lineRule="exact"/>
        <w:rPr>
          <w:rFonts w:ascii="黑体" w:eastAsia="黑体"/>
          <w:color w:val="auto"/>
          <w:sz w:val="30"/>
          <w:szCs w:val="30"/>
          <w:highlight w:val="none"/>
        </w:rPr>
      </w:pPr>
    </w:p>
    <w:p>
      <w:pPr>
        <w:spacing w:line="480" w:lineRule="exact"/>
        <w:rPr>
          <w:rFonts w:ascii="黑体" w:eastAsia="黑体"/>
          <w:color w:val="auto"/>
          <w:sz w:val="30"/>
          <w:szCs w:val="30"/>
          <w:highlight w:val="none"/>
        </w:rPr>
      </w:pPr>
    </w:p>
    <w:p>
      <w:pPr>
        <w:spacing w:line="480" w:lineRule="exact"/>
        <w:rPr>
          <w:rFonts w:ascii="黑体" w:eastAsia="黑体"/>
          <w:color w:val="auto"/>
          <w:sz w:val="30"/>
          <w:szCs w:val="30"/>
          <w:highlight w:val="none"/>
        </w:rPr>
      </w:pPr>
    </w:p>
    <w:p>
      <w:pPr>
        <w:adjustRightInd w:val="0"/>
        <w:snapToGrid w:val="0"/>
        <w:spacing w:line="360" w:lineRule="auto"/>
        <w:rPr>
          <w:rFonts w:ascii="黑体" w:hAnsi="黑体" w:eastAsia="黑体"/>
          <w:bCs/>
          <w:color w:val="auto"/>
          <w:sz w:val="30"/>
          <w:szCs w:val="30"/>
          <w:highlight w:val="none"/>
        </w:rPr>
      </w:pPr>
    </w:p>
    <w:p>
      <w:pPr>
        <w:adjustRightInd w:val="0"/>
        <w:snapToGrid w:val="0"/>
        <w:spacing w:line="360" w:lineRule="auto"/>
        <w:rPr>
          <w:rFonts w:ascii="黑体" w:eastAsia="黑体"/>
          <w:b/>
          <w:color w:val="auto"/>
          <w:sz w:val="30"/>
          <w:szCs w:val="30"/>
          <w:highlight w:val="none"/>
        </w:rPr>
      </w:pPr>
      <w:r>
        <w:rPr>
          <w:rFonts w:hint="eastAsia" w:ascii="黑体" w:eastAsia="黑体"/>
          <w:b/>
          <w:color w:val="auto"/>
          <w:sz w:val="30"/>
          <w:szCs w:val="30"/>
          <w:highlight w:val="none"/>
        </w:rPr>
        <w:t>附件6     其他证明资料或说明</w:t>
      </w:r>
    </w:p>
    <w:p>
      <w:pPr>
        <w:adjustRightInd w:val="0"/>
        <w:snapToGrid w:val="0"/>
        <w:spacing w:line="360" w:lineRule="auto"/>
        <w:rPr>
          <w:rFonts w:ascii="黑体" w:eastAsia="黑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提供磋商文件或评分标准需要提供的相关证明文件复印件</w:t>
      </w:r>
    </w:p>
    <w:p>
      <w:pPr>
        <w:adjustRightInd w:val="0"/>
        <w:snapToGrid w:val="0"/>
        <w:spacing w:line="360" w:lineRule="auto"/>
        <w:jc w:val="center"/>
        <w:rPr>
          <w:rFonts w:ascii="黑体" w:eastAsia="黑体"/>
          <w:b/>
          <w:color w:val="auto"/>
          <w:sz w:val="32"/>
          <w:szCs w:val="32"/>
          <w:highlight w:val="none"/>
        </w:rPr>
      </w:pPr>
    </w:p>
    <w:p>
      <w:pPr>
        <w:adjustRightInd w:val="0"/>
        <w:snapToGrid w:val="0"/>
        <w:spacing w:line="360" w:lineRule="auto"/>
        <w:jc w:val="center"/>
        <w:rPr>
          <w:rFonts w:ascii="黑体" w:eastAsia="黑体"/>
          <w:b/>
          <w:color w:val="auto"/>
          <w:sz w:val="32"/>
          <w:szCs w:val="32"/>
          <w:highlight w:val="none"/>
        </w:rPr>
      </w:pPr>
    </w:p>
    <w:p>
      <w:pPr>
        <w:adjustRightInd w:val="0"/>
        <w:snapToGrid w:val="0"/>
        <w:spacing w:line="360" w:lineRule="auto"/>
        <w:jc w:val="center"/>
        <w:rPr>
          <w:rFonts w:ascii="黑体" w:eastAsia="黑体"/>
          <w:b/>
          <w:color w:val="auto"/>
          <w:sz w:val="32"/>
          <w:szCs w:val="32"/>
          <w:highlight w:val="none"/>
        </w:rPr>
      </w:pPr>
    </w:p>
    <w:p>
      <w:pPr>
        <w:adjustRightInd w:val="0"/>
        <w:snapToGrid w:val="0"/>
        <w:spacing w:line="360" w:lineRule="auto"/>
        <w:jc w:val="center"/>
        <w:rPr>
          <w:rFonts w:ascii="黑体" w:eastAsia="黑体"/>
          <w:b/>
          <w:color w:val="auto"/>
          <w:sz w:val="32"/>
          <w:szCs w:val="32"/>
          <w:highlight w:val="none"/>
        </w:rPr>
      </w:pPr>
    </w:p>
    <w:p>
      <w:pPr>
        <w:adjustRightInd w:val="0"/>
        <w:snapToGrid w:val="0"/>
        <w:spacing w:line="360" w:lineRule="auto"/>
        <w:jc w:val="center"/>
        <w:rPr>
          <w:rFonts w:ascii="黑体" w:eastAsia="黑体"/>
          <w:b/>
          <w:color w:val="auto"/>
          <w:sz w:val="32"/>
          <w:szCs w:val="32"/>
          <w:highlight w:val="none"/>
        </w:rPr>
      </w:pPr>
    </w:p>
    <w:p>
      <w:pPr>
        <w:adjustRightInd w:val="0"/>
        <w:snapToGrid w:val="0"/>
        <w:spacing w:line="360" w:lineRule="auto"/>
        <w:jc w:val="center"/>
        <w:rPr>
          <w:rFonts w:ascii="黑体" w:eastAsia="黑体"/>
          <w:b/>
          <w:color w:val="auto"/>
          <w:sz w:val="32"/>
          <w:szCs w:val="32"/>
          <w:highlight w:val="none"/>
        </w:rPr>
      </w:pPr>
      <w:r>
        <w:rPr>
          <w:rFonts w:hint="eastAsia" w:ascii="黑体" w:eastAsia="黑体"/>
          <w:b/>
          <w:color w:val="auto"/>
          <w:sz w:val="32"/>
          <w:szCs w:val="32"/>
          <w:highlight w:val="none"/>
        </w:rPr>
        <w:t>五、服务方案</w:t>
      </w:r>
    </w:p>
    <w:p>
      <w:pPr>
        <w:adjustRightInd w:val="0"/>
        <w:snapToGrid w:val="0"/>
        <w:spacing w:line="360" w:lineRule="auto"/>
        <w:jc w:val="center"/>
        <w:rPr>
          <w:rFonts w:ascii="黑体" w:eastAsia="黑体"/>
          <w:b/>
          <w:color w:val="auto"/>
          <w:sz w:val="32"/>
          <w:szCs w:val="32"/>
          <w:highlight w:val="none"/>
        </w:rPr>
      </w:pPr>
    </w:p>
    <w:p>
      <w:pPr>
        <w:adjustRightInd w:val="0"/>
        <w:snapToGrid w:val="0"/>
        <w:rPr>
          <w:rFonts w:ascii="黑体" w:eastAsia="黑体"/>
          <w:color w:val="auto"/>
          <w:sz w:val="30"/>
          <w:szCs w:val="30"/>
          <w:highlight w:val="none"/>
        </w:rPr>
      </w:pPr>
      <w:r>
        <w:rPr>
          <w:rFonts w:hint="eastAsia" w:ascii="黑体" w:eastAsia="黑体"/>
          <w:color w:val="auto"/>
          <w:sz w:val="30"/>
          <w:szCs w:val="30"/>
          <w:highlight w:val="none"/>
        </w:rPr>
        <w:t>附件7-1：</w:t>
      </w:r>
    </w:p>
    <w:p>
      <w:pPr>
        <w:adjustRightInd w:val="0"/>
        <w:snapToGrid w:val="0"/>
        <w:jc w:val="center"/>
        <w:rPr>
          <w:rFonts w:ascii="黑体" w:hAnsi="宋体" w:eastAsia="黑体"/>
          <w:b/>
          <w:color w:val="auto"/>
          <w:sz w:val="30"/>
          <w:szCs w:val="30"/>
          <w:highlight w:val="none"/>
        </w:rPr>
      </w:pPr>
      <w:r>
        <w:rPr>
          <w:rFonts w:hint="eastAsia" w:ascii="黑体" w:hAnsi="宋体" w:eastAsia="黑体"/>
          <w:b/>
          <w:color w:val="auto"/>
          <w:sz w:val="30"/>
          <w:szCs w:val="30"/>
          <w:highlight w:val="none"/>
        </w:rPr>
        <w:t>服务方案</w:t>
      </w:r>
    </w:p>
    <w:p>
      <w:pPr>
        <w:adjustRightInd w:val="0"/>
        <w:snapToGrid w:val="0"/>
        <w:rPr>
          <w:rFonts w:ascii="宋体" w:hAnsi="宋体"/>
          <w:color w:val="auto"/>
          <w:szCs w:val="21"/>
          <w:highlight w:val="none"/>
        </w:rPr>
      </w:pPr>
    </w:p>
    <w:p>
      <w:pPr>
        <w:adjustRightInd w:val="0"/>
        <w:snapToGrid w:val="0"/>
        <w:spacing w:line="360" w:lineRule="auto"/>
        <w:rPr>
          <w:rFonts w:ascii="仿宋_GB2312" w:hAnsi="宋体" w:eastAsia="仿宋_GB2312"/>
          <w:color w:val="auto"/>
          <w:szCs w:val="21"/>
          <w:highlight w:val="none"/>
        </w:rPr>
      </w:pPr>
      <w:r>
        <w:rPr>
          <w:rFonts w:hint="eastAsia" w:ascii="仿宋_GB2312" w:hAnsi="宋体" w:eastAsia="仿宋_GB2312"/>
          <w:color w:val="auto"/>
          <w:szCs w:val="21"/>
          <w:highlight w:val="none"/>
        </w:rPr>
        <w:t>服务类项目供应商应根据第四章规定编写服务方案或服务大纲。</w:t>
      </w: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pStyle w:val="25"/>
        <w:adjustRightInd w:val="0"/>
        <w:snapToGrid w:val="0"/>
        <w:spacing w:line="360" w:lineRule="auto"/>
        <w:outlineLvl w:val="0"/>
        <w:rPr>
          <w:rFonts w:ascii="宋体" w:hAnsi="宋体"/>
          <w:bCs/>
          <w:color w:val="auto"/>
          <w:sz w:val="21"/>
          <w:szCs w:val="21"/>
          <w:highlight w:val="none"/>
        </w:rPr>
      </w:pPr>
      <w:r>
        <w:rPr>
          <w:rFonts w:hint="eastAsia" w:ascii="宋体" w:hAnsi="宋体"/>
          <w:color w:val="auto"/>
          <w:sz w:val="21"/>
          <w:szCs w:val="21"/>
          <w:highlight w:val="none"/>
        </w:rPr>
        <w:t>供应商名称：</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法定代表人或其委托代理人(签字)：_</w:t>
      </w:r>
    </w:p>
    <w:p>
      <w:pPr>
        <w:spacing w:line="360" w:lineRule="exact"/>
        <w:rPr>
          <w:rFonts w:ascii="宋体"/>
          <w:color w:val="auto"/>
          <w:highlight w:val="none"/>
        </w:rPr>
      </w:pPr>
      <w:r>
        <w:rPr>
          <w:rFonts w:hint="eastAsia" w:ascii="宋体" w:hAnsi="宋体"/>
          <w:color w:val="auto"/>
          <w:szCs w:val="21"/>
          <w:highlight w:val="none"/>
        </w:rPr>
        <w:t>日期：  年  月  日</w:t>
      </w:r>
    </w:p>
    <w:p>
      <w:pPr>
        <w:adjustRightInd w:val="0"/>
        <w:snapToGrid w:val="0"/>
        <w:spacing w:line="360" w:lineRule="auto"/>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黑体" w:eastAsia="黑体"/>
          <w:color w:val="auto"/>
          <w:sz w:val="30"/>
          <w:szCs w:val="30"/>
          <w:highlight w:val="none"/>
        </w:rPr>
      </w:pPr>
      <w:r>
        <w:rPr>
          <w:rFonts w:hint="eastAsia" w:ascii="黑体" w:eastAsia="黑体"/>
          <w:color w:val="auto"/>
          <w:sz w:val="30"/>
          <w:szCs w:val="30"/>
          <w:highlight w:val="none"/>
        </w:rPr>
        <w:br w:type="page"/>
      </w:r>
      <w:r>
        <w:rPr>
          <w:rFonts w:hint="eastAsia" w:ascii="黑体" w:eastAsia="黑体"/>
          <w:color w:val="auto"/>
          <w:sz w:val="30"/>
          <w:szCs w:val="30"/>
          <w:highlight w:val="none"/>
        </w:rPr>
        <w:t>附件7-2：</w:t>
      </w:r>
    </w:p>
    <w:p>
      <w:pPr>
        <w:spacing w:line="360" w:lineRule="atLeast"/>
        <w:jc w:val="center"/>
        <w:rPr>
          <w:rFonts w:ascii="黑体" w:eastAsia="黑体"/>
          <w:color w:val="auto"/>
          <w:sz w:val="30"/>
          <w:szCs w:val="30"/>
          <w:highlight w:val="none"/>
        </w:rPr>
      </w:pPr>
      <w:r>
        <w:rPr>
          <w:rFonts w:hint="eastAsia" w:ascii="黑体" w:eastAsia="黑体"/>
          <w:color w:val="auto"/>
          <w:sz w:val="30"/>
          <w:szCs w:val="30"/>
          <w:highlight w:val="none"/>
        </w:rPr>
        <w:t>主要人员简历表</w:t>
      </w:r>
    </w:p>
    <w:p>
      <w:pPr>
        <w:spacing w:line="360" w:lineRule="atLeast"/>
        <w:jc w:val="center"/>
        <w:rPr>
          <w:rFonts w:ascii="宋体"/>
          <w:color w:val="auto"/>
          <w:sz w:val="28"/>
          <w:szCs w:val="28"/>
          <w:highlight w:val="none"/>
        </w:rPr>
      </w:pPr>
    </w:p>
    <w:tbl>
      <w:tblPr>
        <w:tblStyle w:val="41"/>
        <w:tblW w:w="850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1" w:hRule="exact"/>
        </w:trPr>
        <w:tc>
          <w:tcPr>
            <w:tcW w:w="2032" w:type="dxa"/>
            <w:gridSpan w:val="2"/>
            <w:noWrap/>
            <w:vAlign w:val="center"/>
          </w:tcPr>
          <w:p>
            <w:pPr>
              <w:spacing w:line="360" w:lineRule="atLeast"/>
              <w:jc w:val="center"/>
              <w:rPr>
                <w:rFonts w:ascii="宋体"/>
                <w:color w:val="auto"/>
                <w:highlight w:val="none"/>
              </w:rPr>
            </w:pPr>
            <w:r>
              <w:rPr>
                <w:rFonts w:hint="eastAsia" w:ascii="宋体"/>
                <w:color w:val="auto"/>
                <w:highlight w:val="none"/>
              </w:rPr>
              <w:t>姓名</w:t>
            </w:r>
          </w:p>
        </w:tc>
        <w:tc>
          <w:tcPr>
            <w:tcW w:w="2468" w:type="dxa"/>
            <w:noWrap/>
            <w:vAlign w:val="center"/>
          </w:tcPr>
          <w:p>
            <w:pPr>
              <w:spacing w:line="360" w:lineRule="atLeast"/>
              <w:jc w:val="center"/>
              <w:rPr>
                <w:rFonts w:ascii="宋体"/>
                <w:color w:val="auto"/>
                <w:highlight w:val="none"/>
              </w:rPr>
            </w:pPr>
          </w:p>
        </w:tc>
        <w:tc>
          <w:tcPr>
            <w:tcW w:w="2340" w:type="dxa"/>
            <w:gridSpan w:val="3"/>
            <w:noWrap/>
            <w:vAlign w:val="center"/>
          </w:tcPr>
          <w:p>
            <w:pPr>
              <w:spacing w:line="360" w:lineRule="atLeast"/>
              <w:jc w:val="center"/>
              <w:rPr>
                <w:rFonts w:ascii="宋体"/>
                <w:color w:val="auto"/>
                <w:highlight w:val="none"/>
              </w:rPr>
            </w:pPr>
            <w:r>
              <w:rPr>
                <w:rFonts w:hint="eastAsia" w:ascii="宋体"/>
                <w:color w:val="auto"/>
                <w:highlight w:val="none"/>
              </w:rPr>
              <w:t>性别</w:t>
            </w:r>
          </w:p>
        </w:tc>
        <w:tc>
          <w:tcPr>
            <w:tcW w:w="1663" w:type="dxa"/>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exact"/>
        </w:trPr>
        <w:tc>
          <w:tcPr>
            <w:tcW w:w="2032" w:type="dxa"/>
            <w:gridSpan w:val="2"/>
            <w:noWrap/>
            <w:vAlign w:val="center"/>
          </w:tcPr>
          <w:p>
            <w:pPr>
              <w:spacing w:line="360" w:lineRule="atLeast"/>
              <w:jc w:val="center"/>
              <w:rPr>
                <w:rFonts w:ascii="宋体"/>
                <w:color w:val="auto"/>
                <w:highlight w:val="none"/>
              </w:rPr>
            </w:pPr>
            <w:r>
              <w:rPr>
                <w:rFonts w:hint="eastAsia" w:ascii="宋体"/>
                <w:color w:val="auto"/>
                <w:highlight w:val="none"/>
              </w:rPr>
              <w:t>职务</w:t>
            </w:r>
          </w:p>
        </w:tc>
        <w:tc>
          <w:tcPr>
            <w:tcW w:w="2468" w:type="dxa"/>
            <w:noWrap/>
            <w:vAlign w:val="center"/>
          </w:tcPr>
          <w:p>
            <w:pPr>
              <w:spacing w:line="360" w:lineRule="atLeast"/>
              <w:jc w:val="center"/>
              <w:rPr>
                <w:rFonts w:ascii="宋体"/>
                <w:color w:val="auto"/>
                <w:highlight w:val="none"/>
              </w:rPr>
            </w:pPr>
          </w:p>
        </w:tc>
        <w:tc>
          <w:tcPr>
            <w:tcW w:w="2340" w:type="dxa"/>
            <w:gridSpan w:val="3"/>
            <w:noWrap/>
            <w:vAlign w:val="center"/>
          </w:tcPr>
          <w:p>
            <w:pPr>
              <w:spacing w:line="360" w:lineRule="atLeast"/>
              <w:jc w:val="center"/>
              <w:rPr>
                <w:rFonts w:ascii="宋体"/>
                <w:color w:val="auto"/>
                <w:highlight w:val="none"/>
              </w:rPr>
            </w:pPr>
            <w:r>
              <w:rPr>
                <w:rFonts w:hint="eastAsia" w:ascii="宋体"/>
                <w:color w:val="auto"/>
                <w:highlight w:val="none"/>
              </w:rPr>
              <w:t>职称</w:t>
            </w:r>
          </w:p>
        </w:tc>
        <w:tc>
          <w:tcPr>
            <w:tcW w:w="1663" w:type="dxa"/>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exact"/>
        </w:trPr>
        <w:tc>
          <w:tcPr>
            <w:tcW w:w="2032" w:type="dxa"/>
            <w:gridSpan w:val="2"/>
            <w:noWrap/>
            <w:vAlign w:val="center"/>
          </w:tcPr>
          <w:p>
            <w:pPr>
              <w:spacing w:line="360" w:lineRule="atLeast"/>
              <w:jc w:val="center"/>
              <w:rPr>
                <w:rFonts w:ascii="宋体"/>
                <w:color w:val="auto"/>
                <w:highlight w:val="none"/>
              </w:rPr>
            </w:pPr>
            <w:r>
              <w:rPr>
                <w:rFonts w:hint="eastAsia" w:ascii="宋体"/>
                <w:color w:val="auto"/>
                <w:highlight w:val="none"/>
              </w:rPr>
              <w:t>毕业学校、专业</w:t>
            </w:r>
          </w:p>
        </w:tc>
        <w:tc>
          <w:tcPr>
            <w:tcW w:w="6471" w:type="dxa"/>
            <w:gridSpan w:val="5"/>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noWrap/>
            <w:vAlign w:val="center"/>
          </w:tcPr>
          <w:p>
            <w:pPr>
              <w:spacing w:line="360" w:lineRule="atLeast"/>
              <w:jc w:val="center"/>
              <w:rPr>
                <w:rFonts w:ascii="宋体"/>
                <w:color w:val="auto"/>
                <w:highlight w:val="none"/>
              </w:rPr>
            </w:pPr>
            <w:r>
              <w:rPr>
                <w:rFonts w:hint="eastAsia" w:ascii="宋体"/>
                <w:color w:val="auto"/>
                <w:highlight w:val="none"/>
              </w:rPr>
              <w:t>身份证号</w:t>
            </w:r>
          </w:p>
        </w:tc>
        <w:tc>
          <w:tcPr>
            <w:tcW w:w="2468" w:type="dxa"/>
            <w:noWrap/>
            <w:vAlign w:val="center"/>
          </w:tcPr>
          <w:p>
            <w:pPr>
              <w:spacing w:line="360" w:lineRule="atLeast"/>
              <w:jc w:val="center"/>
              <w:rPr>
                <w:rFonts w:ascii="宋体"/>
                <w:color w:val="auto"/>
                <w:highlight w:val="none"/>
              </w:rPr>
            </w:pPr>
          </w:p>
        </w:tc>
        <w:tc>
          <w:tcPr>
            <w:tcW w:w="2340" w:type="dxa"/>
            <w:gridSpan w:val="3"/>
            <w:noWrap/>
            <w:vAlign w:val="center"/>
          </w:tcPr>
          <w:p>
            <w:pPr>
              <w:spacing w:line="360" w:lineRule="atLeast"/>
              <w:jc w:val="center"/>
              <w:rPr>
                <w:rFonts w:ascii="宋体"/>
                <w:color w:val="auto"/>
                <w:highlight w:val="none"/>
              </w:rPr>
            </w:pPr>
            <w:r>
              <w:rPr>
                <w:rFonts w:hint="eastAsia" w:ascii="宋体"/>
                <w:color w:val="auto"/>
                <w:highlight w:val="none"/>
              </w:rPr>
              <w:t>拟在本合同任职</w:t>
            </w:r>
          </w:p>
        </w:tc>
        <w:tc>
          <w:tcPr>
            <w:tcW w:w="1663" w:type="dxa"/>
            <w:noWrap/>
            <w:vAlign w:val="center"/>
          </w:tcPr>
          <w:p>
            <w:pPr>
              <w:spacing w:line="360" w:lineRule="atLeast"/>
              <w:ind w:right="-105" w:rightChars="-50"/>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noWrap/>
            <w:vAlign w:val="center"/>
          </w:tcPr>
          <w:p>
            <w:pPr>
              <w:spacing w:line="360" w:lineRule="atLeast"/>
              <w:jc w:val="center"/>
              <w:rPr>
                <w:rFonts w:ascii="宋体"/>
                <w:color w:val="auto"/>
                <w:highlight w:val="none"/>
              </w:rPr>
            </w:pPr>
            <w:r>
              <w:rPr>
                <w:rFonts w:hint="eastAsia" w:ascii="宋体"/>
                <w:color w:val="auto"/>
                <w:highlight w:val="none"/>
              </w:rPr>
              <w:t>执业资格证</w:t>
            </w:r>
          </w:p>
        </w:tc>
        <w:tc>
          <w:tcPr>
            <w:tcW w:w="2468" w:type="dxa"/>
            <w:noWrap/>
            <w:vAlign w:val="center"/>
          </w:tcPr>
          <w:p>
            <w:pPr>
              <w:spacing w:line="360" w:lineRule="atLeast"/>
              <w:jc w:val="center"/>
              <w:rPr>
                <w:rFonts w:ascii="宋体"/>
                <w:color w:val="auto"/>
                <w:highlight w:val="none"/>
              </w:rPr>
            </w:pPr>
          </w:p>
        </w:tc>
        <w:tc>
          <w:tcPr>
            <w:tcW w:w="2340" w:type="dxa"/>
            <w:gridSpan w:val="3"/>
            <w:noWrap/>
            <w:vAlign w:val="center"/>
          </w:tcPr>
          <w:p>
            <w:pPr>
              <w:spacing w:line="360" w:lineRule="atLeast"/>
              <w:jc w:val="center"/>
              <w:rPr>
                <w:rFonts w:ascii="宋体"/>
                <w:color w:val="auto"/>
                <w:highlight w:val="none"/>
              </w:rPr>
            </w:pPr>
            <w:r>
              <w:rPr>
                <w:rFonts w:hint="eastAsia" w:ascii="宋体"/>
                <w:color w:val="auto"/>
                <w:highlight w:val="none"/>
              </w:rPr>
              <w:t>执业资格证书号</w:t>
            </w:r>
          </w:p>
        </w:tc>
        <w:tc>
          <w:tcPr>
            <w:tcW w:w="1663" w:type="dxa"/>
            <w:noWrap/>
            <w:vAlign w:val="center"/>
          </w:tcPr>
          <w:p>
            <w:pPr>
              <w:spacing w:line="360" w:lineRule="atLeast"/>
              <w:ind w:right="-105" w:rightChars="-50"/>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exact"/>
        </w:trPr>
        <w:tc>
          <w:tcPr>
            <w:tcW w:w="8503" w:type="dxa"/>
            <w:gridSpan w:val="7"/>
            <w:noWrap/>
            <w:vAlign w:val="center"/>
          </w:tcPr>
          <w:p>
            <w:pPr>
              <w:spacing w:line="360" w:lineRule="atLeast"/>
              <w:rPr>
                <w:rFonts w:ascii="宋体"/>
                <w:color w:val="auto"/>
                <w:highlight w:val="none"/>
              </w:rPr>
            </w:pPr>
            <w:r>
              <w:rPr>
                <w:rFonts w:hint="eastAsia" w:ascii="宋体"/>
                <w:color w:val="auto"/>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r>
              <w:rPr>
                <w:rFonts w:hint="eastAsia" w:ascii="宋体"/>
                <w:color w:val="auto"/>
                <w:highlight w:val="none"/>
              </w:rPr>
              <w:t>时间</w:t>
            </w:r>
          </w:p>
        </w:tc>
        <w:tc>
          <w:tcPr>
            <w:tcW w:w="3636" w:type="dxa"/>
            <w:gridSpan w:val="3"/>
            <w:noWrap/>
            <w:vAlign w:val="center"/>
          </w:tcPr>
          <w:p>
            <w:pPr>
              <w:spacing w:line="360" w:lineRule="atLeast"/>
              <w:jc w:val="center"/>
              <w:rPr>
                <w:rFonts w:ascii="宋体"/>
                <w:color w:val="auto"/>
                <w:highlight w:val="none"/>
              </w:rPr>
            </w:pPr>
            <w:r>
              <w:rPr>
                <w:rFonts w:hint="eastAsia" w:ascii="宋体"/>
                <w:color w:val="auto"/>
                <w:highlight w:val="none"/>
              </w:rPr>
              <w:t>类似项目名称</w:t>
            </w:r>
          </w:p>
        </w:tc>
        <w:tc>
          <w:tcPr>
            <w:tcW w:w="1404" w:type="dxa"/>
            <w:noWrap/>
            <w:vAlign w:val="center"/>
          </w:tcPr>
          <w:p>
            <w:pPr>
              <w:spacing w:line="360" w:lineRule="atLeast"/>
              <w:jc w:val="center"/>
              <w:rPr>
                <w:rFonts w:ascii="宋体"/>
                <w:color w:val="auto"/>
                <w:highlight w:val="none"/>
              </w:rPr>
            </w:pPr>
            <w:r>
              <w:rPr>
                <w:rFonts w:hint="eastAsia" w:ascii="宋体"/>
                <w:color w:val="auto"/>
                <w:highlight w:val="none"/>
              </w:rPr>
              <w:t>担任职务</w:t>
            </w:r>
          </w:p>
        </w:tc>
        <w:tc>
          <w:tcPr>
            <w:tcW w:w="2203" w:type="dxa"/>
            <w:gridSpan w:val="2"/>
            <w:noWrap/>
            <w:vAlign w:val="center"/>
          </w:tcPr>
          <w:p>
            <w:pPr>
              <w:spacing w:line="360" w:lineRule="atLeast"/>
              <w:jc w:val="center"/>
              <w:rPr>
                <w:rFonts w:ascii="宋体"/>
                <w:color w:val="auto"/>
                <w:highlight w:val="none"/>
              </w:rPr>
            </w:pPr>
            <w:r>
              <w:rPr>
                <w:rFonts w:hint="eastAsia" w:ascii="宋体"/>
                <w:color w:val="auto"/>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bl>
    <w:p>
      <w:pPr>
        <w:spacing w:line="360" w:lineRule="atLeast"/>
        <w:rPr>
          <w:rFonts w:ascii="仿宋_GB2312" w:eastAsia="仿宋_GB2312"/>
          <w:color w:val="auto"/>
          <w:highlight w:val="none"/>
        </w:rPr>
      </w:pPr>
      <w:r>
        <w:rPr>
          <w:rFonts w:hint="eastAsia" w:ascii="仿宋_GB2312" w:hAnsi="宋体" w:eastAsia="仿宋_GB2312"/>
          <w:color w:val="auto"/>
          <w:szCs w:val="21"/>
          <w:highlight w:val="none"/>
        </w:rPr>
        <w:t>说明</w:t>
      </w:r>
      <w:r>
        <w:rPr>
          <w:rFonts w:hint="eastAsia" w:ascii="仿宋_GB2312" w:eastAsia="仿宋_GB2312"/>
          <w:color w:val="auto"/>
          <w:highlight w:val="none"/>
        </w:rPr>
        <w:t>：</w:t>
      </w:r>
      <w:r>
        <w:rPr>
          <w:rFonts w:hint="eastAsia" w:ascii="仿宋_GB2312" w:hAnsi="宋体" w:eastAsia="仿宋_GB2312"/>
          <w:color w:val="auto"/>
          <w:szCs w:val="21"/>
          <w:highlight w:val="none"/>
        </w:rPr>
        <w:t>主要人员证书、</w:t>
      </w:r>
      <w:r>
        <w:rPr>
          <w:rFonts w:hint="eastAsia" w:ascii="仿宋_GB2312" w:eastAsia="仿宋_GB2312"/>
          <w:color w:val="auto"/>
          <w:highlight w:val="none"/>
        </w:rPr>
        <w:t>类似项目证明资料等按第二章第</w:t>
      </w:r>
      <w:r>
        <w:rPr>
          <w:rFonts w:hint="eastAsia" w:ascii="仿宋_GB2312" w:hAnsi="宋体" w:eastAsia="仿宋_GB2312"/>
          <w:color w:val="auto"/>
          <w:highlight w:val="none"/>
        </w:rPr>
        <w:t>42.1款</w:t>
      </w:r>
      <w:r>
        <w:rPr>
          <w:rFonts w:hint="eastAsia" w:ascii="仿宋_GB2312" w:eastAsia="仿宋_GB2312"/>
          <w:color w:val="auto"/>
          <w:highlight w:val="none"/>
        </w:rPr>
        <w:t>或第四章要求提供。</w:t>
      </w:r>
    </w:p>
    <w:p>
      <w:pPr>
        <w:adjustRightInd w:val="0"/>
        <w:snapToGrid w:val="0"/>
        <w:spacing w:line="360" w:lineRule="auto"/>
        <w:rPr>
          <w:rFonts w:ascii="宋体" w:hAnsi="宋体"/>
          <w:color w:val="auto"/>
          <w:szCs w:val="21"/>
          <w:highlight w:val="none"/>
        </w:rPr>
      </w:pPr>
    </w:p>
    <w:p>
      <w:pPr>
        <w:rPr>
          <w:rFonts w:ascii="宋体" w:hAnsi="宋体"/>
          <w:color w:val="auto"/>
          <w:szCs w:val="21"/>
          <w:highlight w:val="none"/>
        </w:rPr>
      </w:pPr>
    </w:p>
    <w:p>
      <w:pPr>
        <w:pStyle w:val="25"/>
        <w:adjustRightInd w:val="0"/>
        <w:snapToGrid w:val="0"/>
        <w:spacing w:line="360" w:lineRule="auto"/>
        <w:outlineLvl w:val="0"/>
        <w:rPr>
          <w:rFonts w:ascii="宋体" w:hAnsi="宋体"/>
          <w:bCs/>
          <w:color w:val="auto"/>
          <w:sz w:val="21"/>
          <w:szCs w:val="21"/>
          <w:highlight w:val="none"/>
        </w:rPr>
      </w:pPr>
      <w:r>
        <w:rPr>
          <w:rFonts w:hint="eastAsia" w:ascii="宋体" w:hAnsi="宋体"/>
          <w:color w:val="auto"/>
          <w:sz w:val="21"/>
          <w:szCs w:val="21"/>
          <w:highlight w:val="none"/>
        </w:rPr>
        <w:t>供应商名称：</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法定代表人或其委托代理人(签字)：_</w:t>
      </w:r>
    </w:p>
    <w:p>
      <w:pPr>
        <w:spacing w:line="360" w:lineRule="exact"/>
        <w:rPr>
          <w:rFonts w:ascii="宋体"/>
          <w:color w:val="auto"/>
          <w:highlight w:val="none"/>
        </w:rPr>
      </w:pPr>
      <w:r>
        <w:rPr>
          <w:rFonts w:hint="eastAsia" w:ascii="宋体" w:hAnsi="宋体"/>
          <w:color w:val="auto"/>
          <w:szCs w:val="21"/>
          <w:highlight w:val="none"/>
        </w:rPr>
        <w:t>日期：  年  月  日</w:t>
      </w:r>
    </w:p>
    <w:p>
      <w:pPr>
        <w:adjustRightInd w:val="0"/>
        <w:snapToGrid w:val="0"/>
        <w:spacing w:line="360" w:lineRule="auto"/>
        <w:rPr>
          <w:rFonts w:ascii="仿宋_GB2312" w:hAnsi="宋体" w:eastAsia="仿宋_GB2312"/>
          <w:bCs/>
          <w:color w:val="auto"/>
          <w:szCs w:val="21"/>
          <w:highlight w:val="none"/>
        </w:rPr>
      </w:pPr>
    </w:p>
    <w:p>
      <w:pPr>
        <w:adjustRightInd w:val="0"/>
        <w:snapToGrid w:val="0"/>
        <w:spacing w:line="360" w:lineRule="auto"/>
        <w:jc w:val="center"/>
        <w:outlineLvl w:val="0"/>
        <w:rPr>
          <w:rFonts w:ascii="黑体" w:hAnsi="宋体" w:eastAsia="黑体"/>
          <w:b/>
          <w:color w:val="auto"/>
          <w:sz w:val="30"/>
          <w:szCs w:val="30"/>
          <w:highlight w:val="none"/>
        </w:rPr>
      </w:pPr>
      <w:r>
        <w:rPr>
          <w:rFonts w:hint="eastAsia" w:ascii="黑体" w:eastAsia="黑体"/>
          <w:b/>
          <w:color w:val="auto"/>
          <w:sz w:val="30"/>
          <w:szCs w:val="30"/>
          <w:highlight w:val="none"/>
        </w:rPr>
        <w:br w:type="page"/>
      </w:r>
      <w:r>
        <w:rPr>
          <w:rFonts w:hint="eastAsia" w:ascii="黑体" w:eastAsia="黑体"/>
          <w:b/>
          <w:color w:val="auto"/>
          <w:sz w:val="30"/>
          <w:szCs w:val="30"/>
          <w:highlight w:val="none"/>
        </w:rPr>
        <w:t>六、</w:t>
      </w:r>
      <w:r>
        <w:rPr>
          <w:rFonts w:hint="eastAsia" w:ascii="黑体" w:hAnsi="宋体" w:eastAsia="黑体"/>
          <w:b/>
          <w:color w:val="auto"/>
          <w:sz w:val="30"/>
          <w:szCs w:val="30"/>
          <w:highlight w:val="none"/>
        </w:rPr>
        <w:t>技术/</w:t>
      </w:r>
      <w:r>
        <w:rPr>
          <w:rFonts w:hint="eastAsia" w:ascii="黑体" w:eastAsia="黑体"/>
          <w:b/>
          <w:color w:val="auto"/>
          <w:sz w:val="30"/>
          <w:szCs w:val="30"/>
          <w:highlight w:val="none"/>
        </w:rPr>
        <w:t>商务</w:t>
      </w:r>
      <w:r>
        <w:rPr>
          <w:rFonts w:hint="eastAsia" w:ascii="黑体" w:hAnsi="宋体" w:eastAsia="黑体"/>
          <w:b/>
          <w:color w:val="auto"/>
          <w:sz w:val="30"/>
          <w:szCs w:val="30"/>
          <w:highlight w:val="none"/>
        </w:rPr>
        <w:t>响应与偏离表</w:t>
      </w:r>
    </w:p>
    <w:p>
      <w:pPr>
        <w:adjustRightInd w:val="0"/>
        <w:snapToGrid w:val="0"/>
        <w:ind w:left="-88" w:leftChars="-42" w:firstLine="315" w:firstLineChars="150"/>
        <w:rPr>
          <w:rFonts w:ascii="宋体" w:hAnsi="宋体"/>
          <w:color w:val="auto"/>
          <w:szCs w:val="21"/>
          <w:highlight w:val="none"/>
          <w:u w:val="single"/>
        </w:rPr>
      </w:pPr>
    </w:p>
    <w:tbl>
      <w:tblPr>
        <w:tblStyle w:val="41"/>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ign w:val="center"/>
          </w:tcPr>
          <w:p>
            <w:pPr>
              <w:adjustRightInd w:val="0"/>
              <w:snapToGrid w:val="0"/>
              <w:ind w:left="-88" w:leftChars="-42"/>
              <w:jc w:val="center"/>
              <w:rPr>
                <w:rFonts w:ascii="宋体" w:hAnsi="宋体"/>
                <w:bCs/>
                <w:color w:val="auto"/>
                <w:szCs w:val="21"/>
                <w:highlight w:val="none"/>
              </w:rPr>
            </w:pPr>
            <w:r>
              <w:rPr>
                <w:rFonts w:hint="eastAsia" w:ascii="宋体" w:hAnsi="宋体"/>
                <w:bCs/>
                <w:color w:val="auto"/>
                <w:szCs w:val="21"/>
                <w:highlight w:val="none"/>
              </w:rPr>
              <w:t>序号</w:t>
            </w:r>
          </w:p>
        </w:tc>
        <w:tc>
          <w:tcPr>
            <w:tcW w:w="1685" w:type="dxa"/>
            <w:noWrap/>
            <w:vAlign w:val="center"/>
          </w:tcPr>
          <w:p>
            <w:pPr>
              <w:adjustRightInd w:val="0"/>
              <w:snapToGrid w:val="0"/>
              <w:ind w:left="-88" w:leftChars="-42"/>
              <w:jc w:val="center"/>
              <w:rPr>
                <w:rFonts w:ascii="宋体" w:hAnsi="宋体"/>
                <w:color w:val="auto"/>
                <w:szCs w:val="21"/>
                <w:highlight w:val="none"/>
              </w:rPr>
            </w:pPr>
            <w:r>
              <w:rPr>
                <w:rFonts w:hint="eastAsia" w:ascii="宋体" w:hAnsi="宋体"/>
                <w:color w:val="auto"/>
                <w:szCs w:val="21"/>
                <w:highlight w:val="none"/>
              </w:rPr>
              <w:t>磋商文件条目号</w:t>
            </w:r>
          </w:p>
        </w:tc>
        <w:tc>
          <w:tcPr>
            <w:tcW w:w="1948" w:type="dxa"/>
            <w:noWrap/>
            <w:vAlign w:val="center"/>
          </w:tcPr>
          <w:p>
            <w:pPr>
              <w:adjustRightInd w:val="0"/>
              <w:snapToGrid w:val="0"/>
              <w:ind w:left="-88" w:leftChars="-42"/>
              <w:jc w:val="center"/>
              <w:rPr>
                <w:rFonts w:ascii="宋体" w:hAnsi="宋体"/>
                <w:color w:val="auto"/>
                <w:szCs w:val="21"/>
                <w:highlight w:val="none"/>
              </w:rPr>
            </w:pPr>
            <w:r>
              <w:rPr>
                <w:rFonts w:hint="eastAsia" w:ascii="宋体" w:hAnsi="宋体"/>
                <w:color w:val="auto"/>
                <w:szCs w:val="21"/>
                <w:highlight w:val="none"/>
              </w:rPr>
              <w:t>采购规格/商务条款</w:t>
            </w:r>
          </w:p>
        </w:tc>
        <w:tc>
          <w:tcPr>
            <w:tcW w:w="2600" w:type="dxa"/>
            <w:noWrap/>
            <w:vAlign w:val="center"/>
          </w:tcPr>
          <w:p>
            <w:pPr>
              <w:adjustRightInd w:val="0"/>
              <w:snapToGrid w:val="0"/>
              <w:ind w:left="-88" w:leftChars="-42"/>
              <w:jc w:val="center"/>
              <w:rPr>
                <w:rFonts w:ascii="宋体" w:hAnsi="宋体"/>
                <w:color w:val="auto"/>
                <w:szCs w:val="21"/>
                <w:highlight w:val="none"/>
              </w:rPr>
            </w:pPr>
            <w:r>
              <w:rPr>
                <w:rFonts w:hint="eastAsia" w:ascii="宋体" w:hAnsi="宋体"/>
                <w:color w:val="auto"/>
                <w:szCs w:val="21"/>
                <w:highlight w:val="none"/>
              </w:rPr>
              <w:t>响应文件的规格/商务条款</w:t>
            </w:r>
          </w:p>
        </w:tc>
        <w:tc>
          <w:tcPr>
            <w:tcW w:w="1214" w:type="dxa"/>
            <w:noWrap/>
            <w:vAlign w:val="center"/>
          </w:tcPr>
          <w:p>
            <w:pPr>
              <w:adjustRightInd w:val="0"/>
              <w:snapToGrid w:val="0"/>
              <w:ind w:left="-88" w:leftChars="-42"/>
              <w:jc w:val="center"/>
              <w:rPr>
                <w:rFonts w:ascii="宋体" w:hAnsi="宋体"/>
                <w:color w:val="auto"/>
                <w:szCs w:val="21"/>
                <w:highlight w:val="none"/>
              </w:rPr>
            </w:pPr>
            <w:r>
              <w:rPr>
                <w:rFonts w:hint="eastAsia" w:ascii="宋体" w:hAnsi="宋体"/>
                <w:color w:val="auto"/>
                <w:szCs w:val="21"/>
                <w:highlight w:val="none"/>
              </w:rPr>
              <w:t>响应与偏离</w:t>
            </w:r>
          </w:p>
        </w:tc>
        <w:tc>
          <w:tcPr>
            <w:tcW w:w="661" w:type="dxa"/>
            <w:noWrap/>
            <w:vAlign w:val="center"/>
          </w:tcPr>
          <w:p>
            <w:pPr>
              <w:adjustRightInd w:val="0"/>
              <w:snapToGrid w:val="0"/>
              <w:ind w:left="-88" w:leftChars="-42"/>
              <w:jc w:val="center"/>
              <w:rPr>
                <w:rFonts w:ascii="宋体" w:hAnsi="宋体"/>
                <w:color w:val="auto"/>
                <w:szCs w:val="21"/>
                <w:highlight w:val="none"/>
              </w:rPr>
            </w:pPr>
            <w:r>
              <w:rPr>
                <w:rFonts w:hint="eastAsia" w:ascii="宋体" w:hAnsi="宋体"/>
                <w:color w:val="auto"/>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tcPr>
          <w:p>
            <w:pPr>
              <w:adjustRightInd w:val="0"/>
              <w:snapToGrid w:val="0"/>
              <w:ind w:left="-88" w:leftChars="-42"/>
              <w:jc w:val="center"/>
              <w:rPr>
                <w:rFonts w:ascii="宋体" w:hAnsi="宋体"/>
                <w:color w:val="auto"/>
                <w:szCs w:val="21"/>
                <w:highlight w:val="none"/>
              </w:rPr>
            </w:pPr>
          </w:p>
        </w:tc>
        <w:tc>
          <w:tcPr>
            <w:tcW w:w="1685" w:type="dxa"/>
            <w:noWrap/>
            <w:vAlign w:val="center"/>
          </w:tcPr>
          <w:p>
            <w:pPr>
              <w:adjustRightInd w:val="0"/>
              <w:snapToGrid w:val="0"/>
              <w:ind w:left="-88" w:leftChars="-42"/>
              <w:jc w:val="center"/>
              <w:rPr>
                <w:rFonts w:ascii="宋体" w:hAnsi="宋体"/>
                <w:color w:val="auto"/>
                <w:szCs w:val="21"/>
                <w:highlight w:val="none"/>
              </w:rPr>
            </w:pPr>
          </w:p>
        </w:tc>
        <w:tc>
          <w:tcPr>
            <w:tcW w:w="1948" w:type="dxa"/>
            <w:noWrap/>
            <w:vAlign w:val="center"/>
          </w:tcPr>
          <w:p>
            <w:pPr>
              <w:adjustRightInd w:val="0"/>
              <w:snapToGrid w:val="0"/>
              <w:ind w:left="-88" w:leftChars="-42"/>
              <w:jc w:val="center"/>
              <w:rPr>
                <w:rFonts w:ascii="宋体" w:hAnsi="宋体"/>
                <w:color w:val="auto"/>
                <w:szCs w:val="21"/>
                <w:highlight w:val="none"/>
              </w:rPr>
            </w:pPr>
          </w:p>
        </w:tc>
        <w:tc>
          <w:tcPr>
            <w:tcW w:w="2600" w:type="dxa"/>
            <w:noWrap/>
            <w:vAlign w:val="center"/>
          </w:tcPr>
          <w:p>
            <w:pPr>
              <w:adjustRightInd w:val="0"/>
              <w:snapToGrid w:val="0"/>
              <w:ind w:left="-88" w:leftChars="-42"/>
              <w:jc w:val="center"/>
              <w:rPr>
                <w:rFonts w:ascii="宋体" w:hAnsi="宋体"/>
                <w:color w:val="auto"/>
                <w:szCs w:val="21"/>
                <w:highlight w:val="none"/>
              </w:rPr>
            </w:pPr>
          </w:p>
        </w:tc>
        <w:tc>
          <w:tcPr>
            <w:tcW w:w="1214" w:type="dxa"/>
            <w:noWrap/>
            <w:vAlign w:val="center"/>
          </w:tcPr>
          <w:p>
            <w:pPr>
              <w:adjustRightInd w:val="0"/>
              <w:snapToGrid w:val="0"/>
              <w:ind w:left="-88" w:leftChars="-42"/>
              <w:jc w:val="center"/>
              <w:rPr>
                <w:rFonts w:ascii="宋体" w:hAnsi="宋体"/>
                <w:color w:val="auto"/>
                <w:szCs w:val="21"/>
                <w:highlight w:val="none"/>
              </w:rPr>
            </w:pPr>
          </w:p>
        </w:tc>
        <w:tc>
          <w:tcPr>
            <w:tcW w:w="661" w:type="dxa"/>
            <w:noWrap/>
            <w:vAlign w:val="center"/>
          </w:tcPr>
          <w:p>
            <w:pPr>
              <w:adjustRightInd w:val="0"/>
              <w:snapToGrid w:val="0"/>
              <w:ind w:left="-88" w:leftChars="-42"/>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tcPr>
          <w:p>
            <w:pPr>
              <w:adjustRightInd w:val="0"/>
              <w:snapToGrid w:val="0"/>
              <w:ind w:left="-88" w:leftChars="-42"/>
              <w:jc w:val="center"/>
              <w:rPr>
                <w:rFonts w:ascii="宋体" w:hAnsi="宋体"/>
                <w:color w:val="auto"/>
                <w:szCs w:val="21"/>
                <w:highlight w:val="none"/>
              </w:rPr>
            </w:pPr>
          </w:p>
        </w:tc>
        <w:tc>
          <w:tcPr>
            <w:tcW w:w="1685" w:type="dxa"/>
            <w:noWrap/>
            <w:vAlign w:val="center"/>
          </w:tcPr>
          <w:p>
            <w:pPr>
              <w:adjustRightInd w:val="0"/>
              <w:snapToGrid w:val="0"/>
              <w:ind w:left="-88" w:leftChars="-42"/>
              <w:jc w:val="center"/>
              <w:rPr>
                <w:rFonts w:ascii="宋体" w:hAnsi="宋体"/>
                <w:color w:val="auto"/>
                <w:szCs w:val="21"/>
                <w:highlight w:val="none"/>
              </w:rPr>
            </w:pPr>
          </w:p>
        </w:tc>
        <w:tc>
          <w:tcPr>
            <w:tcW w:w="1948" w:type="dxa"/>
            <w:noWrap/>
            <w:vAlign w:val="center"/>
          </w:tcPr>
          <w:p>
            <w:pPr>
              <w:adjustRightInd w:val="0"/>
              <w:snapToGrid w:val="0"/>
              <w:ind w:left="-88" w:leftChars="-42"/>
              <w:jc w:val="center"/>
              <w:rPr>
                <w:rFonts w:ascii="宋体" w:hAnsi="宋体"/>
                <w:color w:val="auto"/>
                <w:szCs w:val="21"/>
                <w:highlight w:val="none"/>
              </w:rPr>
            </w:pPr>
          </w:p>
        </w:tc>
        <w:tc>
          <w:tcPr>
            <w:tcW w:w="2600" w:type="dxa"/>
            <w:noWrap/>
            <w:vAlign w:val="center"/>
          </w:tcPr>
          <w:p>
            <w:pPr>
              <w:adjustRightInd w:val="0"/>
              <w:snapToGrid w:val="0"/>
              <w:ind w:left="-88" w:leftChars="-42"/>
              <w:jc w:val="center"/>
              <w:rPr>
                <w:rFonts w:ascii="宋体" w:hAnsi="宋体"/>
                <w:color w:val="auto"/>
                <w:szCs w:val="21"/>
                <w:highlight w:val="none"/>
              </w:rPr>
            </w:pPr>
          </w:p>
        </w:tc>
        <w:tc>
          <w:tcPr>
            <w:tcW w:w="1214" w:type="dxa"/>
            <w:noWrap/>
            <w:vAlign w:val="center"/>
          </w:tcPr>
          <w:p>
            <w:pPr>
              <w:adjustRightInd w:val="0"/>
              <w:snapToGrid w:val="0"/>
              <w:ind w:left="-88" w:leftChars="-42"/>
              <w:jc w:val="center"/>
              <w:rPr>
                <w:rFonts w:ascii="宋体" w:hAnsi="宋体"/>
                <w:color w:val="auto"/>
                <w:szCs w:val="21"/>
                <w:highlight w:val="none"/>
              </w:rPr>
            </w:pPr>
          </w:p>
        </w:tc>
        <w:tc>
          <w:tcPr>
            <w:tcW w:w="661" w:type="dxa"/>
            <w:noWrap/>
            <w:vAlign w:val="center"/>
          </w:tcPr>
          <w:p>
            <w:pPr>
              <w:adjustRightInd w:val="0"/>
              <w:snapToGrid w:val="0"/>
              <w:ind w:left="-88" w:leftChars="-42"/>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tcPr>
          <w:p>
            <w:pPr>
              <w:adjustRightInd w:val="0"/>
              <w:snapToGrid w:val="0"/>
              <w:ind w:left="-88" w:leftChars="-42"/>
              <w:jc w:val="center"/>
              <w:rPr>
                <w:rFonts w:ascii="宋体" w:hAnsi="宋体"/>
                <w:color w:val="auto"/>
                <w:szCs w:val="21"/>
                <w:highlight w:val="none"/>
              </w:rPr>
            </w:pPr>
          </w:p>
        </w:tc>
        <w:tc>
          <w:tcPr>
            <w:tcW w:w="1685" w:type="dxa"/>
            <w:noWrap/>
            <w:vAlign w:val="center"/>
          </w:tcPr>
          <w:p>
            <w:pPr>
              <w:adjustRightInd w:val="0"/>
              <w:snapToGrid w:val="0"/>
              <w:ind w:left="-88" w:leftChars="-42"/>
              <w:jc w:val="center"/>
              <w:rPr>
                <w:rFonts w:ascii="宋体" w:hAnsi="宋体"/>
                <w:color w:val="auto"/>
                <w:szCs w:val="21"/>
                <w:highlight w:val="none"/>
              </w:rPr>
            </w:pPr>
          </w:p>
        </w:tc>
        <w:tc>
          <w:tcPr>
            <w:tcW w:w="1948" w:type="dxa"/>
            <w:noWrap/>
            <w:vAlign w:val="center"/>
          </w:tcPr>
          <w:p>
            <w:pPr>
              <w:adjustRightInd w:val="0"/>
              <w:snapToGrid w:val="0"/>
              <w:ind w:left="-88" w:leftChars="-42"/>
              <w:jc w:val="center"/>
              <w:rPr>
                <w:rFonts w:ascii="宋体" w:hAnsi="宋体"/>
                <w:color w:val="auto"/>
                <w:szCs w:val="21"/>
                <w:highlight w:val="none"/>
              </w:rPr>
            </w:pPr>
          </w:p>
        </w:tc>
        <w:tc>
          <w:tcPr>
            <w:tcW w:w="2600" w:type="dxa"/>
            <w:noWrap/>
            <w:vAlign w:val="center"/>
          </w:tcPr>
          <w:p>
            <w:pPr>
              <w:adjustRightInd w:val="0"/>
              <w:snapToGrid w:val="0"/>
              <w:ind w:left="-88" w:leftChars="-42"/>
              <w:jc w:val="center"/>
              <w:rPr>
                <w:rFonts w:ascii="宋体" w:hAnsi="宋体"/>
                <w:color w:val="auto"/>
                <w:szCs w:val="21"/>
                <w:highlight w:val="none"/>
              </w:rPr>
            </w:pPr>
          </w:p>
        </w:tc>
        <w:tc>
          <w:tcPr>
            <w:tcW w:w="1214" w:type="dxa"/>
            <w:noWrap/>
            <w:vAlign w:val="center"/>
          </w:tcPr>
          <w:p>
            <w:pPr>
              <w:adjustRightInd w:val="0"/>
              <w:snapToGrid w:val="0"/>
              <w:ind w:left="-88" w:leftChars="-42"/>
              <w:jc w:val="center"/>
              <w:rPr>
                <w:rFonts w:ascii="宋体" w:hAnsi="宋体"/>
                <w:color w:val="auto"/>
                <w:szCs w:val="21"/>
                <w:highlight w:val="none"/>
              </w:rPr>
            </w:pPr>
          </w:p>
        </w:tc>
        <w:tc>
          <w:tcPr>
            <w:tcW w:w="661" w:type="dxa"/>
            <w:noWrap/>
            <w:vAlign w:val="center"/>
          </w:tcPr>
          <w:p>
            <w:pPr>
              <w:adjustRightInd w:val="0"/>
              <w:snapToGrid w:val="0"/>
              <w:ind w:left="-88" w:leftChars="-42"/>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tcPr>
          <w:p>
            <w:pPr>
              <w:adjustRightInd w:val="0"/>
              <w:snapToGrid w:val="0"/>
              <w:ind w:left="-88" w:leftChars="-42"/>
              <w:jc w:val="center"/>
              <w:rPr>
                <w:rFonts w:ascii="宋体" w:hAnsi="宋体"/>
                <w:color w:val="auto"/>
                <w:szCs w:val="21"/>
                <w:highlight w:val="none"/>
              </w:rPr>
            </w:pPr>
          </w:p>
        </w:tc>
        <w:tc>
          <w:tcPr>
            <w:tcW w:w="1685" w:type="dxa"/>
            <w:noWrap/>
            <w:vAlign w:val="center"/>
          </w:tcPr>
          <w:p>
            <w:pPr>
              <w:adjustRightInd w:val="0"/>
              <w:snapToGrid w:val="0"/>
              <w:ind w:left="-88" w:leftChars="-42"/>
              <w:jc w:val="center"/>
              <w:rPr>
                <w:rFonts w:ascii="宋体" w:hAnsi="宋体"/>
                <w:color w:val="auto"/>
                <w:szCs w:val="21"/>
                <w:highlight w:val="none"/>
              </w:rPr>
            </w:pPr>
          </w:p>
        </w:tc>
        <w:tc>
          <w:tcPr>
            <w:tcW w:w="1948" w:type="dxa"/>
            <w:noWrap/>
            <w:vAlign w:val="center"/>
          </w:tcPr>
          <w:p>
            <w:pPr>
              <w:adjustRightInd w:val="0"/>
              <w:snapToGrid w:val="0"/>
              <w:ind w:left="-88" w:leftChars="-42"/>
              <w:jc w:val="center"/>
              <w:rPr>
                <w:rFonts w:ascii="宋体" w:hAnsi="宋体"/>
                <w:color w:val="auto"/>
                <w:szCs w:val="21"/>
                <w:highlight w:val="none"/>
              </w:rPr>
            </w:pPr>
          </w:p>
        </w:tc>
        <w:tc>
          <w:tcPr>
            <w:tcW w:w="2600" w:type="dxa"/>
            <w:noWrap/>
            <w:vAlign w:val="center"/>
          </w:tcPr>
          <w:p>
            <w:pPr>
              <w:adjustRightInd w:val="0"/>
              <w:snapToGrid w:val="0"/>
              <w:ind w:left="-88" w:leftChars="-42"/>
              <w:jc w:val="center"/>
              <w:rPr>
                <w:rFonts w:ascii="宋体" w:hAnsi="宋体"/>
                <w:color w:val="auto"/>
                <w:szCs w:val="21"/>
                <w:highlight w:val="none"/>
              </w:rPr>
            </w:pPr>
          </w:p>
        </w:tc>
        <w:tc>
          <w:tcPr>
            <w:tcW w:w="1214" w:type="dxa"/>
            <w:noWrap/>
            <w:vAlign w:val="center"/>
          </w:tcPr>
          <w:p>
            <w:pPr>
              <w:adjustRightInd w:val="0"/>
              <w:snapToGrid w:val="0"/>
              <w:ind w:left="-88" w:leftChars="-42"/>
              <w:jc w:val="center"/>
              <w:rPr>
                <w:rFonts w:ascii="宋体" w:hAnsi="宋体"/>
                <w:color w:val="auto"/>
                <w:szCs w:val="21"/>
                <w:highlight w:val="none"/>
              </w:rPr>
            </w:pPr>
          </w:p>
        </w:tc>
        <w:tc>
          <w:tcPr>
            <w:tcW w:w="661" w:type="dxa"/>
            <w:noWrap/>
            <w:vAlign w:val="center"/>
          </w:tcPr>
          <w:p>
            <w:pPr>
              <w:adjustRightInd w:val="0"/>
              <w:snapToGrid w:val="0"/>
              <w:ind w:left="-88" w:leftChars="-42"/>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tcPr>
          <w:p>
            <w:pPr>
              <w:adjustRightInd w:val="0"/>
              <w:snapToGrid w:val="0"/>
              <w:ind w:left="-88" w:leftChars="-42"/>
              <w:jc w:val="center"/>
              <w:rPr>
                <w:rFonts w:ascii="宋体" w:hAnsi="宋体"/>
                <w:color w:val="auto"/>
                <w:szCs w:val="21"/>
                <w:highlight w:val="none"/>
              </w:rPr>
            </w:pPr>
          </w:p>
        </w:tc>
        <w:tc>
          <w:tcPr>
            <w:tcW w:w="1685" w:type="dxa"/>
            <w:noWrap/>
            <w:vAlign w:val="center"/>
          </w:tcPr>
          <w:p>
            <w:pPr>
              <w:adjustRightInd w:val="0"/>
              <w:snapToGrid w:val="0"/>
              <w:ind w:left="-88" w:leftChars="-42"/>
              <w:jc w:val="center"/>
              <w:rPr>
                <w:rFonts w:ascii="宋体" w:hAnsi="宋体"/>
                <w:color w:val="auto"/>
                <w:szCs w:val="21"/>
                <w:highlight w:val="none"/>
              </w:rPr>
            </w:pPr>
          </w:p>
        </w:tc>
        <w:tc>
          <w:tcPr>
            <w:tcW w:w="1948" w:type="dxa"/>
            <w:noWrap/>
            <w:vAlign w:val="center"/>
          </w:tcPr>
          <w:p>
            <w:pPr>
              <w:adjustRightInd w:val="0"/>
              <w:snapToGrid w:val="0"/>
              <w:ind w:left="-88" w:leftChars="-42"/>
              <w:jc w:val="center"/>
              <w:rPr>
                <w:rFonts w:ascii="宋体" w:hAnsi="宋体"/>
                <w:color w:val="auto"/>
                <w:szCs w:val="21"/>
                <w:highlight w:val="none"/>
              </w:rPr>
            </w:pPr>
          </w:p>
        </w:tc>
        <w:tc>
          <w:tcPr>
            <w:tcW w:w="2600" w:type="dxa"/>
            <w:noWrap/>
            <w:vAlign w:val="center"/>
          </w:tcPr>
          <w:p>
            <w:pPr>
              <w:adjustRightInd w:val="0"/>
              <w:snapToGrid w:val="0"/>
              <w:ind w:left="-88" w:leftChars="-42"/>
              <w:jc w:val="center"/>
              <w:rPr>
                <w:rFonts w:ascii="宋体" w:hAnsi="宋体"/>
                <w:color w:val="auto"/>
                <w:szCs w:val="21"/>
                <w:highlight w:val="none"/>
              </w:rPr>
            </w:pPr>
          </w:p>
        </w:tc>
        <w:tc>
          <w:tcPr>
            <w:tcW w:w="1214" w:type="dxa"/>
            <w:noWrap/>
            <w:vAlign w:val="center"/>
          </w:tcPr>
          <w:p>
            <w:pPr>
              <w:adjustRightInd w:val="0"/>
              <w:snapToGrid w:val="0"/>
              <w:ind w:left="-88" w:leftChars="-42"/>
              <w:jc w:val="center"/>
              <w:rPr>
                <w:rFonts w:ascii="宋体" w:hAnsi="宋体"/>
                <w:color w:val="auto"/>
                <w:szCs w:val="21"/>
                <w:highlight w:val="none"/>
              </w:rPr>
            </w:pPr>
          </w:p>
        </w:tc>
        <w:tc>
          <w:tcPr>
            <w:tcW w:w="661" w:type="dxa"/>
            <w:noWrap/>
            <w:vAlign w:val="center"/>
          </w:tcPr>
          <w:p>
            <w:pPr>
              <w:adjustRightInd w:val="0"/>
              <w:snapToGrid w:val="0"/>
              <w:ind w:left="-88" w:leftChars="-42"/>
              <w:jc w:val="center"/>
              <w:rPr>
                <w:rFonts w:ascii="宋体" w:hAnsi="宋体"/>
                <w:color w:val="auto"/>
                <w:szCs w:val="21"/>
                <w:highlight w:val="none"/>
              </w:rPr>
            </w:pPr>
          </w:p>
        </w:tc>
      </w:tr>
    </w:tbl>
    <w:p>
      <w:pPr>
        <w:adjustRightInd w:val="0"/>
        <w:snapToGrid w:val="0"/>
        <w:spacing w:line="360" w:lineRule="auto"/>
        <w:ind w:left="-88" w:leftChars="-42"/>
        <w:rPr>
          <w:rFonts w:ascii="仿宋_GB2312" w:hAnsi="宋体" w:eastAsia="仿宋_GB2312"/>
          <w:color w:val="auto"/>
          <w:szCs w:val="21"/>
          <w:highlight w:val="none"/>
        </w:rPr>
      </w:pPr>
      <w:r>
        <w:rPr>
          <w:rFonts w:hint="eastAsia" w:ascii="仿宋_GB2312" w:hAnsi="宋体" w:eastAsia="仿宋_GB2312"/>
          <w:color w:val="auto"/>
          <w:szCs w:val="21"/>
          <w:highlight w:val="none"/>
        </w:rPr>
        <w:t>说明：1、“响应与偏离”应注明“响应”或“偏离”。</w:t>
      </w:r>
    </w:p>
    <w:p>
      <w:pPr>
        <w:adjustRightInd w:val="0"/>
        <w:snapToGrid w:val="0"/>
        <w:spacing w:line="360" w:lineRule="auto"/>
        <w:rPr>
          <w:rFonts w:ascii="仿宋_GB2312" w:hAnsi="宋体" w:eastAsia="仿宋_GB2312"/>
          <w:color w:val="auto"/>
          <w:szCs w:val="21"/>
          <w:highlight w:val="none"/>
        </w:rPr>
      </w:pPr>
      <w:r>
        <w:rPr>
          <w:rFonts w:hint="eastAsia" w:ascii="仿宋_GB2312" w:hAnsi="宋体" w:eastAsia="仿宋_GB2312"/>
          <w:color w:val="auto"/>
          <w:szCs w:val="21"/>
          <w:highlight w:val="none"/>
        </w:rPr>
        <w:t>2、属磋商文件规定可能变动的内容在“说明”栏中注明。</w:t>
      </w:r>
    </w:p>
    <w:p>
      <w:pPr>
        <w:pStyle w:val="25"/>
        <w:adjustRightInd w:val="0"/>
        <w:snapToGrid w:val="0"/>
        <w:spacing w:line="360" w:lineRule="auto"/>
        <w:outlineLvl w:val="0"/>
        <w:rPr>
          <w:rFonts w:ascii="宋体" w:hAnsi="宋体"/>
          <w:color w:val="auto"/>
          <w:sz w:val="21"/>
          <w:szCs w:val="21"/>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5"/>
        <w:adjustRightInd w:val="0"/>
        <w:snapToGrid w:val="0"/>
        <w:spacing w:line="360" w:lineRule="auto"/>
        <w:outlineLvl w:val="0"/>
        <w:rPr>
          <w:rFonts w:ascii="宋体" w:hAnsi="宋体"/>
          <w:bCs/>
          <w:color w:val="auto"/>
          <w:sz w:val="21"/>
          <w:szCs w:val="21"/>
          <w:highlight w:val="none"/>
        </w:rPr>
      </w:pPr>
      <w:r>
        <w:rPr>
          <w:rFonts w:hint="eastAsia" w:ascii="宋体" w:hAnsi="宋体"/>
          <w:color w:val="auto"/>
          <w:sz w:val="21"/>
          <w:szCs w:val="21"/>
          <w:highlight w:val="none"/>
        </w:rPr>
        <w:t>供应商名称：</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法定代表人或其委托代理人(签字)：</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日          期：  年  月  日</w:t>
      </w:r>
    </w:p>
    <w:p>
      <w:pPr>
        <w:adjustRightInd w:val="0"/>
        <w:snapToGrid w:val="0"/>
        <w:spacing w:line="360" w:lineRule="auto"/>
        <w:rPr>
          <w:rFonts w:ascii="宋体" w:hAnsi="宋体"/>
          <w:color w:val="auto"/>
          <w:szCs w:val="21"/>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rPr>
          <w:rFonts w:ascii="黑体" w:eastAsia="黑体"/>
          <w:b/>
          <w:color w:val="auto"/>
          <w:sz w:val="32"/>
          <w:szCs w:val="32"/>
          <w:highlight w:val="none"/>
        </w:rPr>
      </w:pPr>
    </w:p>
    <w:p>
      <w:pPr>
        <w:numPr>
          <w:ilvl w:val="0"/>
          <w:numId w:val="6"/>
        </w:numPr>
        <w:tabs>
          <w:tab w:val="left" w:pos="3600"/>
        </w:tabs>
        <w:adjustRightInd w:val="0"/>
        <w:snapToGrid w:val="0"/>
        <w:jc w:val="center"/>
        <w:rPr>
          <w:rFonts w:hint="eastAsia" w:ascii="黑体" w:hAnsi="宋体" w:eastAsia="黑体"/>
          <w:b/>
          <w:color w:val="auto"/>
          <w:sz w:val="30"/>
          <w:szCs w:val="30"/>
          <w:highlight w:val="none"/>
        </w:rPr>
      </w:pPr>
      <w:r>
        <w:rPr>
          <w:rFonts w:hint="eastAsia" w:ascii="黑体" w:eastAsia="黑体"/>
          <w:b/>
          <w:color w:val="auto"/>
          <w:sz w:val="30"/>
          <w:szCs w:val="30"/>
          <w:highlight w:val="none"/>
        </w:rPr>
        <w:br w:type="page"/>
      </w:r>
      <w:r>
        <w:rPr>
          <w:rFonts w:hint="eastAsia" w:ascii="黑体" w:hAnsi="宋体" w:eastAsia="黑体"/>
          <w:b/>
          <w:color w:val="auto"/>
          <w:sz w:val="30"/>
          <w:szCs w:val="30"/>
          <w:highlight w:val="none"/>
        </w:rPr>
        <w:t>提供享受政府采购政策的证明材料和清单表</w:t>
      </w:r>
    </w:p>
    <w:p>
      <w:pPr>
        <w:numPr>
          <w:ilvl w:val="0"/>
          <w:numId w:val="0"/>
        </w:numPr>
        <w:tabs>
          <w:tab w:val="left" w:pos="3600"/>
        </w:tabs>
        <w:adjustRightInd w:val="0"/>
        <w:snapToGrid w:val="0"/>
        <w:ind w:firstLine="2711" w:firstLineChars="900"/>
        <w:jc w:val="both"/>
        <w:rPr>
          <w:rFonts w:ascii="黑体" w:hAnsi="宋体" w:eastAsia="黑体"/>
          <w:b/>
          <w:color w:val="auto"/>
          <w:sz w:val="30"/>
          <w:szCs w:val="30"/>
          <w:highlight w:val="none"/>
        </w:rPr>
      </w:pPr>
      <w:r>
        <w:rPr>
          <w:rFonts w:hint="eastAsia" w:ascii="黑体" w:hAnsi="宋体" w:eastAsia="黑体"/>
          <w:b/>
          <w:color w:val="auto"/>
          <w:sz w:val="30"/>
          <w:szCs w:val="30"/>
          <w:highlight w:val="none"/>
        </w:rPr>
        <w:t>（本项目不需要提供）</w:t>
      </w:r>
    </w:p>
    <w:p>
      <w:pPr>
        <w:tabs>
          <w:tab w:val="left" w:pos="3600"/>
        </w:tabs>
        <w:adjustRightInd w:val="0"/>
        <w:snapToGrid w:val="0"/>
        <w:jc w:val="center"/>
        <w:rPr>
          <w:rFonts w:ascii="黑体" w:hAnsi="宋体" w:eastAsia="黑体"/>
          <w:b/>
          <w:color w:val="auto"/>
          <w:sz w:val="32"/>
          <w:szCs w:val="32"/>
          <w:highlight w:val="none"/>
        </w:rPr>
      </w:pPr>
    </w:p>
    <w:p>
      <w:pPr>
        <w:rPr>
          <w:rFonts w:ascii="黑体" w:hAnsi="宋体" w:eastAsia="黑体"/>
          <w:color w:val="auto"/>
          <w:sz w:val="30"/>
          <w:szCs w:val="30"/>
          <w:highlight w:val="none"/>
        </w:rPr>
      </w:pPr>
      <w:r>
        <w:rPr>
          <w:rFonts w:hint="eastAsia" w:ascii="黑体" w:hAnsi="宋体" w:eastAsia="黑体"/>
          <w:color w:val="auto"/>
          <w:sz w:val="30"/>
          <w:szCs w:val="30"/>
          <w:highlight w:val="none"/>
        </w:rPr>
        <w:t>附件8-1</w:t>
      </w:r>
    </w:p>
    <w:p>
      <w:pPr>
        <w:pStyle w:val="2"/>
        <w:ind w:firstLine="400"/>
        <w:rPr>
          <w:color w:val="auto"/>
          <w:highlight w:val="none"/>
        </w:rPr>
      </w:pPr>
    </w:p>
    <w:p>
      <w:pPr>
        <w:tabs>
          <w:tab w:val="left" w:pos="3600"/>
        </w:tabs>
        <w:adjustRightInd w:val="0"/>
        <w:snapToGrid w:val="0"/>
        <w:outlineLvl w:val="1"/>
        <w:rPr>
          <w:color w:val="auto"/>
          <w:highlight w:val="none"/>
        </w:rPr>
      </w:pPr>
    </w:p>
    <w:p>
      <w:pPr>
        <w:tabs>
          <w:tab w:val="left" w:pos="3600"/>
        </w:tabs>
        <w:adjustRightInd w:val="0"/>
        <w:snapToGrid w:val="0"/>
        <w:spacing w:line="360" w:lineRule="auto"/>
        <w:ind w:firstLine="586" w:firstLineChars="200"/>
        <w:jc w:val="center"/>
        <w:rPr>
          <w:rFonts w:ascii="宋体" w:hAnsi="宋体" w:cs="宋体"/>
          <w:b/>
          <w:color w:val="auto"/>
          <w:kern w:val="0"/>
          <w:sz w:val="28"/>
          <w:szCs w:val="28"/>
          <w:highlight w:val="none"/>
        </w:rPr>
      </w:pPr>
      <w:r>
        <w:rPr>
          <w:rFonts w:hint="eastAsia" w:ascii="宋体" w:hAnsi="宋体" w:cs="宋体"/>
          <w:b/>
          <w:bCs/>
          <w:color w:val="auto"/>
          <w:spacing w:val="6"/>
          <w:kern w:val="0"/>
          <w:sz w:val="28"/>
          <w:szCs w:val="28"/>
          <w:highlight w:val="none"/>
        </w:rPr>
        <w:t>中小企业声明函</w:t>
      </w:r>
    </w:p>
    <w:p>
      <w:pP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 本公司郑重声明，根据《政府采购促进中小企业发展管理办法》（财库﹝2020﹞46号）的规定，本公司参加</w:t>
      </w:r>
      <w:r>
        <w:rPr>
          <w:rFonts w:ascii="宋体" w:hAnsi="宋体" w:cs="宋体"/>
          <w:color w:val="auto"/>
          <w:sz w:val="24"/>
          <w:highlight w:val="none"/>
          <w:u w:val="single"/>
        </w:rPr>
        <w:t>（单位名称）</w:t>
      </w:r>
      <w:r>
        <w:rPr>
          <w:rFonts w:ascii="宋体" w:hAnsi="宋体" w:cs="宋体"/>
          <w:color w:val="auto"/>
          <w:sz w:val="24"/>
          <w:highlight w:val="none"/>
        </w:rPr>
        <w:t>的</w:t>
      </w:r>
      <w:r>
        <w:rPr>
          <w:rFonts w:ascii="宋体" w:hAnsi="宋体" w:cs="宋体"/>
          <w:color w:val="auto"/>
          <w:sz w:val="24"/>
          <w:highlight w:val="none"/>
          <w:u w:val="single"/>
        </w:rPr>
        <w:t>（项目名称）</w:t>
      </w:r>
      <w:r>
        <w:rPr>
          <w:rFonts w:ascii="宋体" w:hAnsi="宋体" w:cs="宋体"/>
          <w:color w:val="auto"/>
          <w:sz w:val="24"/>
          <w:highlight w:val="none"/>
        </w:rPr>
        <w:t>采购活动，服务全部由符合政策要求的中小企业承接。相关企业的具体情况如下：</w:t>
      </w:r>
    </w:p>
    <w:p>
      <w:pPr>
        <w:numPr>
          <w:ilvl w:val="0"/>
          <w:numId w:val="7"/>
        </w:numPr>
        <w:adjustRightInd w:val="0"/>
        <w:snapToGrid w:val="0"/>
        <w:spacing w:line="360" w:lineRule="auto"/>
        <w:ind w:left="0" w:firstLine="480" w:firstLineChars="200"/>
        <w:rPr>
          <w:rFonts w:ascii="宋体" w:hAnsi="宋体" w:cs="宋体"/>
          <w:color w:val="auto"/>
          <w:sz w:val="24"/>
          <w:highlight w:val="none"/>
        </w:rPr>
      </w:pPr>
      <w:r>
        <w:rPr>
          <w:rFonts w:ascii="宋体" w:hAnsi="宋体" w:cs="宋体"/>
          <w:color w:val="auto"/>
          <w:sz w:val="24"/>
          <w:highlight w:val="none"/>
          <w:u w:val="single"/>
        </w:rPr>
        <w:t xml:space="preserve">（标的名称） </w:t>
      </w:r>
      <w:r>
        <w:rPr>
          <w:rFonts w:ascii="宋体" w:hAnsi="宋体" w:cs="宋体"/>
          <w:color w:val="auto"/>
          <w:sz w:val="24"/>
          <w:highlight w:val="none"/>
        </w:rPr>
        <w:t>，属于</w:t>
      </w:r>
      <w:r>
        <w:rPr>
          <w:rFonts w:ascii="宋体" w:hAnsi="宋体" w:cs="宋体"/>
          <w:color w:val="auto"/>
          <w:sz w:val="24"/>
          <w:highlight w:val="none"/>
          <w:u w:val="single"/>
        </w:rPr>
        <w:t>（所属行业）</w:t>
      </w:r>
      <w:r>
        <w:rPr>
          <w:rFonts w:ascii="宋体" w:hAnsi="宋体" w:cs="宋体"/>
          <w:color w:val="auto"/>
          <w:sz w:val="24"/>
          <w:highlight w:val="none"/>
        </w:rPr>
        <w:t>；承接企业为</w:t>
      </w:r>
      <w:r>
        <w:rPr>
          <w:rFonts w:ascii="宋体" w:hAnsi="宋体" w:cs="宋体"/>
          <w:color w:val="auto"/>
          <w:sz w:val="24"/>
          <w:highlight w:val="none"/>
          <w:u w:val="single"/>
        </w:rPr>
        <w:t>（企业名称）</w:t>
      </w:r>
      <w:r>
        <w:rPr>
          <w:rFonts w:ascii="宋体" w:hAnsi="宋体" w:cs="宋体"/>
          <w:color w:val="auto"/>
          <w:sz w:val="24"/>
          <w:highlight w:val="none"/>
        </w:rPr>
        <w:t>，从业人员人，营业收入为万元，资产总额为万元 ，属于</w:t>
      </w:r>
      <w:r>
        <w:rPr>
          <w:rFonts w:ascii="宋体" w:hAnsi="宋体" w:cs="宋体"/>
          <w:color w:val="auto"/>
          <w:sz w:val="24"/>
          <w:highlight w:val="none"/>
          <w:u w:val="single"/>
        </w:rPr>
        <w:t>（中型企业、 小型企业、微型企业）</w:t>
      </w:r>
      <w:r>
        <w:rPr>
          <w:rFonts w:ascii="宋体" w:hAnsi="宋体" w:cs="宋体"/>
          <w:color w:val="auto"/>
          <w:sz w:val="24"/>
          <w:highlight w:val="none"/>
        </w:rPr>
        <w:t>；</w:t>
      </w:r>
    </w:p>
    <w:p>
      <w:pPr>
        <w:adjustRightInd w:val="0"/>
        <w:snapToGrid w:val="0"/>
        <w:spacing w:line="360" w:lineRule="auto"/>
        <w:ind w:left="600" w:firstLine="480" w:firstLineChars="200"/>
        <w:rPr>
          <w:rFonts w:ascii="宋体" w:hAnsi="宋体" w:cs="宋体"/>
          <w:color w:val="auto"/>
          <w:sz w:val="24"/>
          <w:highlight w:val="none"/>
        </w:rPr>
      </w:pPr>
      <w:r>
        <w:rPr>
          <w:rFonts w:ascii="宋体" w:hAnsi="宋体" w:cs="宋体"/>
          <w:color w:val="auto"/>
          <w:sz w:val="24"/>
          <w:highlight w:val="none"/>
        </w:rPr>
        <w:t xml:space="preserve"> …… </w:t>
      </w:r>
    </w:p>
    <w:p>
      <w:pPr>
        <w:adjustRightInd w:val="0"/>
        <w:snapToGrid w:val="0"/>
        <w:spacing w:line="360" w:lineRule="auto"/>
        <w:ind w:left="420" w:leftChars="200" w:firstLine="480" w:firstLineChars="200"/>
        <w:rPr>
          <w:rFonts w:ascii="宋体" w:hAnsi="宋体" w:cs="宋体"/>
          <w:color w:val="auto"/>
          <w:sz w:val="24"/>
          <w:highlight w:val="none"/>
        </w:rPr>
      </w:pPr>
      <w:r>
        <w:rPr>
          <w:rFonts w:ascii="宋体" w:hAnsi="宋体" w:cs="宋体"/>
          <w:color w:val="auto"/>
          <w:sz w:val="24"/>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pStyle w:val="2"/>
        <w:ind w:firstLine="480"/>
        <w:rPr>
          <w:rFonts w:ascii="宋体" w:hAnsi="宋体" w:cs="宋体"/>
          <w:color w:val="auto"/>
          <w:sz w:val="24"/>
          <w:highlight w:val="none"/>
        </w:rPr>
      </w:pPr>
    </w:p>
    <w:p>
      <w:pPr>
        <w:pStyle w:val="2"/>
        <w:ind w:left="0" w:leftChars="0" w:firstLine="0" w:firstLineChars="0"/>
        <w:rPr>
          <w:rFonts w:ascii="宋体" w:hAnsi="宋体" w:cs="宋体"/>
          <w:color w:val="auto"/>
          <w:sz w:val="24"/>
          <w:highlight w:val="none"/>
        </w:rPr>
      </w:pPr>
    </w:p>
    <w:p>
      <w:pPr>
        <w:adjustRightInd w:val="0"/>
        <w:snapToGrid w:val="0"/>
        <w:spacing w:line="360" w:lineRule="auto"/>
        <w:ind w:firstLine="6000" w:firstLineChars="2500"/>
        <w:rPr>
          <w:rFonts w:ascii="宋体" w:hAnsi="宋体" w:cs="宋体"/>
          <w:color w:val="auto"/>
          <w:sz w:val="24"/>
          <w:highlight w:val="none"/>
        </w:rPr>
      </w:pPr>
      <w:r>
        <w:rPr>
          <w:rFonts w:ascii="宋体" w:hAnsi="宋体" w:cs="宋体"/>
          <w:color w:val="auto"/>
          <w:sz w:val="24"/>
          <w:highlight w:val="none"/>
        </w:rPr>
        <w:t xml:space="preserve">企业名称（盖章）： </w:t>
      </w:r>
    </w:p>
    <w:p>
      <w:pPr>
        <w:adjustRightInd w:val="0"/>
        <w:snapToGrid w:val="0"/>
        <w:spacing w:line="360" w:lineRule="auto"/>
        <w:ind w:firstLine="6000" w:firstLineChars="2500"/>
        <w:rPr>
          <w:rFonts w:ascii="宋体" w:hAnsi="宋体" w:cs="宋体"/>
          <w:color w:val="auto"/>
          <w:sz w:val="24"/>
          <w:highlight w:val="none"/>
        </w:rPr>
      </w:pPr>
      <w:r>
        <w:rPr>
          <w:rFonts w:ascii="宋体" w:hAnsi="宋体" w:cs="宋体"/>
          <w:color w:val="auto"/>
          <w:sz w:val="24"/>
          <w:highlight w:val="none"/>
        </w:rPr>
        <w:t xml:space="preserve">日 期： </w:t>
      </w:r>
    </w:p>
    <w:p>
      <w:pPr>
        <w:adjustRightInd w:val="0"/>
        <w:snapToGrid w:val="0"/>
        <w:spacing w:line="360" w:lineRule="auto"/>
        <w:ind w:firstLine="480" w:firstLineChars="200"/>
        <w:rPr>
          <w:rFonts w:ascii="宋体" w:hAnsi="宋体" w:cs="宋体"/>
          <w:color w:val="auto"/>
          <w:sz w:val="24"/>
          <w:highlight w:val="none"/>
        </w:rPr>
      </w:pPr>
    </w:p>
    <w:p>
      <w:pPr>
        <w:pStyle w:val="2"/>
        <w:ind w:firstLine="480"/>
        <w:rPr>
          <w:rFonts w:ascii="宋体" w:hAnsi="宋体" w:cs="宋体"/>
          <w:color w:val="auto"/>
          <w:sz w:val="24"/>
          <w:highlight w:val="none"/>
        </w:rPr>
      </w:pPr>
    </w:p>
    <w:p>
      <w:pPr>
        <w:pStyle w:val="2"/>
        <w:ind w:firstLine="480"/>
        <w:rPr>
          <w:rFonts w:ascii="宋体" w:hAnsi="宋体" w:cs="宋体"/>
          <w:color w:val="auto"/>
          <w:sz w:val="24"/>
          <w:highlight w:val="none"/>
        </w:rPr>
      </w:pPr>
    </w:p>
    <w:p>
      <w:pPr>
        <w:pStyle w:val="2"/>
        <w:ind w:firstLine="480"/>
        <w:rPr>
          <w:rFonts w:ascii="宋体" w:hAnsi="宋体" w:cs="宋体"/>
          <w:color w:val="auto"/>
          <w:sz w:val="24"/>
          <w:highlight w:val="none"/>
        </w:rPr>
      </w:pPr>
    </w:p>
    <w:p>
      <w:pPr>
        <w:pStyle w:val="2"/>
        <w:ind w:firstLine="480"/>
        <w:rPr>
          <w:rFonts w:ascii="宋体" w:hAnsi="宋体" w:cs="宋体"/>
          <w:color w:val="auto"/>
          <w:sz w:val="24"/>
          <w:highlight w:val="none"/>
        </w:rPr>
      </w:pPr>
    </w:p>
    <w:p>
      <w:pPr>
        <w:adjustRightInd w:val="0"/>
        <w:snapToGrid w:val="0"/>
        <w:spacing w:line="360" w:lineRule="auto"/>
        <w:rPr>
          <w:rFonts w:ascii="宋体" w:hAnsi="宋体" w:cs="宋体"/>
          <w:color w:val="auto"/>
          <w:szCs w:val="21"/>
          <w:highlight w:val="none"/>
        </w:rPr>
      </w:pPr>
    </w:p>
    <w:p>
      <w:pPr>
        <w:pStyle w:val="2"/>
        <w:rPr>
          <w:color w:val="auto"/>
          <w:highlight w:val="none"/>
        </w:rPr>
      </w:pPr>
    </w:p>
    <w:p>
      <w:pPr>
        <w:pStyle w:val="2"/>
        <w:rPr>
          <w:color w:val="auto"/>
          <w:highlight w:val="none"/>
        </w:rPr>
      </w:pP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说明：1、填写前请认真阅读</w:t>
      </w:r>
      <w:r>
        <w:rPr>
          <w:rFonts w:hint="eastAsia" w:ascii="宋体" w:hAnsi="宋体" w:cs="宋体"/>
          <w:b/>
          <w:bCs/>
          <w:color w:val="auto"/>
          <w:spacing w:val="6"/>
          <w:kern w:val="0"/>
          <w:szCs w:val="21"/>
          <w:highlight w:val="none"/>
        </w:rPr>
        <w:t>《工业和信息化部、国家统计局、国家发展和改革委员会、财政部关于印发中小企业划型标准规定的通知》</w:t>
      </w:r>
      <w:r>
        <w:rPr>
          <w:rFonts w:hint="eastAsia" w:ascii="宋体" w:hAnsi="宋体" w:cs="宋体"/>
          <w:color w:val="auto"/>
          <w:spacing w:val="6"/>
          <w:kern w:val="0"/>
          <w:szCs w:val="21"/>
          <w:highlight w:val="none"/>
        </w:rPr>
        <w:t>（工信部联企业[2011]300号）和</w:t>
      </w:r>
      <w:r>
        <w:rPr>
          <w:rFonts w:hint="eastAsia" w:ascii="宋体" w:hAnsi="宋体" w:cs="宋体"/>
          <w:b/>
          <w:bCs/>
          <w:color w:val="auto"/>
          <w:spacing w:val="6"/>
          <w:kern w:val="0"/>
          <w:szCs w:val="21"/>
          <w:highlight w:val="none"/>
        </w:rPr>
        <w:t>《政府采购促进中小企业发展管理办法》</w:t>
      </w:r>
      <w:r>
        <w:rPr>
          <w:rFonts w:hint="eastAsia" w:ascii="宋体" w:hAnsi="宋体" w:cs="宋体"/>
          <w:color w:val="auto"/>
          <w:spacing w:val="6"/>
          <w:kern w:val="0"/>
          <w:szCs w:val="21"/>
          <w:highlight w:val="none"/>
        </w:rPr>
        <w:t>（财库﹝2020﹞46号）</w:t>
      </w:r>
      <w:r>
        <w:rPr>
          <w:rFonts w:hint="eastAsia" w:ascii="宋体" w:hAnsi="宋体" w:cs="宋体"/>
          <w:color w:val="auto"/>
          <w:szCs w:val="21"/>
          <w:highlight w:val="none"/>
        </w:rPr>
        <w:t>相关规定。</w:t>
      </w:r>
    </w:p>
    <w:p>
      <w:pPr>
        <w:pStyle w:val="2"/>
        <w:ind w:left="0" w:leftChars="0" w:firstLine="600" w:firstLineChars="300"/>
        <w:rPr>
          <w:rFonts w:ascii="宋体" w:hAnsi="宋体" w:cs="宋体"/>
          <w:color w:val="auto"/>
          <w:szCs w:val="21"/>
          <w:highlight w:val="none"/>
        </w:rPr>
      </w:pPr>
      <w:r>
        <w:rPr>
          <w:rFonts w:hint="eastAsia" w:ascii="宋体" w:hAnsi="宋体" w:cs="宋体"/>
          <w:color w:val="auto"/>
          <w:szCs w:val="21"/>
          <w:highlight w:val="none"/>
        </w:rPr>
        <w:t>2、从业人员、营业收入、资产总额填报上一年度数据，无上一年度数据的新成立企业可不填报。</w:t>
      </w:r>
    </w:p>
    <w:p>
      <w:pPr>
        <w:rPr>
          <w:rFonts w:ascii="宋体" w:hAnsi="宋体"/>
          <w:color w:val="auto"/>
          <w:spacing w:val="6"/>
          <w:highlight w:val="none"/>
        </w:rPr>
      </w:pPr>
      <w:r>
        <w:rPr>
          <w:rFonts w:hint="eastAsia" w:ascii="黑体" w:hAnsi="宋体" w:eastAsia="黑体"/>
          <w:color w:val="auto"/>
          <w:sz w:val="30"/>
          <w:szCs w:val="30"/>
          <w:highlight w:val="none"/>
        </w:rPr>
        <w:t>附件8—2</w:t>
      </w:r>
      <w:r>
        <w:rPr>
          <w:rFonts w:hint="eastAsia" w:ascii="宋体" w:hAnsi="宋体"/>
          <w:b/>
          <w:bCs/>
          <w:color w:val="auto"/>
          <w:szCs w:val="21"/>
          <w:highlight w:val="none"/>
        </w:rPr>
        <w:t xml:space="preserve">   残疾人福利性单位声明函</w:t>
      </w:r>
    </w:p>
    <w:p>
      <w:pPr>
        <w:pStyle w:val="2"/>
        <w:ind w:firstLine="444"/>
        <w:rPr>
          <w:rFonts w:ascii="宋体" w:hAnsi="宋体"/>
          <w:color w:val="auto"/>
          <w:spacing w:val="6"/>
          <w:sz w:val="21"/>
          <w:highlight w:val="none"/>
        </w:rPr>
      </w:pPr>
    </w:p>
    <w:p>
      <w:pPr>
        <w:pStyle w:val="2"/>
        <w:ind w:firstLine="444"/>
        <w:rPr>
          <w:rFonts w:ascii="宋体" w:hAnsi="宋体"/>
          <w:color w:val="auto"/>
          <w:spacing w:val="6"/>
          <w:sz w:val="21"/>
          <w:highlight w:val="none"/>
        </w:rPr>
      </w:pPr>
    </w:p>
    <w:p>
      <w:pPr>
        <w:adjustRightInd w:val="0"/>
        <w:snapToGrid w:val="0"/>
        <w:spacing w:line="360" w:lineRule="auto"/>
        <w:jc w:val="center"/>
        <w:rPr>
          <w:rFonts w:ascii="黑体" w:hAnsi="黑体" w:eastAsia="黑体"/>
          <w:b/>
          <w:color w:val="auto"/>
          <w:spacing w:val="6"/>
          <w:sz w:val="28"/>
          <w:szCs w:val="28"/>
          <w:highlight w:val="none"/>
        </w:rPr>
      </w:pPr>
      <w:r>
        <w:rPr>
          <w:rFonts w:hint="eastAsia" w:ascii="黑体" w:hAnsi="黑体" w:eastAsia="黑体"/>
          <w:b/>
          <w:color w:val="auto"/>
          <w:spacing w:val="6"/>
          <w:sz w:val="28"/>
          <w:szCs w:val="28"/>
          <w:highlight w:val="none"/>
        </w:rPr>
        <w:t>残疾人福利性单位声明函</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(不属于残疾人福利性单位的无需填写)</w:t>
      </w:r>
    </w:p>
    <w:p>
      <w:pPr>
        <w:adjustRightInd w:val="0"/>
        <w:snapToGrid w:val="0"/>
        <w:spacing w:line="360" w:lineRule="auto"/>
        <w:ind w:firstLine="444" w:firstLineChars="200"/>
        <w:rPr>
          <w:rFonts w:ascii="宋体" w:hAnsi="宋体"/>
          <w:color w:val="auto"/>
          <w:spacing w:val="6"/>
          <w:szCs w:val="21"/>
          <w:highlight w:val="none"/>
        </w:rPr>
      </w:pPr>
    </w:p>
    <w:p>
      <w:pPr>
        <w:adjustRightInd w:val="0"/>
        <w:snapToGrid w:val="0"/>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本单位郑重声明，根据《财政部 民政部 中国残疾人联合会关于促进残疾人就业政府采购政策的通知》（财库</w:t>
      </w:r>
      <w:r>
        <w:rPr>
          <w:rFonts w:hint="eastAsia" w:ascii="宋体" w:hAnsi="宋体"/>
          <w:color w:val="auto"/>
          <w:szCs w:val="21"/>
          <w:highlight w:val="none"/>
        </w:rPr>
        <w:t>〔2017〕141</w:t>
      </w:r>
      <w:r>
        <w:rPr>
          <w:rFonts w:hint="eastAsia" w:ascii="宋体" w:hAnsi="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本单位对上述声明的真实性负责。如有虚假，将依法承担相应责任。</w:t>
      </w:r>
    </w:p>
    <w:p>
      <w:pPr>
        <w:adjustRightInd w:val="0"/>
        <w:snapToGrid w:val="0"/>
        <w:spacing w:line="360" w:lineRule="auto"/>
        <w:ind w:firstLine="444" w:firstLineChars="200"/>
        <w:rPr>
          <w:rFonts w:ascii="宋体" w:hAnsi="宋体"/>
          <w:color w:val="auto"/>
          <w:spacing w:val="6"/>
          <w:szCs w:val="21"/>
          <w:highlight w:val="none"/>
        </w:rPr>
      </w:pPr>
    </w:p>
    <w:p>
      <w:pPr>
        <w:adjustRightInd w:val="0"/>
        <w:snapToGrid w:val="0"/>
        <w:spacing w:line="360" w:lineRule="auto"/>
        <w:ind w:firstLine="444" w:firstLineChars="200"/>
        <w:rPr>
          <w:rFonts w:ascii="宋体" w:hAnsi="宋体"/>
          <w:color w:val="auto"/>
          <w:spacing w:val="6"/>
          <w:szCs w:val="21"/>
          <w:highlight w:val="none"/>
        </w:rPr>
      </w:pPr>
    </w:p>
    <w:p>
      <w:pPr>
        <w:tabs>
          <w:tab w:val="left" w:pos="4860"/>
        </w:tabs>
        <w:adjustRightInd w:val="0"/>
        <w:snapToGrid w:val="0"/>
        <w:spacing w:line="360" w:lineRule="auto"/>
        <w:ind w:right="1560" w:firstLine="444" w:firstLineChars="200"/>
        <w:jc w:val="center"/>
        <w:rPr>
          <w:rFonts w:ascii="宋体" w:hAnsi="宋体"/>
          <w:color w:val="auto"/>
          <w:spacing w:val="6"/>
          <w:szCs w:val="21"/>
          <w:highlight w:val="none"/>
        </w:rPr>
      </w:pPr>
      <w:r>
        <w:rPr>
          <w:rFonts w:hint="eastAsia" w:ascii="宋体" w:hAnsi="宋体"/>
          <w:color w:val="auto"/>
          <w:spacing w:val="6"/>
          <w:szCs w:val="21"/>
          <w:highlight w:val="none"/>
        </w:rPr>
        <w:t xml:space="preserve">               单位名称（盖章）：</w:t>
      </w:r>
    </w:p>
    <w:p>
      <w:pPr>
        <w:tabs>
          <w:tab w:val="left" w:pos="4860"/>
        </w:tabs>
        <w:adjustRightInd w:val="0"/>
        <w:snapToGrid w:val="0"/>
        <w:spacing w:line="360" w:lineRule="auto"/>
        <w:ind w:right="1560" w:firstLine="444" w:firstLineChars="200"/>
        <w:jc w:val="center"/>
        <w:rPr>
          <w:rFonts w:ascii="宋体" w:hAnsi="宋体"/>
          <w:color w:val="auto"/>
          <w:spacing w:val="6"/>
          <w:szCs w:val="21"/>
          <w:highlight w:val="none"/>
        </w:rPr>
      </w:pPr>
      <w:r>
        <w:rPr>
          <w:rFonts w:hint="eastAsia" w:ascii="宋体" w:hAnsi="宋体"/>
          <w:color w:val="auto"/>
          <w:spacing w:val="6"/>
          <w:szCs w:val="21"/>
          <w:highlight w:val="none"/>
        </w:rPr>
        <w:t xml:space="preserve">       日  期：</w:t>
      </w:r>
    </w:p>
    <w:p>
      <w:pPr>
        <w:widowControl/>
        <w:adjustRightInd w:val="0"/>
        <w:snapToGrid w:val="0"/>
        <w:spacing w:line="360" w:lineRule="auto"/>
        <w:jc w:val="left"/>
        <w:rPr>
          <w:rFonts w:ascii="宋体" w:hAnsi="宋体" w:cs="宋体"/>
          <w:color w:val="auto"/>
          <w:kern w:val="0"/>
          <w:szCs w:val="21"/>
          <w:highlight w:val="none"/>
        </w:rPr>
      </w:pPr>
    </w:p>
    <w:p>
      <w:pPr>
        <w:pStyle w:val="6"/>
        <w:rPr>
          <w:rFonts w:ascii="宋体" w:hAnsi="宋体" w:cs="宋体"/>
          <w:color w:val="auto"/>
          <w:kern w:val="0"/>
          <w:sz w:val="21"/>
          <w:szCs w:val="21"/>
          <w:highlight w:val="none"/>
        </w:rPr>
      </w:pPr>
      <w:bookmarkStart w:id="0" w:name="_Toc34637807"/>
      <w:bookmarkStart w:id="1" w:name="_Toc22201165"/>
    </w:p>
    <w:p>
      <w:pPr>
        <w:pStyle w:val="6"/>
        <w:rPr>
          <w:rFonts w:ascii="宋体" w:hAnsi="宋体"/>
          <w:color w:val="auto"/>
          <w:sz w:val="21"/>
          <w:szCs w:val="21"/>
          <w:highlight w:val="none"/>
        </w:rPr>
      </w:pPr>
      <w:r>
        <w:rPr>
          <w:rFonts w:hint="eastAsia" w:ascii="黑体" w:hAnsi="宋体" w:eastAsia="黑体"/>
          <w:b w:val="0"/>
          <w:bCs w:val="0"/>
          <w:color w:val="auto"/>
          <w:sz w:val="30"/>
          <w:szCs w:val="30"/>
          <w:highlight w:val="none"/>
        </w:rPr>
        <w:t xml:space="preserve">附件8-3 </w:t>
      </w:r>
      <w:r>
        <w:rPr>
          <w:rFonts w:hint="eastAsia" w:ascii="宋体" w:hAnsi="宋体"/>
          <w:color w:val="auto"/>
          <w:sz w:val="21"/>
          <w:szCs w:val="21"/>
          <w:highlight w:val="none"/>
        </w:rPr>
        <w:t>监狱企业证明资料</w:t>
      </w:r>
      <w:bookmarkEnd w:id="0"/>
      <w:bookmarkEnd w:id="1"/>
    </w:p>
    <w:p>
      <w:pPr>
        <w:adjustRightInd w:val="0"/>
        <w:snapToGrid w:val="0"/>
        <w:spacing w:line="360" w:lineRule="auto"/>
        <w:jc w:val="center"/>
        <w:rPr>
          <w:rFonts w:ascii="黑体" w:hAnsi="宋体"/>
          <w:b/>
          <w:color w:val="auto"/>
          <w:sz w:val="28"/>
          <w:szCs w:val="28"/>
          <w:highlight w:val="none"/>
        </w:rPr>
      </w:pPr>
      <w:r>
        <w:rPr>
          <w:rFonts w:hint="eastAsia" w:ascii="黑体" w:hAnsi="宋体"/>
          <w:b/>
          <w:color w:val="auto"/>
          <w:sz w:val="28"/>
          <w:szCs w:val="28"/>
          <w:highlight w:val="none"/>
        </w:rPr>
        <w:t>监狱企业证明资料</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(不属于监狱企业的无需提供)</w:t>
      </w:r>
    </w:p>
    <w:p>
      <w:pPr>
        <w:adjustRightInd w:val="0"/>
        <w:snapToGrid w:val="0"/>
        <w:spacing w:line="360" w:lineRule="auto"/>
        <w:rPr>
          <w:rFonts w:ascii="宋体" w:hAnsi="宋体"/>
          <w:color w:val="auto"/>
          <w:szCs w:val="21"/>
          <w:highlight w:val="none"/>
        </w:rPr>
      </w:pPr>
    </w:p>
    <w:p>
      <w:pPr>
        <w:adjustRightInd w:val="0"/>
        <w:snapToGrid w:val="0"/>
        <w:spacing w:line="360" w:lineRule="auto"/>
        <w:ind w:firstLine="444" w:firstLineChars="200"/>
        <w:rPr>
          <w:rFonts w:ascii="宋体" w:hAnsi="宋体"/>
          <w:color w:val="auto"/>
          <w:szCs w:val="21"/>
          <w:highlight w:val="none"/>
        </w:rPr>
      </w:pPr>
      <w:r>
        <w:rPr>
          <w:rFonts w:hint="eastAsia" w:ascii="宋体" w:hAnsi="宋体" w:cs="宋体"/>
          <w:bCs/>
          <w:color w:val="auto"/>
          <w:spacing w:val="6"/>
          <w:kern w:val="0"/>
          <w:szCs w:val="21"/>
          <w:highlight w:val="none"/>
        </w:rPr>
        <w:t>备注：</w:t>
      </w:r>
      <w:r>
        <w:rPr>
          <w:rFonts w:hint="eastAsia" w:ascii="宋体" w:hAnsi="宋体"/>
          <w:color w:val="auto"/>
          <w:szCs w:val="21"/>
          <w:highlight w:val="none"/>
        </w:rPr>
        <w:t>按</w:t>
      </w:r>
      <w:r>
        <w:rPr>
          <w:rFonts w:hint="eastAsia" w:ascii="宋体" w:hAnsi="宋体"/>
          <w:color w:val="auto"/>
          <w:spacing w:val="6"/>
          <w:szCs w:val="21"/>
          <w:highlight w:val="none"/>
        </w:rPr>
        <w:t>《</w:t>
      </w:r>
      <w:r>
        <w:rPr>
          <w:rFonts w:hint="eastAsia" w:ascii="宋体" w:hAnsi="宋体"/>
          <w:color w:val="auto"/>
          <w:szCs w:val="21"/>
          <w:highlight w:val="none"/>
        </w:rPr>
        <w:t>财政部 司法部关于政府采购支持监狱企业发展有关问题的通知</w:t>
      </w:r>
      <w:r>
        <w:rPr>
          <w:rFonts w:hint="eastAsia" w:ascii="宋体" w:hAnsi="宋体"/>
          <w:color w:val="auto"/>
          <w:spacing w:val="6"/>
          <w:szCs w:val="21"/>
          <w:highlight w:val="none"/>
        </w:rPr>
        <w:t>》</w:t>
      </w:r>
      <w:r>
        <w:rPr>
          <w:rFonts w:hint="eastAsia" w:ascii="宋体" w:hAnsi="宋体"/>
          <w:color w:val="auto"/>
          <w:szCs w:val="21"/>
          <w:highlight w:val="none"/>
        </w:rPr>
        <w:t>(财库〔2014〕68号)文件规定提供证明文件（复印件）。</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p>
    <w:p>
      <w:pPr>
        <w:adjustRightInd w:val="0"/>
        <w:snapToGrid w:val="0"/>
        <w:rPr>
          <w:rFonts w:ascii="黑体" w:eastAsia="黑体"/>
          <w:color w:val="auto"/>
          <w:sz w:val="30"/>
          <w:szCs w:val="30"/>
          <w:highlight w:val="none"/>
        </w:rPr>
      </w:pPr>
      <w:r>
        <w:rPr>
          <w:rFonts w:hAnsi="华文中宋" w:eastAsia="黑体" w:cs="宋体"/>
          <w:color w:val="auto"/>
          <w:spacing w:val="6"/>
          <w:kern w:val="0"/>
          <w:highlight w:val="none"/>
        </w:rPr>
        <w:br w:type="page"/>
      </w:r>
      <w:r>
        <w:rPr>
          <w:rFonts w:hint="eastAsia" w:ascii="黑体" w:eastAsia="黑体"/>
          <w:color w:val="auto"/>
          <w:sz w:val="30"/>
          <w:szCs w:val="30"/>
          <w:highlight w:val="none"/>
        </w:rPr>
        <w:t>附件8-4</w:t>
      </w:r>
    </w:p>
    <w:p>
      <w:pPr>
        <w:pStyle w:val="2"/>
        <w:ind w:firstLine="400"/>
        <w:rPr>
          <w:color w:val="auto"/>
          <w:highlight w:val="none"/>
        </w:rPr>
      </w:pPr>
    </w:p>
    <w:p>
      <w:pPr>
        <w:adjustRightInd w:val="0"/>
        <w:snapToGrid w:val="0"/>
        <w:spacing w:before="50" w:line="360" w:lineRule="auto"/>
        <w:jc w:val="center"/>
        <w:rPr>
          <w:rFonts w:ascii="黑体" w:hAnsi="宋体" w:eastAsia="黑体"/>
          <w:b/>
          <w:bCs/>
          <w:color w:val="auto"/>
          <w:sz w:val="30"/>
          <w:szCs w:val="30"/>
          <w:highlight w:val="none"/>
        </w:rPr>
      </w:pPr>
      <w:r>
        <w:rPr>
          <w:rFonts w:hint="eastAsia" w:ascii="黑体" w:hAnsi="宋体" w:eastAsia="黑体"/>
          <w:b/>
          <w:color w:val="auto"/>
          <w:sz w:val="30"/>
          <w:szCs w:val="30"/>
          <w:highlight w:val="none"/>
        </w:rPr>
        <w:t xml:space="preserve"> “节能</w:t>
      </w:r>
      <w:r>
        <w:rPr>
          <w:rFonts w:hint="eastAsia" w:ascii="黑体" w:hAnsi="宋体" w:eastAsia="黑体"/>
          <w:b/>
          <w:bCs/>
          <w:color w:val="auto"/>
          <w:sz w:val="30"/>
          <w:szCs w:val="30"/>
          <w:highlight w:val="none"/>
        </w:rPr>
        <w:t>产品</w:t>
      </w:r>
      <w:r>
        <w:rPr>
          <w:rFonts w:hint="eastAsia" w:ascii="黑体" w:hAnsi="宋体" w:eastAsia="黑体"/>
          <w:b/>
          <w:color w:val="auto"/>
          <w:sz w:val="30"/>
          <w:szCs w:val="30"/>
          <w:highlight w:val="none"/>
        </w:rPr>
        <w:t>”、“环境标志</w:t>
      </w:r>
      <w:r>
        <w:rPr>
          <w:rFonts w:hint="eastAsia" w:ascii="黑体" w:hAnsi="宋体" w:eastAsia="黑体"/>
          <w:b/>
          <w:bCs/>
          <w:color w:val="auto"/>
          <w:sz w:val="30"/>
          <w:szCs w:val="30"/>
          <w:highlight w:val="none"/>
        </w:rPr>
        <w:t>产品</w:t>
      </w:r>
      <w:r>
        <w:rPr>
          <w:rFonts w:hint="eastAsia" w:ascii="黑体" w:hAnsi="宋体" w:eastAsia="黑体"/>
          <w:b/>
          <w:color w:val="auto"/>
          <w:sz w:val="30"/>
          <w:szCs w:val="30"/>
          <w:highlight w:val="none"/>
        </w:rPr>
        <w:t>”、“两型</w:t>
      </w:r>
      <w:r>
        <w:rPr>
          <w:rFonts w:hint="eastAsia" w:ascii="黑体" w:hAnsi="宋体" w:eastAsia="黑体"/>
          <w:b/>
          <w:bCs/>
          <w:color w:val="auto"/>
          <w:sz w:val="30"/>
          <w:szCs w:val="30"/>
          <w:highlight w:val="none"/>
        </w:rPr>
        <w:t>产品</w:t>
      </w:r>
      <w:r>
        <w:rPr>
          <w:rFonts w:hint="eastAsia" w:ascii="黑体" w:hAnsi="宋体" w:eastAsia="黑体"/>
          <w:b/>
          <w:color w:val="auto"/>
          <w:sz w:val="30"/>
          <w:szCs w:val="30"/>
          <w:highlight w:val="none"/>
        </w:rPr>
        <w:t>”证明材料</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(不属于强制采购或者优先采购产品的无需提供)</w:t>
      </w:r>
    </w:p>
    <w:p>
      <w:pPr>
        <w:adjustRightInd w:val="0"/>
        <w:snapToGrid w:val="0"/>
        <w:spacing w:line="360" w:lineRule="auto"/>
        <w:ind w:firstLine="420" w:firstLineChars="200"/>
        <w:jc w:val="left"/>
        <w:rPr>
          <w:rFonts w:ascii="宋体" w:hAnsi="宋体"/>
          <w:color w:val="auto"/>
          <w:szCs w:val="21"/>
          <w:highlight w:val="none"/>
        </w:rPr>
      </w:pPr>
    </w:p>
    <w:p>
      <w:pPr>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说明：1、供应商提供的产品</w:t>
      </w:r>
      <w:r>
        <w:rPr>
          <w:rFonts w:hint="eastAsia" w:ascii="宋体" w:hAnsi="宋体"/>
          <w:bCs/>
          <w:color w:val="auto"/>
          <w:szCs w:val="21"/>
          <w:highlight w:val="none"/>
        </w:rPr>
        <w:t>属于强制采购或者优先采购的</w:t>
      </w:r>
      <w:r>
        <w:rPr>
          <w:rFonts w:hint="eastAsia" w:ascii="宋体" w:hAnsi="宋体"/>
          <w:color w:val="auto"/>
          <w:szCs w:val="21"/>
          <w:highlight w:val="none"/>
        </w:rPr>
        <w:t>，应按第二章第二节第37条规定提供证明材料和本章本节附页2“优先采购产品清单”，并加盖供应商单位公章。</w:t>
      </w:r>
    </w:p>
    <w:p>
      <w:pPr>
        <w:adjustRightInd w:val="0"/>
        <w:snapToGrid w:val="0"/>
        <w:spacing w:line="360" w:lineRule="auto"/>
        <w:ind w:firstLine="630" w:firstLineChars="300"/>
        <w:jc w:val="left"/>
        <w:rPr>
          <w:rFonts w:ascii="宋体" w:hAnsi="宋体"/>
          <w:color w:val="auto"/>
          <w:szCs w:val="21"/>
          <w:highlight w:val="none"/>
        </w:rPr>
      </w:pPr>
      <w:r>
        <w:rPr>
          <w:rFonts w:hint="eastAsia" w:ascii="宋体" w:hAnsi="宋体"/>
          <w:color w:val="auto"/>
          <w:szCs w:val="21"/>
          <w:highlight w:val="none"/>
        </w:rPr>
        <w:t>2、节能产品、环境标志产品(强制采购或者优先采购产品)认证证书内容注明“详见证书附件</w:t>
      </w:r>
      <w:r>
        <w:rPr>
          <w:rFonts w:hint="eastAsia" w:ascii="华文中宋" w:hAnsi="华文中宋" w:eastAsia="华文中宋"/>
          <w:color w:val="auto"/>
          <w:szCs w:val="21"/>
          <w:highlight w:val="none"/>
        </w:rPr>
        <w:t>”</w:t>
      </w:r>
      <w:r>
        <w:rPr>
          <w:rFonts w:hint="eastAsia" w:ascii="宋体" w:hAnsi="宋体"/>
          <w:color w:val="auto"/>
          <w:szCs w:val="21"/>
          <w:highlight w:val="none"/>
        </w:rPr>
        <w:t>的，应提供其附件，以证明认证证书与响应文件一致。</w:t>
      </w:r>
    </w:p>
    <w:p>
      <w:pPr>
        <w:spacing w:line="480" w:lineRule="exact"/>
        <w:rPr>
          <w:rFonts w:ascii="黑体" w:eastAsia="黑体"/>
          <w:color w:val="auto"/>
          <w:sz w:val="24"/>
          <w:highlight w:val="none"/>
        </w:rPr>
      </w:pPr>
    </w:p>
    <w:p>
      <w:pPr>
        <w:spacing w:line="480" w:lineRule="exact"/>
        <w:rPr>
          <w:rFonts w:ascii="黑体" w:eastAsia="黑体"/>
          <w:color w:val="auto"/>
          <w:sz w:val="24"/>
          <w:highlight w:val="none"/>
        </w:rPr>
      </w:pPr>
    </w:p>
    <w:p>
      <w:pPr>
        <w:pStyle w:val="23"/>
        <w:adjustRightInd w:val="0"/>
        <w:snapToGrid w:val="0"/>
        <w:spacing w:line="360" w:lineRule="auto"/>
        <w:ind w:firstLine="420" w:firstLineChars="200"/>
        <w:rPr>
          <w:rFonts w:hAnsi="宋体"/>
          <w:color w:val="auto"/>
          <w:highlight w:val="none"/>
        </w:rPr>
      </w:pPr>
    </w:p>
    <w:p>
      <w:pPr>
        <w:pStyle w:val="23"/>
        <w:adjustRightInd w:val="0"/>
        <w:snapToGrid w:val="0"/>
        <w:spacing w:line="360" w:lineRule="auto"/>
        <w:ind w:firstLine="420" w:firstLineChars="200"/>
        <w:rPr>
          <w:rFonts w:hAnsi="宋体"/>
          <w:color w:val="auto"/>
          <w:highlight w:val="none"/>
        </w:rPr>
      </w:pPr>
    </w:p>
    <w:p>
      <w:pPr>
        <w:adjustRightInd w:val="0"/>
        <w:snapToGrid w:val="0"/>
        <w:spacing w:before="50" w:line="360" w:lineRule="auto"/>
        <w:rPr>
          <w:rFonts w:ascii="宋体" w:hAnsi="宋体"/>
          <w:bCs/>
          <w:color w:val="auto"/>
          <w:szCs w:val="21"/>
          <w:highlight w:val="none"/>
        </w:rPr>
      </w:pPr>
    </w:p>
    <w:p>
      <w:pPr>
        <w:adjustRightInd w:val="0"/>
        <w:snapToGrid w:val="0"/>
        <w:spacing w:line="360" w:lineRule="auto"/>
        <w:ind w:firstLine="422" w:firstLineChars="200"/>
        <w:rPr>
          <w:rFonts w:ascii="宋体" w:hAnsi="宋体"/>
          <w:b/>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before="50" w:line="360" w:lineRule="auto"/>
        <w:jc w:val="left"/>
        <w:rPr>
          <w:rFonts w:ascii="黑体" w:hAnsi="宋体" w:eastAsia="黑体"/>
          <w:color w:val="auto"/>
          <w:sz w:val="30"/>
          <w:szCs w:val="30"/>
          <w:highlight w:val="none"/>
        </w:rPr>
      </w:pPr>
    </w:p>
    <w:p>
      <w:pPr>
        <w:pStyle w:val="2"/>
        <w:ind w:firstLine="600"/>
        <w:rPr>
          <w:rFonts w:ascii="黑体" w:hAnsi="宋体" w:eastAsia="黑体"/>
          <w:color w:val="auto"/>
          <w:sz w:val="30"/>
          <w:szCs w:val="30"/>
          <w:highlight w:val="none"/>
        </w:rPr>
      </w:pPr>
    </w:p>
    <w:p>
      <w:pPr>
        <w:pStyle w:val="2"/>
        <w:ind w:firstLine="600"/>
        <w:rPr>
          <w:rFonts w:ascii="黑体" w:hAnsi="宋体" w:eastAsia="黑体"/>
          <w:color w:val="auto"/>
          <w:sz w:val="30"/>
          <w:szCs w:val="30"/>
          <w:highlight w:val="none"/>
        </w:rPr>
      </w:pPr>
    </w:p>
    <w:p>
      <w:pPr>
        <w:pStyle w:val="2"/>
        <w:ind w:firstLine="600"/>
        <w:rPr>
          <w:rFonts w:ascii="黑体" w:hAnsi="宋体" w:eastAsia="黑体"/>
          <w:color w:val="auto"/>
          <w:sz w:val="30"/>
          <w:szCs w:val="30"/>
          <w:highlight w:val="none"/>
        </w:rPr>
      </w:pPr>
    </w:p>
    <w:p>
      <w:pPr>
        <w:pStyle w:val="2"/>
        <w:ind w:firstLine="600"/>
        <w:rPr>
          <w:rFonts w:ascii="黑体" w:hAnsi="宋体" w:eastAsia="黑体"/>
          <w:color w:val="auto"/>
          <w:sz w:val="30"/>
          <w:szCs w:val="30"/>
          <w:highlight w:val="none"/>
        </w:rPr>
      </w:pPr>
    </w:p>
    <w:p>
      <w:pPr>
        <w:pStyle w:val="2"/>
        <w:ind w:firstLine="600"/>
        <w:rPr>
          <w:rFonts w:ascii="黑体" w:hAnsi="宋体" w:eastAsia="黑体"/>
          <w:color w:val="auto"/>
          <w:sz w:val="30"/>
          <w:szCs w:val="30"/>
          <w:highlight w:val="none"/>
        </w:rPr>
      </w:pPr>
    </w:p>
    <w:p>
      <w:pPr>
        <w:adjustRightInd w:val="0"/>
        <w:snapToGrid w:val="0"/>
        <w:spacing w:before="50" w:line="360" w:lineRule="auto"/>
        <w:jc w:val="left"/>
        <w:rPr>
          <w:rFonts w:hint="eastAsia" w:ascii="黑体" w:hAnsi="宋体" w:eastAsia="黑体"/>
          <w:color w:val="auto"/>
          <w:sz w:val="30"/>
          <w:szCs w:val="30"/>
          <w:highlight w:val="none"/>
        </w:rPr>
      </w:pPr>
    </w:p>
    <w:p>
      <w:pPr>
        <w:adjustRightInd w:val="0"/>
        <w:snapToGrid w:val="0"/>
        <w:spacing w:before="50" w:line="360" w:lineRule="auto"/>
        <w:jc w:val="left"/>
        <w:rPr>
          <w:rFonts w:ascii="黑体" w:hAnsi="宋体" w:eastAsia="黑体"/>
          <w:color w:val="auto"/>
          <w:sz w:val="30"/>
          <w:szCs w:val="30"/>
          <w:highlight w:val="none"/>
        </w:rPr>
      </w:pPr>
      <w:r>
        <w:rPr>
          <w:rFonts w:hint="eastAsia" w:ascii="黑体" w:hAnsi="宋体" w:eastAsia="黑体"/>
          <w:color w:val="auto"/>
          <w:sz w:val="30"/>
          <w:szCs w:val="30"/>
          <w:highlight w:val="none"/>
        </w:rPr>
        <w:t>附件8-5</w:t>
      </w:r>
    </w:p>
    <w:p>
      <w:pPr>
        <w:adjustRightInd w:val="0"/>
        <w:snapToGrid w:val="0"/>
        <w:spacing w:before="50" w:line="360" w:lineRule="auto"/>
        <w:jc w:val="center"/>
        <w:rPr>
          <w:rFonts w:ascii="黑体" w:hAnsi="宋体" w:eastAsia="黑体"/>
          <w:color w:val="auto"/>
          <w:sz w:val="30"/>
          <w:szCs w:val="30"/>
          <w:highlight w:val="none"/>
        </w:rPr>
      </w:pPr>
      <w:r>
        <w:rPr>
          <w:rFonts w:hint="eastAsia" w:ascii="黑体" w:hAnsi="宋体" w:eastAsia="黑体"/>
          <w:color w:val="auto"/>
          <w:sz w:val="30"/>
          <w:szCs w:val="30"/>
          <w:highlight w:val="none"/>
        </w:rPr>
        <w:t>节能</w:t>
      </w:r>
      <w:r>
        <w:rPr>
          <w:rFonts w:hint="eastAsia" w:ascii="黑体" w:hAnsi="宋体" w:eastAsia="黑体"/>
          <w:bCs/>
          <w:color w:val="auto"/>
          <w:sz w:val="30"/>
          <w:szCs w:val="30"/>
          <w:highlight w:val="none"/>
        </w:rPr>
        <w:t>产品</w:t>
      </w:r>
      <w:r>
        <w:rPr>
          <w:rFonts w:hint="eastAsia" w:ascii="黑体" w:hAnsi="宋体" w:eastAsia="黑体"/>
          <w:color w:val="auto"/>
          <w:sz w:val="30"/>
          <w:szCs w:val="30"/>
          <w:highlight w:val="none"/>
        </w:rPr>
        <w:t>、环境标志</w:t>
      </w:r>
      <w:r>
        <w:rPr>
          <w:rFonts w:hint="eastAsia" w:ascii="黑体" w:hAnsi="宋体" w:eastAsia="黑体"/>
          <w:bCs/>
          <w:color w:val="auto"/>
          <w:sz w:val="30"/>
          <w:szCs w:val="30"/>
          <w:highlight w:val="none"/>
        </w:rPr>
        <w:t>产品</w:t>
      </w:r>
      <w:r>
        <w:rPr>
          <w:rFonts w:hint="eastAsia" w:ascii="黑体" w:hAnsi="宋体" w:eastAsia="黑体"/>
          <w:color w:val="auto"/>
          <w:sz w:val="30"/>
          <w:szCs w:val="30"/>
          <w:highlight w:val="none"/>
        </w:rPr>
        <w:t>、两型</w:t>
      </w:r>
      <w:r>
        <w:rPr>
          <w:rFonts w:hint="eastAsia" w:ascii="黑体" w:hAnsi="宋体" w:eastAsia="黑体"/>
          <w:bCs/>
          <w:color w:val="auto"/>
          <w:sz w:val="30"/>
          <w:szCs w:val="30"/>
          <w:highlight w:val="none"/>
        </w:rPr>
        <w:t>产品</w:t>
      </w:r>
      <w:r>
        <w:rPr>
          <w:rFonts w:hint="eastAsia" w:ascii="黑体" w:hAnsi="宋体" w:eastAsia="黑体"/>
          <w:color w:val="auto"/>
          <w:sz w:val="30"/>
          <w:szCs w:val="30"/>
          <w:highlight w:val="none"/>
        </w:rPr>
        <w:t>清单表</w:t>
      </w:r>
    </w:p>
    <w:p>
      <w:pPr>
        <w:adjustRightInd w:val="0"/>
        <w:snapToGrid w:val="0"/>
        <w:spacing w:before="50" w:line="360" w:lineRule="auto"/>
        <w:jc w:val="left"/>
        <w:rPr>
          <w:rFonts w:ascii="宋体" w:hAnsi="宋体"/>
          <w:color w:val="auto"/>
          <w:szCs w:val="21"/>
          <w:highlight w:val="none"/>
        </w:rPr>
      </w:pP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71"/>
        <w:gridCol w:w="1739"/>
        <w:gridCol w:w="709"/>
        <w:gridCol w:w="850"/>
        <w:gridCol w:w="993"/>
        <w:gridCol w:w="1984"/>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8789" w:type="dxa"/>
            <w:gridSpan w:val="7"/>
            <w:noWrap/>
            <w:vAlign w:val="center"/>
          </w:tcPr>
          <w:p>
            <w:pPr>
              <w:widowControl/>
              <w:spacing w:line="360" w:lineRule="auto"/>
              <w:jc w:val="center"/>
              <w:rPr>
                <w:rFonts w:ascii="黑体" w:hAnsi="宋体" w:eastAsia="黑体"/>
                <w:b/>
                <w:color w:val="auto"/>
                <w:kern w:val="0"/>
                <w:sz w:val="28"/>
                <w:szCs w:val="28"/>
                <w:highlight w:val="none"/>
              </w:rPr>
            </w:pPr>
            <w:r>
              <w:rPr>
                <w:rFonts w:hint="eastAsia" w:ascii="黑体" w:hAnsi="宋体" w:eastAsia="黑体"/>
                <w:b/>
                <w:color w:val="auto"/>
                <w:kern w:val="0"/>
                <w:sz w:val="28"/>
                <w:szCs w:val="28"/>
                <w:highlight w:val="none"/>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671"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1739"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709"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850"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993"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1984"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1843"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1"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739"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货物名称</w:t>
            </w:r>
          </w:p>
        </w:tc>
        <w:tc>
          <w:tcPr>
            <w:tcW w:w="709"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850"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单价</w:t>
            </w:r>
          </w:p>
        </w:tc>
        <w:tc>
          <w:tcPr>
            <w:tcW w:w="993"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总额</w:t>
            </w:r>
          </w:p>
        </w:tc>
        <w:tc>
          <w:tcPr>
            <w:tcW w:w="1984"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货物制造商名称</w:t>
            </w:r>
          </w:p>
        </w:tc>
        <w:tc>
          <w:tcPr>
            <w:tcW w:w="1843"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ign w:val="center"/>
          </w:tcPr>
          <w:p>
            <w:pPr>
              <w:spacing w:line="360" w:lineRule="auto"/>
              <w:jc w:val="left"/>
              <w:rPr>
                <w:rFonts w:ascii="宋体" w:hAnsi="宋体"/>
                <w:b/>
                <w:color w:val="auto"/>
                <w:szCs w:val="21"/>
                <w:highlight w:val="none"/>
              </w:rPr>
            </w:pPr>
            <w:r>
              <w:rPr>
                <w:rFonts w:hint="eastAsia" w:ascii="宋体" w:hAnsi="宋体"/>
                <w:b/>
                <w:color w:val="auto"/>
                <w:szCs w:val="21"/>
                <w:highlight w:val="none"/>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b/>
                <w:color w:val="auto"/>
                <w:szCs w:val="21"/>
                <w:highlight w:val="none"/>
              </w:rPr>
            </w:pPr>
          </w:p>
        </w:tc>
        <w:tc>
          <w:tcPr>
            <w:tcW w:w="1739" w:type="dxa"/>
            <w:noWrap/>
            <w:vAlign w:val="center"/>
          </w:tcPr>
          <w:p>
            <w:pPr>
              <w:spacing w:line="360" w:lineRule="auto"/>
              <w:jc w:val="center"/>
              <w:rPr>
                <w:rFonts w:ascii="宋体" w:hAnsi="宋体"/>
                <w:b/>
                <w:color w:val="auto"/>
                <w:szCs w:val="21"/>
                <w:highlight w:val="none"/>
              </w:rPr>
            </w:pPr>
          </w:p>
        </w:tc>
        <w:tc>
          <w:tcPr>
            <w:tcW w:w="709" w:type="dxa"/>
            <w:noWrap/>
            <w:vAlign w:val="center"/>
          </w:tcPr>
          <w:p>
            <w:pPr>
              <w:spacing w:line="360" w:lineRule="auto"/>
              <w:jc w:val="center"/>
              <w:rPr>
                <w:rFonts w:ascii="宋体" w:hAnsi="宋体"/>
                <w:b/>
                <w:color w:val="auto"/>
                <w:szCs w:val="21"/>
                <w:highlight w:val="none"/>
              </w:rPr>
            </w:pPr>
          </w:p>
        </w:tc>
        <w:tc>
          <w:tcPr>
            <w:tcW w:w="850" w:type="dxa"/>
            <w:noWrap/>
            <w:vAlign w:val="center"/>
          </w:tcPr>
          <w:p>
            <w:pPr>
              <w:spacing w:line="360" w:lineRule="auto"/>
              <w:jc w:val="center"/>
              <w:rPr>
                <w:rFonts w:ascii="宋体" w:hAnsi="宋体"/>
                <w:b/>
                <w:color w:val="auto"/>
                <w:szCs w:val="21"/>
                <w:highlight w:val="none"/>
              </w:rPr>
            </w:pPr>
          </w:p>
        </w:tc>
        <w:tc>
          <w:tcPr>
            <w:tcW w:w="993" w:type="dxa"/>
            <w:noWrap/>
            <w:vAlign w:val="center"/>
          </w:tcPr>
          <w:p>
            <w:pPr>
              <w:spacing w:line="360" w:lineRule="auto"/>
              <w:jc w:val="left"/>
              <w:rPr>
                <w:rFonts w:ascii="宋体" w:hAnsi="宋体"/>
                <w:b/>
                <w:color w:val="auto"/>
                <w:szCs w:val="21"/>
                <w:highlight w:val="none"/>
              </w:rPr>
            </w:pPr>
          </w:p>
        </w:tc>
        <w:tc>
          <w:tcPr>
            <w:tcW w:w="1984" w:type="dxa"/>
            <w:noWrap/>
            <w:vAlign w:val="center"/>
          </w:tcPr>
          <w:p>
            <w:pPr>
              <w:spacing w:line="360" w:lineRule="auto"/>
              <w:jc w:val="center"/>
              <w:rPr>
                <w:rFonts w:ascii="宋体" w:hAnsi="宋体"/>
                <w:b/>
                <w:color w:val="auto"/>
                <w:szCs w:val="21"/>
                <w:highlight w:val="none"/>
              </w:rPr>
            </w:pPr>
          </w:p>
        </w:tc>
        <w:tc>
          <w:tcPr>
            <w:tcW w:w="1843" w:type="dxa"/>
            <w:noWrap/>
          </w:tcPr>
          <w:p>
            <w:pPr>
              <w:spacing w:line="360" w:lineRule="auto"/>
              <w:jc w:val="cente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小计</w:t>
            </w:r>
          </w:p>
        </w:tc>
        <w:tc>
          <w:tcPr>
            <w:tcW w:w="1739"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709"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850"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993" w:type="dxa"/>
            <w:noWrap/>
            <w:vAlign w:val="center"/>
          </w:tcPr>
          <w:p>
            <w:pPr>
              <w:spacing w:line="360" w:lineRule="auto"/>
              <w:jc w:val="left"/>
              <w:rPr>
                <w:rFonts w:ascii="宋体" w:hAnsi="宋体"/>
                <w:b/>
                <w:color w:val="auto"/>
                <w:szCs w:val="21"/>
                <w:highlight w:val="none"/>
              </w:rPr>
            </w:pPr>
          </w:p>
        </w:tc>
        <w:tc>
          <w:tcPr>
            <w:tcW w:w="1984"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1843" w:type="dxa"/>
            <w:noWrap/>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ign w:val="center"/>
          </w:tcPr>
          <w:p>
            <w:pPr>
              <w:spacing w:line="360" w:lineRule="auto"/>
              <w:jc w:val="left"/>
              <w:rPr>
                <w:rFonts w:ascii="宋体" w:hAnsi="宋体"/>
                <w:b/>
                <w:color w:val="auto"/>
                <w:szCs w:val="21"/>
                <w:highlight w:val="none"/>
              </w:rPr>
            </w:pPr>
            <w:r>
              <w:rPr>
                <w:rFonts w:hint="eastAsia" w:ascii="宋体" w:hAnsi="宋体"/>
                <w:b/>
                <w:color w:val="auto"/>
                <w:szCs w:val="21"/>
                <w:highlight w:val="none"/>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b/>
                <w:color w:val="auto"/>
                <w:szCs w:val="21"/>
                <w:highlight w:val="none"/>
              </w:rPr>
            </w:pPr>
          </w:p>
        </w:tc>
        <w:tc>
          <w:tcPr>
            <w:tcW w:w="1739" w:type="dxa"/>
            <w:noWrap/>
            <w:vAlign w:val="center"/>
          </w:tcPr>
          <w:p>
            <w:pPr>
              <w:spacing w:line="360" w:lineRule="auto"/>
              <w:jc w:val="center"/>
              <w:rPr>
                <w:rFonts w:ascii="宋体" w:hAnsi="宋体"/>
                <w:b/>
                <w:color w:val="auto"/>
                <w:szCs w:val="21"/>
                <w:highlight w:val="none"/>
              </w:rPr>
            </w:pPr>
          </w:p>
        </w:tc>
        <w:tc>
          <w:tcPr>
            <w:tcW w:w="709" w:type="dxa"/>
            <w:noWrap/>
            <w:vAlign w:val="center"/>
          </w:tcPr>
          <w:p>
            <w:pPr>
              <w:spacing w:line="360" w:lineRule="auto"/>
              <w:jc w:val="center"/>
              <w:rPr>
                <w:rFonts w:ascii="宋体" w:hAnsi="宋体"/>
                <w:b/>
                <w:color w:val="auto"/>
                <w:szCs w:val="21"/>
                <w:highlight w:val="none"/>
              </w:rPr>
            </w:pPr>
          </w:p>
        </w:tc>
        <w:tc>
          <w:tcPr>
            <w:tcW w:w="850" w:type="dxa"/>
            <w:noWrap/>
            <w:vAlign w:val="center"/>
          </w:tcPr>
          <w:p>
            <w:pPr>
              <w:spacing w:line="360" w:lineRule="auto"/>
              <w:jc w:val="center"/>
              <w:rPr>
                <w:rFonts w:ascii="宋体" w:hAnsi="宋体"/>
                <w:b/>
                <w:color w:val="auto"/>
                <w:szCs w:val="21"/>
                <w:highlight w:val="none"/>
              </w:rPr>
            </w:pPr>
          </w:p>
        </w:tc>
        <w:tc>
          <w:tcPr>
            <w:tcW w:w="993" w:type="dxa"/>
            <w:noWrap/>
            <w:vAlign w:val="center"/>
          </w:tcPr>
          <w:p>
            <w:pPr>
              <w:spacing w:line="360" w:lineRule="auto"/>
              <w:jc w:val="left"/>
              <w:rPr>
                <w:rFonts w:ascii="宋体" w:hAnsi="宋体"/>
                <w:b/>
                <w:color w:val="auto"/>
                <w:szCs w:val="21"/>
                <w:highlight w:val="none"/>
              </w:rPr>
            </w:pPr>
          </w:p>
        </w:tc>
        <w:tc>
          <w:tcPr>
            <w:tcW w:w="1984" w:type="dxa"/>
            <w:noWrap/>
            <w:vAlign w:val="center"/>
          </w:tcPr>
          <w:p>
            <w:pPr>
              <w:spacing w:line="360" w:lineRule="auto"/>
              <w:jc w:val="center"/>
              <w:rPr>
                <w:rFonts w:ascii="宋体" w:hAnsi="宋体"/>
                <w:b/>
                <w:color w:val="auto"/>
                <w:szCs w:val="21"/>
                <w:highlight w:val="none"/>
              </w:rPr>
            </w:pPr>
          </w:p>
        </w:tc>
        <w:tc>
          <w:tcPr>
            <w:tcW w:w="1843" w:type="dxa"/>
            <w:noWrap/>
          </w:tcPr>
          <w:p>
            <w:pPr>
              <w:spacing w:line="360" w:lineRule="auto"/>
              <w:jc w:val="cente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小计</w:t>
            </w:r>
          </w:p>
        </w:tc>
        <w:tc>
          <w:tcPr>
            <w:tcW w:w="1739"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709"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850"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993" w:type="dxa"/>
            <w:noWrap/>
            <w:vAlign w:val="center"/>
          </w:tcPr>
          <w:p>
            <w:pPr>
              <w:spacing w:line="360" w:lineRule="auto"/>
              <w:jc w:val="left"/>
              <w:rPr>
                <w:rFonts w:ascii="宋体" w:hAnsi="宋体"/>
                <w:b/>
                <w:color w:val="auto"/>
                <w:szCs w:val="21"/>
                <w:highlight w:val="none"/>
              </w:rPr>
            </w:pPr>
          </w:p>
        </w:tc>
        <w:tc>
          <w:tcPr>
            <w:tcW w:w="1984"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1843" w:type="dxa"/>
            <w:noWrap/>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ign w:val="center"/>
          </w:tcPr>
          <w:p>
            <w:pPr>
              <w:spacing w:line="360" w:lineRule="auto"/>
              <w:jc w:val="left"/>
              <w:rPr>
                <w:rFonts w:ascii="宋体" w:hAnsi="宋体"/>
                <w:b/>
                <w:color w:val="auto"/>
                <w:szCs w:val="21"/>
                <w:highlight w:val="none"/>
              </w:rPr>
            </w:pPr>
            <w:r>
              <w:rPr>
                <w:rFonts w:hint="eastAsia" w:ascii="宋体" w:hAnsi="宋体"/>
                <w:b/>
                <w:color w:val="auto"/>
                <w:szCs w:val="21"/>
                <w:highlight w:val="none"/>
              </w:rPr>
              <w:t>两型产品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color w:val="auto"/>
                <w:szCs w:val="21"/>
                <w:highlight w:val="none"/>
              </w:rPr>
            </w:pPr>
          </w:p>
        </w:tc>
        <w:tc>
          <w:tcPr>
            <w:tcW w:w="1739" w:type="dxa"/>
            <w:noWrap/>
            <w:vAlign w:val="center"/>
          </w:tcPr>
          <w:p>
            <w:pPr>
              <w:spacing w:line="360" w:lineRule="auto"/>
              <w:jc w:val="center"/>
              <w:rPr>
                <w:rFonts w:ascii="宋体" w:hAnsi="宋体"/>
                <w:color w:val="auto"/>
                <w:szCs w:val="21"/>
                <w:highlight w:val="none"/>
              </w:rPr>
            </w:pPr>
          </w:p>
        </w:tc>
        <w:tc>
          <w:tcPr>
            <w:tcW w:w="709" w:type="dxa"/>
            <w:noWrap/>
            <w:vAlign w:val="center"/>
          </w:tcPr>
          <w:p>
            <w:pPr>
              <w:spacing w:line="360" w:lineRule="auto"/>
              <w:jc w:val="center"/>
              <w:rPr>
                <w:rFonts w:ascii="宋体" w:hAnsi="宋体"/>
                <w:color w:val="auto"/>
                <w:szCs w:val="21"/>
                <w:highlight w:val="none"/>
              </w:rPr>
            </w:pPr>
          </w:p>
        </w:tc>
        <w:tc>
          <w:tcPr>
            <w:tcW w:w="850" w:type="dxa"/>
            <w:noWrap/>
            <w:vAlign w:val="center"/>
          </w:tcPr>
          <w:p>
            <w:pPr>
              <w:spacing w:line="360" w:lineRule="auto"/>
              <w:jc w:val="center"/>
              <w:rPr>
                <w:rFonts w:ascii="宋体" w:hAnsi="宋体"/>
                <w:color w:val="auto"/>
                <w:szCs w:val="21"/>
                <w:highlight w:val="none"/>
              </w:rPr>
            </w:pPr>
          </w:p>
        </w:tc>
        <w:tc>
          <w:tcPr>
            <w:tcW w:w="993" w:type="dxa"/>
            <w:noWrap/>
            <w:vAlign w:val="center"/>
          </w:tcPr>
          <w:p>
            <w:pPr>
              <w:spacing w:line="360" w:lineRule="auto"/>
              <w:jc w:val="center"/>
              <w:rPr>
                <w:rFonts w:ascii="宋体" w:hAnsi="宋体"/>
                <w:color w:val="auto"/>
                <w:szCs w:val="21"/>
                <w:highlight w:val="none"/>
              </w:rPr>
            </w:pPr>
          </w:p>
        </w:tc>
        <w:tc>
          <w:tcPr>
            <w:tcW w:w="1984" w:type="dxa"/>
            <w:noWrap/>
            <w:vAlign w:val="center"/>
          </w:tcPr>
          <w:p>
            <w:pPr>
              <w:spacing w:line="360" w:lineRule="auto"/>
              <w:jc w:val="center"/>
              <w:rPr>
                <w:rFonts w:ascii="宋体" w:hAnsi="宋体"/>
                <w:color w:val="auto"/>
                <w:szCs w:val="21"/>
                <w:highlight w:val="none"/>
              </w:rPr>
            </w:pPr>
          </w:p>
        </w:tc>
        <w:tc>
          <w:tcPr>
            <w:tcW w:w="1843" w:type="dxa"/>
            <w:noWrap/>
          </w:tcPr>
          <w:p>
            <w:pPr>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小计</w:t>
            </w:r>
          </w:p>
        </w:tc>
        <w:tc>
          <w:tcPr>
            <w:tcW w:w="1739"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709"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850"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993" w:type="dxa"/>
            <w:noWrap/>
            <w:vAlign w:val="center"/>
          </w:tcPr>
          <w:p>
            <w:pPr>
              <w:spacing w:line="360" w:lineRule="auto"/>
              <w:jc w:val="center"/>
              <w:rPr>
                <w:rFonts w:ascii="宋体" w:hAnsi="宋体"/>
                <w:color w:val="auto"/>
                <w:szCs w:val="21"/>
                <w:highlight w:val="none"/>
              </w:rPr>
            </w:pPr>
          </w:p>
        </w:tc>
        <w:tc>
          <w:tcPr>
            <w:tcW w:w="1984"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1843" w:type="dxa"/>
            <w:noWrap/>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r>
    </w:tbl>
    <w:p>
      <w:pPr>
        <w:adjustRightInd w:val="0"/>
        <w:snapToGrid w:val="0"/>
        <w:spacing w:line="360" w:lineRule="auto"/>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说明：</w:t>
      </w:r>
      <w:r>
        <w:rPr>
          <w:rFonts w:hint="eastAsia" w:ascii="仿宋_GB2312" w:hAnsi="宋体" w:eastAsia="仿宋_GB2312"/>
          <w:bCs/>
          <w:color w:val="auto"/>
          <w:szCs w:val="21"/>
          <w:highlight w:val="none"/>
        </w:rPr>
        <w:t>1、</w:t>
      </w:r>
      <w:r>
        <w:rPr>
          <w:rFonts w:hint="eastAsia" w:ascii="仿宋_GB2312" w:hAnsi="宋体" w:eastAsia="仿宋_GB2312"/>
          <w:color w:val="auto"/>
          <w:szCs w:val="21"/>
          <w:highlight w:val="none"/>
        </w:rPr>
        <w:t>本表用于计算节能产品、环境标志产品、两型产品应享受的政策功能加分。</w:t>
      </w:r>
    </w:p>
    <w:p>
      <w:pPr>
        <w:adjustRightInd w:val="0"/>
        <w:snapToGrid w:val="0"/>
        <w:spacing w:line="360" w:lineRule="auto"/>
        <w:ind w:firstLine="630" w:firstLineChars="30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2、栏目7“政策功能编码”是指货物的中国环境标志认证证书编号、节能标志认证证书号、两型产品编号(货物同时属于节能产品、环境标志产品、两型产品的，只填写一种)。</w:t>
      </w:r>
    </w:p>
    <w:p>
      <w:pPr>
        <w:adjustRightInd w:val="0"/>
        <w:snapToGrid w:val="0"/>
        <w:spacing w:line="360" w:lineRule="auto"/>
        <w:ind w:firstLine="630" w:firstLineChars="30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3、栏目4“单价”为综合单价，包含货物所有隐含的内容，如运输费、保险费、管理费和利润等。</w:t>
      </w:r>
    </w:p>
    <w:p>
      <w:pPr>
        <w:adjustRightInd w:val="0"/>
        <w:snapToGrid w:val="0"/>
        <w:spacing w:line="360" w:lineRule="auto"/>
        <w:ind w:firstLine="630" w:firstLineChars="300"/>
        <w:rPr>
          <w:rFonts w:ascii="黑体" w:hAnsi="宋体" w:eastAsia="黑体"/>
          <w:bCs/>
          <w:color w:val="auto"/>
          <w:szCs w:val="21"/>
          <w:highlight w:val="none"/>
        </w:rPr>
      </w:pPr>
      <w:r>
        <w:rPr>
          <w:rFonts w:hint="eastAsia" w:ascii="黑体" w:hAnsi="宋体" w:eastAsia="黑体"/>
          <w:bCs/>
          <w:color w:val="auto"/>
          <w:szCs w:val="21"/>
          <w:highlight w:val="none"/>
        </w:rPr>
        <w:t>4、未按上述要求提供、</w:t>
      </w:r>
      <w:r>
        <w:rPr>
          <w:rFonts w:hint="eastAsia" w:ascii="黑体" w:hAnsi="宋体" w:eastAsia="黑体"/>
          <w:color w:val="auto"/>
          <w:szCs w:val="21"/>
          <w:highlight w:val="none"/>
        </w:rPr>
        <w:t>填写，或者提供的内容不真实的，</w:t>
      </w:r>
      <w:r>
        <w:rPr>
          <w:rFonts w:hint="eastAsia" w:ascii="黑体" w:hAnsi="宋体" w:eastAsia="黑体"/>
          <w:bCs/>
          <w:color w:val="auto"/>
          <w:szCs w:val="21"/>
          <w:highlight w:val="none"/>
        </w:rPr>
        <w:t>评审时本表所有优惠不予以考虑。</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供应商名称（单位章）：</w:t>
      </w:r>
    </w:p>
    <w:p>
      <w:pPr>
        <w:spacing w:line="360" w:lineRule="auto"/>
        <w:rPr>
          <w:rFonts w:ascii="宋体" w:hAnsi="宋体"/>
          <w:color w:val="auto"/>
          <w:szCs w:val="21"/>
          <w:highlight w:val="none"/>
        </w:rPr>
      </w:pPr>
      <w:r>
        <w:rPr>
          <w:rFonts w:hint="eastAsia" w:ascii="宋体" w:hAnsi="宋体"/>
          <w:color w:val="auto"/>
          <w:szCs w:val="21"/>
          <w:highlight w:val="none"/>
        </w:rPr>
        <w:t>法定代表人或其委托代理人（签字）：</w:t>
      </w:r>
    </w:p>
    <w:p>
      <w:pPr>
        <w:rPr>
          <w:rFonts w:ascii="黑体" w:eastAsia="黑体"/>
          <w:color w:val="auto"/>
          <w:sz w:val="30"/>
          <w:szCs w:val="30"/>
          <w:highlight w:val="none"/>
        </w:rPr>
      </w:pPr>
      <w:r>
        <w:rPr>
          <w:rFonts w:hint="eastAsia" w:ascii="宋体" w:hAnsi="宋体"/>
          <w:color w:val="auto"/>
          <w:szCs w:val="21"/>
          <w:highlight w:val="none"/>
        </w:rPr>
        <w:t>日期：年月日</w:t>
      </w:r>
    </w:p>
    <w:p>
      <w:pPr>
        <w:adjustRightInd w:val="0"/>
        <w:snapToGrid w:val="0"/>
        <w:spacing w:line="360" w:lineRule="auto"/>
        <w:rPr>
          <w:rFonts w:ascii="宋体" w:hAnsi="宋体"/>
          <w:b/>
          <w:color w:val="auto"/>
          <w:sz w:val="32"/>
          <w:szCs w:val="32"/>
          <w:highlight w:val="none"/>
        </w:rPr>
      </w:pPr>
    </w:p>
    <w:p>
      <w:pPr>
        <w:pStyle w:val="2"/>
        <w:ind w:firstLine="400"/>
        <w:rPr>
          <w:color w:val="auto"/>
          <w:highlight w:val="none"/>
        </w:rPr>
      </w:pPr>
    </w:p>
    <w:p>
      <w:pPr>
        <w:adjustRightInd w:val="0"/>
        <w:snapToGrid w:val="0"/>
        <w:spacing w:line="360" w:lineRule="auto"/>
        <w:jc w:val="center"/>
        <w:rPr>
          <w:rFonts w:ascii="黑体" w:hAnsi="宋体" w:eastAsia="黑体"/>
          <w:b/>
          <w:color w:val="auto"/>
          <w:sz w:val="32"/>
          <w:szCs w:val="32"/>
          <w:highlight w:val="none"/>
        </w:rPr>
      </w:pPr>
    </w:p>
    <w:p>
      <w:pPr>
        <w:adjustRightInd w:val="0"/>
        <w:snapToGrid w:val="0"/>
        <w:spacing w:line="360" w:lineRule="auto"/>
        <w:jc w:val="center"/>
        <w:rPr>
          <w:rFonts w:hint="eastAsia" w:ascii="黑体" w:hAnsi="宋体" w:eastAsia="黑体"/>
          <w:b/>
          <w:color w:val="auto"/>
          <w:sz w:val="32"/>
          <w:szCs w:val="32"/>
          <w:highlight w:val="none"/>
        </w:rPr>
      </w:pPr>
    </w:p>
    <w:p>
      <w:pPr>
        <w:adjustRightInd w:val="0"/>
        <w:snapToGrid w:val="0"/>
        <w:spacing w:line="360" w:lineRule="auto"/>
        <w:jc w:val="center"/>
        <w:rPr>
          <w:rFonts w:ascii="黑体" w:hAnsi="宋体" w:eastAsia="黑体"/>
          <w:b/>
          <w:bCs/>
          <w:color w:val="auto"/>
          <w:sz w:val="32"/>
          <w:szCs w:val="32"/>
          <w:highlight w:val="none"/>
        </w:rPr>
      </w:pPr>
      <w:r>
        <w:rPr>
          <w:rFonts w:hint="eastAsia" w:ascii="黑体" w:hAnsi="宋体" w:eastAsia="黑体"/>
          <w:b/>
          <w:color w:val="auto"/>
          <w:sz w:val="32"/>
          <w:szCs w:val="32"/>
          <w:highlight w:val="none"/>
        </w:rPr>
        <w:t>八、经销、或代理货物、或为货物提供售后服务的证明材料</w:t>
      </w:r>
    </w:p>
    <w:p>
      <w:pPr>
        <w:adjustRightInd w:val="0"/>
        <w:snapToGrid w:val="0"/>
        <w:spacing w:line="360" w:lineRule="auto"/>
        <w:rPr>
          <w:rFonts w:ascii="仿宋_GB2312" w:hAnsi="宋体" w:eastAsia="仿宋_GB2312"/>
          <w:bCs/>
          <w:color w:val="auto"/>
          <w:szCs w:val="21"/>
          <w:highlight w:val="none"/>
        </w:rPr>
      </w:pPr>
    </w:p>
    <w:p>
      <w:pPr>
        <w:ind w:firstLine="210" w:firstLineChars="100"/>
        <w:rPr>
          <w:rFonts w:ascii="仿宋_GB2312" w:hAnsi="宋体" w:eastAsia="仿宋_GB2312"/>
          <w:bCs/>
          <w:color w:val="auto"/>
          <w:szCs w:val="21"/>
          <w:highlight w:val="none"/>
        </w:rPr>
      </w:pPr>
      <w:r>
        <w:rPr>
          <w:rFonts w:hint="eastAsia" w:ascii="仿宋_GB2312" w:hAnsi="宋体" w:eastAsia="仿宋_GB2312"/>
          <w:bCs/>
          <w:color w:val="auto"/>
          <w:szCs w:val="21"/>
          <w:highlight w:val="none"/>
        </w:rPr>
        <w:t>提供协议或授权函复印件或售后服务证明原件。</w:t>
      </w: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黑体" w:hAnsi="宋体" w:eastAsia="黑体"/>
          <w:b/>
          <w:color w:val="auto"/>
          <w:sz w:val="32"/>
          <w:szCs w:val="32"/>
          <w:highlight w:val="none"/>
        </w:rPr>
      </w:pPr>
      <w:r>
        <w:rPr>
          <w:rFonts w:hint="eastAsia" w:ascii="黑体" w:eastAsia="黑体"/>
          <w:b/>
          <w:bCs/>
          <w:color w:val="auto"/>
          <w:sz w:val="32"/>
          <w:szCs w:val="32"/>
          <w:highlight w:val="none"/>
        </w:rPr>
        <w:t>九、</w:t>
      </w:r>
      <w:r>
        <w:rPr>
          <w:rFonts w:hint="eastAsia" w:ascii="黑体" w:hAnsi="宋体" w:eastAsia="黑体"/>
          <w:b/>
          <w:color w:val="auto"/>
          <w:sz w:val="32"/>
          <w:szCs w:val="32"/>
          <w:highlight w:val="none"/>
        </w:rPr>
        <w:t>报价一览表及报价文件</w:t>
      </w:r>
    </w:p>
    <w:p>
      <w:pPr>
        <w:ind w:firstLine="803"/>
        <w:jc w:val="center"/>
        <w:rPr>
          <w:rFonts w:ascii="黑体" w:hAnsi="宋体" w:eastAsia="黑体"/>
          <w:b/>
          <w:color w:val="auto"/>
          <w:sz w:val="32"/>
          <w:szCs w:val="32"/>
          <w:highlight w:val="none"/>
        </w:rPr>
      </w:pPr>
    </w:p>
    <w:p>
      <w:pPr>
        <w:tabs>
          <w:tab w:val="left" w:pos="1680"/>
        </w:tabs>
        <w:adjustRightInd w:val="0"/>
        <w:snapToGrid w:val="0"/>
        <w:rPr>
          <w:rFonts w:ascii="黑体" w:hAnsi="宋体" w:eastAsia="黑体"/>
          <w:color w:val="auto"/>
          <w:sz w:val="30"/>
          <w:szCs w:val="30"/>
          <w:highlight w:val="none"/>
        </w:rPr>
      </w:pPr>
      <w:r>
        <w:rPr>
          <w:rFonts w:hint="eastAsia" w:ascii="黑体" w:hAnsi="宋体" w:eastAsia="黑体"/>
          <w:color w:val="auto"/>
          <w:sz w:val="30"/>
          <w:szCs w:val="30"/>
          <w:highlight w:val="none"/>
        </w:rPr>
        <w:t>附件9</w:t>
      </w:r>
      <w:r>
        <w:rPr>
          <w:rFonts w:ascii="黑体" w:hAnsi="宋体" w:eastAsia="黑体"/>
          <w:color w:val="auto"/>
          <w:sz w:val="30"/>
          <w:szCs w:val="30"/>
          <w:highlight w:val="none"/>
        </w:rPr>
        <w:tab/>
      </w:r>
    </w:p>
    <w:p>
      <w:pPr>
        <w:spacing w:line="360" w:lineRule="exact"/>
        <w:ind w:firstLine="300" w:firstLineChars="100"/>
        <w:rPr>
          <w:rFonts w:ascii="楷体_GB2312" w:eastAsia="楷体_GB2312"/>
          <w:color w:val="auto"/>
          <w:sz w:val="30"/>
          <w:szCs w:val="30"/>
          <w:highlight w:val="none"/>
        </w:rPr>
      </w:pPr>
    </w:p>
    <w:p>
      <w:pPr>
        <w:adjustRightInd w:val="0"/>
        <w:snapToGrid w:val="0"/>
        <w:jc w:val="center"/>
        <w:rPr>
          <w:rFonts w:ascii="黑体" w:hAnsi="宋体" w:eastAsia="黑体"/>
          <w:bCs/>
          <w:color w:val="auto"/>
          <w:sz w:val="30"/>
          <w:szCs w:val="30"/>
          <w:highlight w:val="none"/>
        </w:rPr>
      </w:pPr>
    </w:p>
    <w:p>
      <w:pPr>
        <w:adjustRightInd w:val="0"/>
        <w:snapToGrid w:val="0"/>
        <w:jc w:val="center"/>
        <w:rPr>
          <w:rFonts w:ascii="黑体" w:hAnsi="宋体" w:eastAsia="黑体"/>
          <w:color w:val="auto"/>
          <w:sz w:val="30"/>
          <w:szCs w:val="30"/>
          <w:highlight w:val="none"/>
        </w:rPr>
      </w:pPr>
      <w:r>
        <w:rPr>
          <w:rFonts w:hint="eastAsia" w:ascii="黑体" w:hAnsi="宋体" w:eastAsia="黑体"/>
          <w:bCs/>
          <w:color w:val="auto"/>
          <w:sz w:val="30"/>
          <w:szCs w:val="30"/>
          <w:highlight w:val="none"/>
        </w:rPr>
        <w:t>报价一览表</w:t>
      </w:r>
    </w:p>
    <w:p>
      <w:pPr>
        <w:adjustRightInd w:val="0"/>
        <w:snapToGrid w:val="0"/>
        <w:rPr>
          <w:rFonts w:ascii="黑体" w:hAnsi="宋体" w:eastAsia="黑体"/>
          <w:color w:val="auto"/>
          <w:sz w:val="24"/>
          <w:highlight w:val="none"/>
        </w:rPr>
      </w:pPr>
    </w:p>
    <w:tbl>
      <w:tblPr>
        <w:tblStyle w:val="41"/>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620" w:type="dxa"/>
            <w:tcBorders>
              <w:top w:val="double" w:color="auto" w:sz="4" w:space="0"/>
              <w:left w:val="double" w:color="auto" w:sz="4" w:space="0"/>
              <w:bottom w:val="single" w:color="auto" w:sz="6" w:space="0"/>
              <w:right w:val="single" w:color="auto" w:sz="6" w:space="0"/>
            </w:tcBorders>
            <w:noWrap/>
            <w:vAlign w:val="center"/>
          </w:tcPr>
          <w:p>
            <w:pPr>
              <w:tabs>
                <w:tab w:val="left" w:pos="403"/>
                <w:tab w:val="center" w:pos="3781"/>
              </w:tabs>
              <w:spacing w:line="420" w:lineRule="exact"/>
              <w:ind w:right="-5206" w:rightChars="-2479" w:firstLine="210" w:firstLineChars="100"/>
              <w:rPr>
                <w:rFonts w:ascii="宋体" w:hAnsi="宋体"/>
                <w:color w:val="auto"/>
                <w:szCs w:val="21"/>
                <w:highlight w:val="none"/>
              </w:rPr>
            </w:pPr>
            <w:r>
              <w:rPr>
                <w:rFonts w:ascii="宋体" w:hAnsi="宋体"/>
                <w:color w:val="auto"/>
                <w:szCs w:val="21"/>
                <w:highlight w:val="none"/>
              </w:rPr>
              <w:t>项目名称</w:t>
            </w:r>
            <w:r>
              <w:rPr>
                <w:rFonts w:ascii="宋体" w:hAnsi="宋体"/>
                <w:color w:val="auto"/>
                <w:szCs w:val="21"/>
                <w:highlight w:val="none"/>
              </w:rPr>
              <w:tab/>
            </w:r>
            <w:r>
              <w:rPr>
                <w:rFonts w:ascii="宋体" w:hAnsi="宋体"/>
                <w:color w:val="auto"/>
                <w:szCs w:val="21"/>
                <w:highlight w:val="none"/>
              </w:rPr>
              <w:t>项目名称</w:t>
            </w:r>
          </w:p>
        </w:tc>
        <w:tc>
          <w:tcPr>
            <w:tcW w:w="3060" w:type="dxa"/>
            <w:tcBorders>
              <w:top w:val="double" w:color="auto" w:sz="4" w:space="0"/>
              <w:left w:val="single" w:color="auto" w:sz="6" w:space="0"/>
              <w:bottom w:val="single" w:color="auto" w:sz="6" w:space="0"/>
              <w:right w:val="single" w:color="auto" w:sz="6" w:space="0"/>
            </w:tcBorders>
            <w:noWrap/>
            <w:vAlign w:val="center"/>
          </w:tcPr>
          <w:p>
            <w:pPr>
              <w:spacing w:line="420" w:lineRule="exact"/>
              <w:jc w:val="center"/>
              <w:rPr>
                <w:rFonts w:ascii="宋体" w:hAnsi="宋体"/>
                <w:color w:val="auto"/>
                <w:szCs w:val="21"/>
                <w:highlight w:val="none"/>
              </w:rPr>
            </w:pPr>
          </w:p>
        </w:tc>
        <w:tc>
          <w:tcPr>
            <w:tcW w:w="1620" w:type="dxa"/>
            <w:tcBorders>
              <w:top w:val="double" w:color="auto" w:sz="4" w:space="0"/>
              <w:left w:val="single" w:color="auto" w:sz="6" w:space="0"/>
              <w:right w:val="single" w:color="auto" w:sz="6" w:space="0"/>
            </w:tcBorders>
            <w:noWrap/>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采购代理</w:t>
            </w:r>
            <w:r>
              <w:rPr>
                <w:rFonts w:ascii="宋体" w:hAnsi="宋体"/>
                <w:color w:val="auto"/>
                <w:szCs w:val="21"/>
                <w:highlight w:val="none"/>
              </w:rPr>
              <w:t>编号</w:t>
            </w:r>
          </w:p>
        </w:tc>
        <w:tc>
          <w:tcPr>
            <w:tcW w:w="2520" w:type="dxa"/>
            <w:tcBorders>
              <w:top w:val="double" w:color="auto" w:sz="4" w:space="0"/>
              <w:left w:val="single" w:color="auto" w:sz="6" w:space="0"/>
              <w:bottom w:val="single" w:color="auto" w:sz="6" w:space="0"/>
              <w:right w:val="double" w:color="auto" w:sz="4" w:space="0"/>
            </w:tcBorders>
            <w:noWrap/>
            <w:vAlign w:val="center"/>
          </w:tcPr>
          <w:p>
            <w:pPr>
              <w:spacing w:line="42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lang w:val="en-US" w:eastAsia="zh-CN"/>
              </w:rPr>
              <w:t>总价</w:t>
            </w:r>
            <w:r>
              <w:rPr>
                <w:rFonts w:ascii="宋体" w:hAnsi="宋体"/>
                <w:color w:val="auto"/>
                <w:szCs w:val="21"/>
                <w:highlight w:val="none"/>
              </w:rPr>
              <w:t>报价</w:t>
            </w:r>
          </w:p>
        </w:tc>
        <w:tc>
          <w:tcPr>
            <w:tcW w:w="7200" w:type="dxa"/>
            <w:gridSpan w:val="3"/>
            <w:tcBorders>
              <w:top w:val="single" w:color="auto" w:sz="6" w:space="0"/>
              <w:left w:val="single" w:color="auto" w:sz="6" w:space="0"/>
              <w:bottom w:val="single" w:color="auto" w:sz="6" w:space="0"/>
              <w:right w:val="double" w:color="auto" w:sz="4" w:space="0"/>
            </w:tcBorders>
            <w:noWrap/>
            <w:vAlign w:val="center"/>
          </w:tcPr>
          <w:p>
            <w:pPr>
              <w:rPr>
                <w:rFonts w:ascii="宋体" w:hAnsi="宋体"/>
                <w:color w:val="auto"/>
                <w:szCs w:val="21"/>
                <w:highlight w:val="none"/>
              </w:rPr>
            </w:pPr>
            <w:r>
              <w:rPr>
                <w:rFonts w:hint="eastAsia" w:ascii="宋体" w:hAnsi="宋体"/>
                <w:color w:val="auto"/>
                <w:szCs w:val="21"/>
                <w:highlight w:val="none"/>
              </w:rPr>
              <w:t>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元人民币整</w:t>
            </w:r>
          </w:p>
          <w:p>
            <w:pPr>
              <w:spacing w:line="420" w:lineRule="exact"/>
              <w:rPr>
                <w:rFonts w:ascii="宋体" w:hAnsi="宋体"/>
                <w:color w:val="auto"/>
                <w:szCs w:val="21"/>
                <w:highlight w:val="none"/>
              </w:rPr>
            </w:pPr>
            <w:r>
              <w:rPr>
                <w:rFonts w:hint="eastAsia" w:ascii="宋体" w:hAnsi="宋体"/>
                <w:color w:val="auto"/>
                <w:szCs w:val="21"/>
                <w:highlight w:val="none"/>
              </w:rPr>
              <w:t>小写：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noWrap/>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合同</w:t>
            </w:r>
            <w:r>
              <w:rPr>
                <w:rFonts w:ascii="宋体" w:hAnsi="宋体"/>
                <w:color w:val="auto"/>
                <w:szCs w:val="21"/>
                <w:highlight w:val="none"/>
              </w:rPr>
              <w:t>周期</w:t>
            </w:r>
          </w:p>
        </w:tc>
        <w:tc>
          <w:tcPr>
            <w:tcW w:w="7200" w:type="dxa"/>
            <w:gridSpan w:val="3"/>
            <w:tcBorders>
              <w:top w:val="single" w:color="auto" w:sz="6" w:space="0"/>
              <w:left w:val="single" w:color="auto" w:sz="6" w:space="0"/>
              <w:bottom w:val="single" w:color="auto" w:sz="6" w:space="0"/>
              <w:right w:val="double" w:color="auto" w:sz="4" w:space="0"/>
            </w:tcBorders>
            <w:noWrap/>
            <w:vAlign w:val="center"/>
          </w:tcPr>
          <w:p>
            <w:pPr>
              <w:spacing w:line="420" w:lineRule="exact"/>
              <w:rPr>
                <w:rFonts w:ascii="宋体" w:hAnsi="宋体"/>
                <w:i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ign w:val="center"/>
          </w:tcPr>
          <w:p>
            <w:pPr>
              <w:spacing w:line="420" w:lineRule="exact"/>
              <w:ind w:firstLine="210" w:firstLineChars="10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ign w:val="center"/>
          </w:tcPr>
          <w:p>
            <w:pPr>
              <w:spacing w:line="420" w:lineRule="exact"/>
              <w:jc w:val="center"/>
              <w:rPr>
                <w:rFonts w:ascii="宋体" w:hAnsi="宋体"/>
                <w:color w:val="auto"/>
                <w:szCs w:val="21"/>
                <w:highlight w:val="none"/>
              </w:rPr>
            </w:pPr>
            <w:r>
              <w:rPr>
                <w:rFonts w:ascii="宋体" w:hAnsi="宋体"/>
                <w:color w:val="auto"/>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ign w:val="center"/>
          </w:tcPr>
          <w:p>
            <w:pPr>
              <w:spacing w:line="420" w:lineRule="exact"/>
              <w:rPr>
                <w:rFonts w:ascii="宋体" w:hAnsi="宋体"/>
                <w:color w:val="auto"/>
                <w:szCs w:val="21"/>
                <w:highlight w:val="none"/>
              </w:rPr>
            </w:pPr>
          </w:p>
        </w:tc>
      </w:tr>
    </w:tbl>
    <w:p>
      <w:pPr>
        <w:adjustRightInd w:val="0"/>
        <w:snapToGrid w:val="0"/>
        <w:spacing w:line="360" w:lineRule="auto"/>
        <w:ind w:left="-88" w:leftChars="-42"/>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供应商（盖单位章）：</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法定代表人或其委托代理人签字：</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日期：年月日</w:t>
      </w:r>
    </w:p>
    <w:p>
      <w:pPr>
        <w:adjustRightInd w:val="0"/>
        <w:snapToGrid w:val="0"/>
        <w:rPr>
          <w:rFonts w:ascii="宋体" w:hAnsi="宋体"/>
          <w:color w:val="auto"/>
          <w:szCs w:val="21"/>
          <w:highlight w:val="none"/>
        </w:rPr>
      </w:pPr>
    </w:p>
    <w:p>
      <w:pPr>
        <w:spacing w:line="360" w:lineRule="exact"/>
        <w:outlineLvl w:val="0"/>
        <w:rPr>
          <w:rFonts w:ascii="宋体"/>
          <w:color w:val="auto"/>
          <w:highlight w:val="none"/>
        </w:rPr>
      </w:pPr>
    </w:p>
    <w:p>
      <w:pPr>
        <w:adjustRightInd w:val="0"/>
        <w:snapToGrid w:val="0"/>
        <w:spacing w:line="360" w:lineRule="auto"/>
        <w:ind w:left="-88" w:leftChars="-42"/>
        <w:rPr>
          <w:rFonts w:ascii="宋体" w:hAnsi="宋体"/>
          <w:color w:val="auto"/>
          <w:szCs w:val="21"/>
          <w:highlight w:val="none"/>
        </w:rPr>
      </w:pPr>
    </w:p>
    <w:p>
      <w:pPr>
        <w:adjustRightInd w:val="0"/>
        <w:snapToGrid w:val="0"/>
        <w:spacing w:line="360" w:lineRule="auto"/>
        <w:ind w:left="-88" w:leftChars="-42"/>
        <w:rPr>
          <w:rFonts w:ascii="宋体" w:hAnsi="宋体"/>
          <w:color w:val="auto"/>
          <w:szCs w:val="21"/>
          <w:highlight w:val="none"/>
        </w:rPr>
      </w:pPr>
    </w:p>
    <w:p>
      <w:pPr>
        <w:adjustRightInd w:val="0"/>
        <w:snapToGrid w:val="0"/>
        <w:spacing w:line="360" w:lineRule="auto"/>
        <w:ind w:left="-88" w:leftChars="-42"/>
        <w:rPr>
          <w:rFonts w:ascii="宋体" w:hAnsi="宋体"/>
          <w:color w:val="auto"/>
          <w:szCs w:val="21"/>
          <w:highlight w:val="none"/>
        </w:rPr>
      </w:pPr>
    </w:p>
    <w:p>
      <w:pPr>
        <w:adjustRightInd w:val="0"/>
        <w:snapToGrid w:val="0"/>
        <w:rPr>
          <w:rFonts w:ascii="黑体" w:hAnsi="宋体" w:eastAsia="黑体"/>
          <w:b/>
          <w:color w:val="auto"/>
          <w:sz w:val="24"/>
          <w:highlight w:val="none"/>
        </w:rPr>
        <w:sectPr>
          <w:headerReference r:id="rId6" w:type="default"/>
          <w:footerReference r:id="rId7" w:type="default"/>
          <w:pgSz w:w="11906" w:h="16838"/>
          <w:pgMar w:top="1474" w:right="1474" w:bottom="232" w:left="1588" w:header="851" w:footer="992" w:gutter="0"/>
          <w:cols w:space="720" w:num="1"/>
          <w:docGrid w:type="lines" w:linePitch="312" w:charSpace="0"/>
        </w:sectPr>
      </w:pPr>
    </w:p>
    <w:p>
      <w:pPr>
        <w:adjustRightInd w:val="0"/>
        <w:snapToGrid w:val="0"/>
        <w:rPr>
          <w:rFonts w:ascii="黑体" w:hAnsi="宋体" w:eastAsia="黑体"/>
          <w:color w:val="auto"/>
          <w:sz w:val="30"/>
          <w:szCs w:val="30"/>
          <w:highlight w:val="none"/>
        </w:rPr>
      </w:pPr>
      <w:r>
        <w:rPr>
          <w:rFonts w:hint="eastAsia" w:ascii="黑体" w:hAnsi="宋体" w:eastAsia="黑体"/>
          <w:color w:val="auto"/>
          <w:sz w:val="30"/>
          <w:szCs w:val="30"/>
          <w:highlight w:val="none"/>
        </w:rPr>
        <w:t>附件9-1</w:t>
      </w:r>
    </w:p>
    <w:p>
      <w:pPr>
        <w:adjustRightInd w:val="0"/>
        <w:snapToGrid w:val="0"/>
        <w:jc w:val="center"/>
        <w:rPr>
          <w:rFonts w:ascii="黑体" w:hAnsi="宋体" w:eastAsia="黑体"/>
          <w:color w:val="auto"/>
          <w:sz w:val="30"/>
          <w:szCs w:val="30"/>
          <w:highlight w:val="none"/>
        </w:rPr>
      </w:pPr>
      <w:r>
        <w:rPr>
          <w:rFonts w:hint="eastAsia" w:ascii="黑体" w:hAnsi="宋体" w:eastAsia="黑体"/>
          <w:color w:val="auto"/>
          <w:sz w:val="30"/>
          <w:szCs w:val="30"/>
          <w:highlight w:val="none"/>
        </w:rPr>
        <w:t>分项价格表</w:t>
      </w:r>
    </w:p>
    <w:p>
      <w:pPr>
        <w:spacing w:line="360" w:lineRule="exact"/>
        <w:rPr>
          <w:rFonts w:ascii="楷体_GB2312" w:eastAsia="楷体_GB2312"/>
          <w:b/>
          <w:color w:val="auto"/>
          <w:highlight w:val="none"/>
        </w:rPr>
      </w:pPr>
    </w:p>
    <w:p>
      <w:pPr>
        <w:spacing w:line="360" w:lineRule="exact"/>
        <w:ind w:firstLine="211" w:firstLineChars="100"/>
        <w:jc w:val="left"/>
        <w:rPr>
          <w:rFonts w:ascii="楷体_GB2312" w:eastAsia="楷体_GB2312"/>
          <w:b/>
          <w:color w:val="auto"/>
          <w:highlight w:val="none"/>
        </w:rPr>
      </w:pPr>
      <w:r>
        <w:rPr>
          <w:rFonts w:hint="eastAsia" w:ascii="楷体_GB2312" w:eastAsia="楷体_GB2312"/>
          <w:b/>
          <w:color w:val="auto"/>
          <w:highlight w:val="none"/>
        </w:rPr>
        <w:t>项目名称：</w:t>
      </w:r>
    </w:p>
    <w:p>
      <w:pPr>
        <w:spacing w:line="360" w:lineRule="exact"/>
        <w:ind w:left="210" w:leftChars="100" w:firstLine="0" w:firstLineChars="0"/>
        <w:jc w:val="left"/>
        <w:rPr>
          <w:rFonts w:ascii="楷体_GB2312" w:eastAsia="楷体_GB2312"/>
          <w:b/>
          <w:color w:val="auto"/>
          <w:highlight w:val="none"/>
        </w:rPr>
      </w:pPr>
      <w:r>
        <w:rPr>
          <w:rFonts w:hint="eastAsia" w:ascii="楷体_GB2312" w:eastAsia="楷体_GB2312"/>
          <w:b/>
          <w:color w:val="auto"/>
          <w:highlight w:val="none"/>
        </w:rPr>
        <w:t>包号：                                                                                                       金额单位：元</w:t>
      </w:r>
    </w:p>
    <w:tbl>
      <w:tblPr>
        <w:tblStyle w:val="41"/>
        <w:tblW w:w="0" w:type="auto"/>
        <w:tblInd w:w="28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056"/>
        <w:gridCol w:w="1056"/>
        <w:gridCol w:w="1056"/>
        <w:gridCol w:w="1476"/>
        <w:gridCol w:w="636"/>
        <w:gridCol w:w="636"/>
        <w:gridCol w:w="636"/>
        <w:gridCol w:w="846"/>
        <w:gridCol w:w="6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0" w:type="auto"/>
            <w:noWrap/>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服务名称</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品目分类</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计量单位</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具体要求说明</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单价</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数量</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小计</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政策功</w:t>
            </w:r>
          </w:p>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能编码</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合计</w:t>
            </w: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r>
    </w:tbl>
    <w:p>
      <w:pPr>
        <w:spacing w:line="360" w:lineRule="exact"/>
        <w:ind w:firstLine="211" w:firstLineChars="100"/>
        <w:rPr>
          <w:rFonts w:ascii="楷体_GB2312" w:eastAsia="楷体_GB2312"/>
          <w:b/>
          <w:color w:val="auto"/>
          <w:highlight w:val="none"/>
        </w:rPr>
      </w:pPr>
    </w:p>
    <w:p>
      <w:pPr>
        <w:adjustRightInd w:val="0"/>
        <w:snapToGrid w:val="0"/>
        <w:spacing w:line="360" w:lineRule="auto"/>
        <w:rPr>
          <w:rFonts w:ascii="宋体" w:hAnsi="宋体"/>
          <w:color w:val="auto"/>
          <w:szCs w:val="21"/>
          <w:highlight w:val="none"/>
          <w:u w:val="single"/>
        </w:rPr>
      </w:pPr>
      <w:r>
        <w:rPr>
          <w:rFonts w:hint="eastAsia" w:ascii="宋体" w:hAnsi="宋体"/>
          <w:color w:val="auto"/>
          <w:szCs w:val="21"/>
          <w:highlight w:val="none"/>
        </w:rPr>
        <w:t>报价金额合计：小写：大写：</w:t>
      </w:r>
    </w:p>
    <w:p>
      <w:pPr>
        <w:adjustRightInd w:val="0"/>
        <w:snapToGrid w:val="0"/>
        <w:spacing w:line="360" w:lineRule="auto"/>
        <w:ind w:left="-88" w:leftChars="-42"/>
        <w:rPr>
          <w:rFonts w:ascii="仿宋_GB2312" w:hAnsi="宋体" w:eastAsia="仿宋_GB2312"/>
          <w:color w:val="auto"/>
          <w:szCs w:val="21"/>
          <w:highlight w:val="none"/>
        </w:rPr>
      </w:pPr>
      <w:r>
        <w:rPr>
          <w:rFonts w:hint="eastAsia" w:ascii="仿宋_GB2312" w:hAnsi="宋体" w:eastAsia="仿宋_GB2312"/>
          <w:color w:val="auto"/>
          <w:szCs w:val="21"/>
          <w:highlight w:val="none"/>
        </w:rPr>
        <w:t>说明：</w:t>
      </w:r>
    </w:p>
    <w:p>
      <w:pPr>
        <w:adjustRightInd w:val="0"/>
        <w:snapToGrid w:val="0"/>
        <w:spacing w:line="360" w:lineRule="auto"/>
        <w:ind w:left="-88" w:leftChars="-42" w:firstLine="315" w:firstLineChars="150"/>
        <w:rPr>
          <w:rFonts w:ascii="仿宋_GB2312" w:hAnsi="宋体" w:eastAsia="仿宋_GB2312"/>
          <w:color w:val="auto"/>
          <w:szCs w:val="21"/>
          <w:highlight w:val="none"/>
        </w:rPr>
      </w:pPr>
      <w:r>
        <w:rPr>
          <w:rFonts w:hint="eastAsia" w:ascii="仿宋_GB2312" w:hAnsi="宋体" w:eastAsia="仿宋_GB2312"/>
          <w:color w:val="auto"/>
          <w:szCs w:val="21"/>
          <w:highlight w:val="none"/>
        </w:rPr>
        <w:t>1、本表包含磋商文件第四章《采购需求》或其他部分对该项目所有要求的详细报价。“合计”及“报价金额合计”应与附件9《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315" w:firstLineChars="150"/>
        <w:rPr>
          <w:rFonts w:ascii="仿宋_GB2312" w:hAnsi="宋体" w:eastAsia="仿宋_GB2312"/>
          <w:color w:val="auto"/>
          <w:szCs w:val="21"/>
          <w:highlight w:val="none"/>
        </w:rPr>
      </w:pPr>
      <w:r>
        <w:rPr>
          <w:rFonts w:hint="eastAsia" w:ascii="仿宋_GB2312" w:hAnsi="宋体" w:eastAsia="仿宋_GB2312"/>
          <w:color w:val="auto"/>
          <w:szCs w:val="21"/>
          <w:highlight w:val="none"/>
        </w:rPr>
        <w:t>2、“服务名称”是指整包分项服务的内容，品目分类是指分项服务费用构成的明细分类项。</w:t>
      </w:r>
    </w:p>
    <w:p>
      <w:pPr>
        <w:adjustRightInd w:val="0"/>
        <w:snapToGrid w:val="0"/>
        <w:spacing w:line="360" w:lineRule="auto"/>
        <w:ind w:left="-88" w:leftChars="-42"/>
        <w:jc w:val="center"/>
        <w:rPr>
          <w:rFonts w:ascii="黑体" w:eastAsia="黑体"/>
          <w:b/>
          <w:color w:val="auto"/>
          <w:sz w:val="32"/>
          <w:szCs w:val="32"/>
          <w:highlight w:val="none"/>
        </w:rPr>
      </w:pPr>
    </w:p>
    <w:p>
      <w:pPr>
        <w:adjustRightInd w:val="0"/>
        <w:snapToGrid w:val="0"/>
        <w:spacing w:line="360" w:lineRule="auto"/>
        <w:ind w:left="-88" w:leftChars="-42"/>
        <w:jc w:val="center"/>
        <w:rPr>
          <w:rFonts w:ascii="黑体" w:hAnsi="宋体" w:eastAsia="黑体"/>
          <w:color w:val="auto"/>
          <w:sz w:val="28"/>
          <w:szCs w:val="28"/>
          <w:highlight w:val="none"/>
        </w:rPr>
      </w:pPr>
      <w:r>
        <w:rPr>
          <w:rFonts w:hint="eastAsia" w:ascii="黑体" w:eastAsia="黑体"/>
          <w:b/>
          <w:color w:val="auto"/>
          <w:sz w:val="32"/>
          <w:szCs w:val="32"/>
          <w:highlight w:val="none"/>
        </w:rPr>
        <w:t>十</w:t>
      </w:r>
      <w:r>
        <w:rPr>
          <w:rFonts w:hint="eastAsia" w:ascii="黑体" w:eastAsia="黑体"/>
          <w:b/>
          <w:bCs/>
          <w:color w:val="auto"/>
          <w:sz w:val="32"/>
          <w:szCs w:val="32"/>
          <w:highlight w:val="none"/>
        </w:rPr>
        <w:t>、供应商认为需要提供的其它资料</w:t>
      </w:r>
    </w:p>
    <w:p>
      <w:pPr>
        <w:adjustRightInd w:val="0"/>
        <w:snapToGrid w:val="0"/>
        <w:spacing w:beforeLines="50" w:line="360" w:lineRule="auto"/>
        <w:jc w:val="center"/>
        <w:outlineLvl w:val="0"/>
        <w:rPr>
          <w:rFonts w:ascii="黑体" w:hAnsi="宋体" w:eastAsia="黑体"/>
          <w:b/>
          <w:color w:val="auto"/>
          <w:sz w:val="32"/>
          <w:szCs w:val="32"/>
          <w:highlight w:val="none"/>
        </w:rPr>
      </w:pPr>
    </w:p>
    <w:p>
      <w:pPr>
        <w:adjustRightInd w:val="0"/>
        <w:snapToGrid w:val="0"/>
        <w:spacing w:beforeLines="50" w:line="360" w:lineRule="auto"/>
        <w:jc w:val="center"/>
        <w:outlineLvl w:val="0"/>
        <w:rPr>
          <w:rFonts w:ascii="黑体" w:hAnsi="宋体" w:eastAsia="黑体"/>
          <w:b/>
          <w:color w:val="auto"/>
          <w:sz w:val="32"/>
          <w:szCs w:val="32"/>
          <w:highlight w:val="none"/>
        </w:rPr>
      </w:pPr>
    </w:p>
    <w:p>
      <w:pPr>
        <w:adjustRightInd w:val="0"/>
        <w:snapToGrid w:val="0"/>
        <w:spacing w:beforeLines="50" w:line="360" w:lineRule="auto"/>
        <w:jc w:val="center"/>
        <w:outlineLvl w:val="0"/>
        <w:rPr>
          <w:rFonts w:ascii="黑体" w:hAnsi="宋体" w:eastAsia="黑体"/>
          <w:b/>
          <w:color w:val="auto"/>
          <w:sz w:val="32"/>
          <w:szCs w:val="32"/>
          <w:highlight w:val="none"/>
        </w:rPr>
      </w:pPr>
    </w:p>
    <w:p>
      <w:pPr>
        <w:adjustRightInd w:val="0"/>
        <w:snapToGrid w:val="0"/>
        <w:spacing w:beforeLines="50" w:line="360" w:lineRule="auto"/>
        <w:jc w:val="center"/>
        <w:outlineLvl w:val="0"/>
        <w:rPr>
          <w:rFonts w:ascii="黑体" w:hAnsi="宋体" w:eastAsia="黑体"/>
          <w:b/>
          <w:color w:val="auto"/>
          <w:sz w:val="32"/>
          <w:szCs w:val="32"/>
          <w:highlight w:val="none"/>
        </w:rPr>
      </w:pPr>
      <w:r>
        <w:rPr>
          <w:rFonts w:ascii="黑体" w:hAnsi="宋体" w:eastAsia="黑体"/>
          <w:b/>
          <w:color w:val="auto"/>
          <w:sz w:val="32"/>
          <w:szCs w:val="32"/>
          <w:highlight w:val="none"/>
        </w:rPr>
        <w:br w:type="page"/>
      </w:r>
    </w:p>
    <w:p>
      <w:pPr>
        <w:adjustRightInd w:val="0"/>
        <w:snapToGrid w:val="0"/>
        <w:spacing w:beforeLines="50" w:line="360" w:lineRule="auto"/>
        <w:jc w:val="center"/>
        <w:outlineLvl w:val="0"/>
        <w:rPr>
          <w:rFonts w:ascii="黑体" w:hAnsi="宋体" w:eastAsia="黑体"/>
          <w:b/>
          <w:color w:val="auto"/>
          <w:sz w:val="32"/>
          <w:szCs w:val="32"/>
          <w:highlight w:val="none"/>
        </w:rPr>
      </w:pPr>
      <w:r>
        <w:rPr>
          <w:rFonts w:hint="eastAsia" w:ascii="黑体" w:hAnsi="宋体" w:eastAsia="黑体"/>
          <w:b/>
          <w:color w:val="auto"/>
          <w:sz w:val="32"/>
          <w:szCs w:val="32"/>
          <w:highlight w:val="none"/>
        </w:rPr>
        <w:t>十一、最后报价</w:t>
      </w:r>
    </w:p>
    <w:p>
      <w:pPr>
        <w:adjustRightInd w:val="0"/>
        <w:snapToGrid w:val="0"/>
        <w:ind w:left="-88" w:leftChars="-42"/>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说明：</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1、最后报价按第二章磋商须知第30条规定提供，格式按附件9、附件9-1提供。</w:t>
      </w:r>
    </w:p>
    <w:p>
      <w:pPr>
        <w:adjustRightInd w:val="0"/>
        <w:snapToGrid w:val="0"/>
        <w:spacing w:line="360" w:lineRule="auto"/>
        <w:ind w:left="-88" w:leftChars="-42" w:firstLine="525" w:firstLineChars="250"/>
        <w:rPr>
          <w:rFonts w:ascii="宋体" w:hAnsi="宋体"/>
          <w:color w:val="auto"/>
          <w:szCs w:val="21"/>
          <w:highlight w:val="none"/>
        </w:rPr>
      </w:pPr>
      <w:r>
        <w:rPr>
          <w:rFonts w:hint="eastAsia" w:ascii="宋体" w:hAnsi="宋体"/>
          <w:color w:val="auto"/>
          <w:szCs w:val="21"/>
          <w:highlight w:val="none"/>
        </w:rPr>
        <w:t>2、最后报价需填列报价一览表和分项价格表</w:t>
      </w:r>
      <w:r>
        <w:rPr>
          <w:rFonts w:hint="eastAsia" w:ascii="宋体" w:hAnsi="宋体" w:cs="宋体"/>
          <w:b/>
          <w:bCs/>
          <w:color w:val="auto"/>
          <w:sz w:val="21"/>
          <w:szCs w:val="21"/>
          <w:highlight w:val="none"/>
        </w:rPr>
        <w:t>（此表请各投标供应商单独准备并提前准备自行携带至开标会现场）</w:t>
      </w:r>
      <w:r>
        <w:rPr>
          <w:rFonts w:hint="eastAsia" w:ascii="宋体" w:hAnsi="宋体"/>
          <w:color w:val="auto"/>
          <w:szCs w:val="21"/>
          <w:highlight w:val="none"/>
        </w:rPr>
        <w:t>。</w:t>
      </w:r>
    </w:p>
    <w:p>
      <w:pPr>
        <w:adjustRightInd w:val="0"/>
        <w:snapToGrid w:val="0"/>
        <w:spacing w:line="360" w:lineRule="auto"/>
        <w:ind w:left="-88" w:leftChars="-42" w:firstLine="525" w:firstLineChars="250"/>
        <w:rPr>
          <w:rFonts w:ascii="宋体" w:hAnsi="宋体"/>
          <w:color w:val="auto"/>
          <w:szCs w:val="21"/>
          <w:highlight w:val="none"/>
        </w:rPr>
      </w:pPr>
      <w:bookmarkStart w:id="2" w:name="OLE_LINK20"/>
      <w:bookmarkStart w:id="3" w:name="OLE_LINK29"/>
      <w:r>
        <w:rPr>
          <w:rFonts w:hint="eastAsia" w:ascii="宋体" w:hAnsi="宋体"/>
          <w:color w:val="auto"/>
          <w:szCs w:val="21"/>
          <w:highlight w:val="none"/>
        </w:rPr>
        <w:t>3、最后报价表</w:t>
      </w:r>
      <w:bookmarkEnd w:id="2"/>
      <w:r>
        <w:rPr>
          <w:rFonts w:hint="eastAsia" w:ascii="宋体" w:hAnsi="宋体"/>
          <w:color w:val="auto"/>
          <w:szCs w:val="21"/>
          <w:highlight w:val="none"/>
        </w:rPr>
        <w:t>自行保管，不与响应文件一起递交。进行最后报价时由供应商法定代表人或其委托代理人填写并签字确认。</w:t>
      </w:r>
      <w:bookmarkEnd w:id="3"/>
    </w:p>
    <w:p>
      <w:pPr>
        <w:adjustRightInd w:val="0"/>
        <w:snapToGrid w:val="0"/>
        <w:spacing w:line="360" w:lineRule="auto"/>
        <w:ind w:left="-88" w:leftChars="-42" w:firstLine="525" w:firstLineChars="250"/>
        <w:rPr>
          <w:rFonts w:ascii="宋体" w:hAnsi="宋体"/>
          <w:color w:val="auto"/>
          <w:szCs w:val="21"/>
          <w:highlight w:val="none"/>
        </w:rPr>
      </w:pPr>
    </w:p>
    <w:p>
      <w:pPr>
        <w:rPr>
          <w:color w:val="auto"/>
          <w:highlight w:val="none"/>
        </w:rPr>
      </w:pPr>
    </w:p>
    <w:p>
      <w:pPr>
        <w:rPr>
          <w:color w:val="auto"/>
          <w:highlight w:val="none"/>
        </w:rPr>
      </w:pPr>
    </w:p>
    <w:sectPr>
      <w:pgSz w:w="11906" w:h="16838"/>
      <w:pgMar w:top="1474" w:right="1474" w:bottom="232"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ail">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pict>
        <v:line id="直线 4" o:spid="_x0000_s1026" o:spt="20" style="position:absolute;left:0pt;margin-left:0.45pt;margin-top:-0.35pt;height:0.05pt;width:441.75pt;z-index:251659264;mso-width-relative:page;mso-height-relative:page;" coordsize="21600,21600" o:gfxdata="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TSXf9MAAAAE&#10;AQAADwAAAAAAAAABACAAAAAiAAAAZHJzL2Rvd25yZXYueG1sUEsBAhQAFAAAAAgAh07iQBzLJJ7o&#10;AQAA3QMAAA4AAAAAAAAAAQAgAAAAIgEAAGRycy9lMm9Eb2MueG1sUEsFBgAAAAAGAAYAWQEAAHwF&#10;AAAAAA==&#10;">
          <v:path arrowok="t"/>
          <v:fill focussize="0,0"/>
          <v:stroke/>
          <v:imagedata o:title=""/>
          <o:lock v:ext="edit"/>
        </v:line>
      </w:pict>
    </w:r>
    <w:r>
      <w:pict>
        <v:shape id="_x0000_s1029" o:spid="_x0000_s1029" o:spt="202" type="#_x0000_t202" style="position:absolute;left:0pt;margin-left:186pt;margin-top:1.5pt;height:11.65pt;width:76.55pt;mso-position-horizontal-relative:margin;mso-wrap-style:none;z-index:251659264;mso-width-relative:page;mso-height-relative:page;" filled="f" stroked="f" coordsize="21600,21600" o:gfxdata="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U1fkdUAAAAIAQAADwAAAAAAAAABACAAAAAiAAAAZHJz&#10;L2Rvd25yZXYueG1sUEsBAhQAFAAAAAgAh07iQLW+WDPOAQAAlwMAAA4AAAAAAAAAAQAgAAAAJAEA&#10;AGRycy9lMm9Eb2MueG1sUEsFBgAAAAAGAAYAWQEAAGQFAAAAAA==&#10;">
          <v:path/>
          <v:fill on="f" focussize="0,0"/>
          <v:stroke on="f" joinstyle="miter"/>
          <v:imagedata o:title=""/>
          <o:lock v:ext="edit"/>
          <v:textbox inset="0mm,0mm,0mm,0mm" style="mso-fit-shape-to-text:t;">
            <w:txbxContent>
              <w:p>
                <w:pPr>
                  <w:pStyle w:val="28"/>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w:r>
    <w:r>
      <w:rPr>
        <w:rFonts w:hint="eastAsia"/>
      </w:rPr>
      <w:t>湖南中弘项目管理有限公司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5"/>
      </w:rPr>
    </w:pPr>
    <w:r>
      <w:fldChar w:fldCharType="begin"/>
    </w:r>
    <w:r>
      <w:rPr>
        <w:rStyle w:val="45"/>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pict>
        <v:line id="直线 6" o:spid="_x0000_s1028" o:spt="20" style="position:absolute;left:0pt;margin-left:0.45pt;margin-top:-0.35pt;height:0.05pt;width:441.75pt;z-index:251659264;mso-width-relative:page;mso-height-relative:page;" coordsize="21600,21600" o:gfxdata="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TSXf9MAAAAE&#10;AQAADwAAAAAAAAABACAAAAAiAAAAZHJzL2Rvd25yZXYueG1sUEsBAhQAFAAAAAgAh07iQGGVhtTo&#10;AQAA3QMAAA4AAAAAAAAAAQAgAAAAIgEAAGRycy9lMm9Eb2MueG1sUEsFBgAAAAAGAAYAWQEAAHwF&#10;AAAAAA==&#10;">
          <v:path arrowok="t"/>
          <v:fill focussize="0,0"/>
          <v:stroke/>
          <v:imagedata o:title=""/>
          <o:lock v:ext="edit"/>
        </v:line>
      </w:pict>
    </w:r>
    <w:r>
      <w:pict>
        <v:shape id="文本框 7" o:spid="_x0000_s1027" o:spt="202" type="#_x0000_t202" style="position:absolute;left:0pt;margin-left:186pt;margin-top:1.5pt;height:11.65pt;width:76.55pt;mso-position-horizontal-relative:margin;mso-wrap-style:none;z-index:251659264;mso-width-relative:page;mso-height-relative:page;" filled="f" stroked="f" coordsize="21600,21600" o:gfxdata="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1NX5HVAAAACAEAAA8AAAAAAAAAAQAgAAAAIgAAAGRy&#10;cy9kb3ducmV2LnhtbFBLAQIUABQAAAAIAIdO4kBYrccyzwEAAJcDAAAOAAAAAAAAAAEAIAAAACQB&#10;AABkcnMvZTJvRG9jLnhtbFBLBQYAAAAABgAGAFkBAABlBQAAAAA=&#10;">
          <v:path/>
          <v:fill on="f" focussize="0,0"/>
          <v:stroke on="f" joinstyle="miter"/>
          <v:imagedata o:title=""/>
          <o:lock v:ext="edit"/>
          <v:textbox inset="0mm,0mm,0mm,0mm" style="mso-fit-shape-to-text:t;">
            <w:txbxContent>
              <w:p>
                <w:pPr>
                  <w:pStyle w:val="28"/>
                </w:pPr>
                <w:r>
                  <w:rPr>
                    <w:rFonts w:hint="eastAsia"/>
                  </w:rPr>
                  <w:t xml:space="preserve">第 </w:t>
                </w:r>
                <w:r>
                  <w:fldChar w:fldCharType="begin"/>
                </w:r>
                <w:r>
                  <w:instrText xml:space="preserve"> PAGE  \* MERGEFORMAT </w:instrText>
                </w:r>
                <w:r>
                  <w:fldChar w:fldCharType="separate"/>
                </w:r>
                <w:r>
                  <w:t>14</w:t>
                </w:r>
                <w: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w:r>
    <w:r>
      <w:rPr>
        <w:rFonts w:hint="eastAsia"/>
      </w:rPr>
      <w:t>湖南中弘项目管理有限公司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_GB2312" w:eastAsia="仿宋_GB2312"/>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00263D"/>
    <w:multiLevelType w:val="singleLevel"/>
    <w:tmpl w:val="C400263D"/>
    <w:lvl w:ilvl="0" w:tentative="0">
      <w:start w:val="3"/>
      <w:numFmt w:val="chineseCounting"/>
      <w:suff w:val="space"/>
      <w:lvlText w:val="第%1章"/>
      <w:lvlJc w:val="left"/>
      <w:rPr>
        <w:rFonts w:hint="eastAsia"/>
      </w:rPr>
    </w:lvl>
  </w:abstractNum>
  <w:abstractNum w:abstractNumId="1">
    <w:nsid w:val="CD3B274E"/>
    <w:multiLevelType w:val="singleLevel"/>
    <w:tmpl w:val="CD3B274E"/>
    <w:lvl w:ilvl="0" w:tentative="0">
      <w:start w:val="2"/>
      <w:numFmt w:val="decimal"/>
      <w:suff w:val="nothing"/>
      <w:lvlText w:val="%1、"/>
      <w:lvlJc w:val="left"/>
    </w:lvl>
  </w:abstractNum>
  <w:abstractNum w:abstractNumId="2">
    <w:nsid w:val="DBE8C577"/>
    <w:multiLevelType w:val="singleLevel"/>
    <w:tmpl w:val="DBE8C577"/>
    <w:lvl w:ilvl="0" w:tentative="0">
      <w:start w:val="1"/>
      <w:numFmt w:val="decimal"/>
      <w:suff w:val="space"/>
      <w:lvlText w:val="%1."/>
      <w:lvlJc w:val="left"/>
      <w:pPr>
        <w:ind w:left="600" w:firstLine="0"/>
      </w:pPr>
    </w:lvl>
  </w:abstractNum>
  <w:abstractNum w:abstractNumId="3">
    <w:nsid w:val="11143538"/>
    <w:multiLevelType w:val="singleLevel"/>
    <w:tmpl w:val="11143538"/>
    <w:lvl w:ilvl="0" w:tentative="0">
      <w:start w:val="7"/>
      <w:numFmt w:val="chineseCounting"/>
      <w:suff w:val="nothing"/>
      <w:lvlText w:val="%1、"/>
      <w:lvlJc w:val="left"/>
      <w:rPr>
        <w:rFonts w:hint="eastAsia"/>
      </w:rPr>
    </w:lvl>
  </w:abstractNum>
  <w:abstractNum w:abstractNumId="4">
    <w:nsid w:val="2C2E6A84"/>
    <w:multiLevelType w:val="singleLevel"/>
    <w:tmpl w:val="2C2E6A84"/>
    <w:lvl w:ilvl="0" w:tentative="0">
      <w:start w:val="1"/>
      <w:numFmt w:val="decimal"/>
      <w:suff w:val="nothing"/>
      <w:lvlText w:val="%1、"/>
      <w:lvlJc w:val="left"/>
    </w:lvl>
  </w:abstractNum>
  <w:abstractNum w:abstractNumId="5">
    <w:nsid w:val="5E4D01F9"/>
    <w:multiLevelType w:val="multilevel"/>
    <w:tmpl w:val="5E4D01F9"/>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7DD8E922"/>
    <w:multiLevelType w:val="singleLevel"/>
    <w:tmpl w:val="7DD8E922"/>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D5A"/>
    <w:rsid w:val="000156E2"/>
    <w:rsid w:val="00024344"/>
    <w:rsid w:val="00025986"/>
    <w:rsid w:val="00026B4C"/>
    <w:rsid w:val="00026FD7"/>
    <w:rsid w:val="00027406"/>
    <w:rsid w:val="0002779F"/>
    <w:rsid w:val="00027D5B"/>
    <w:rsid w:val="000313EC"/>
    <w:rsid w:val="00034641"/>
    <w:rsid w:val="00037E98"/>
    <w:rsid w:val="00040D86"/>
    <w:rsid w:val="000441C7"/>
    <w:rsid w:val="00051E2A"/>
    <w:rsid w:val="00053DE3"/>
    <w:rsid w:val="000640EC"/>
    <w:rsid w:val="000641A5"/>
    <w:rsid w:val="000818D8"/>
    <w:rsid w:val="00081FA6"/>
    <w:rsid w:val="00086A97"/>
    <w:rsid w:val="000952E7"/>
    <w:rsid w:val="000A2941"/>
    <w:rsid w:val="000A3E58"/>
    <w:rsid w:val="000A604E"/>
    <w:rsid w:val="000B422C"/>
    <w:rsid w:val="000B6963"/>
    <w:rsid w:val="000C2B71"/>
    <w:rsid w:val="000C3661"/>
    <w:rsid w:val="000C5109"/>
    <w:rsid w:val="000C5BDA"/>
    <w:rsid w:val="000E1E33"/>
    <w:rsid w:val="000E430C"/>
    <w:rsid w:val="000F23B9"/>
    <w:rsid w:val="00100878"/>
    <w:rsid w:val="00106CB3"/>
    <w:rsid w:val="00107232"/>
    <w:rsid w:val="001148B0"/>
    <w:rsid w:val="0011494C"/>
    <w:rsid w:val="001256EF"/>
    <w:rsid w:val="00127819"/>
    <w:rsid w:val="001324C6"/>
    <w:rsid w:val="001344E3"/>
    <w:rsid w:val="001364C1"/>
    <w:rsid w:val="001416D5"/>
    <w:rsid w:val="00147E27"/>
    <w:rsid w:val="00154ED0"/>
    <w:rsid w:val="00160437"/>
    <w:rsid w:val="00164118"/>
    <w:rsid w:val="001652A3"/>
    <w:rsid w:val="00167D4D"/>
    <w:rsid w:val="00167E36"/>
    <w:rsid w:val="0017108F"/>
    <w:rsid w:val="00172007"/>
    <w:rsid w:val="00172683"/>
    <w:rsid w:val="00172AC1"/>
    <w:rsid w:val="00174093"/>
    <w:rsid w:val="00174AD2"/>
    <w:rsid w:val="0017639C"/>
    <w:rsid w:val="0018787D"/>
    <w:rsid w:val="00190F87"/>
    <w:rsid w:val="00194E27"/>
    <w:rsid w:val="00197DB3"/>
    <w:rsid w:val="001A0051"/>
    <w:rsid w:val="001A27C7"/>
    <w:rsid w:val="001A55E6"/>
    <w:rsid w:val="001B229F"/>
    <w:rsid w:val="001B56C9"/>
    <w:rsid w:val="001B6E2A"/>
    <w:rsid w:val="001B7F3D"/>
    <w:rsid w:val="001C30E6"/>
    <w:rsid w:val="001C598A"/>
    <w:rsid w:val="001C6863"/>
    <w:rsid w:val="001C7DB0"/>
    <w:rsid w:val="001C7EEC"/>
    <w:rsid w:val="001D1504"/>
    <w:rsid w:val="001D23F4"/>
    <w:rsid w:val="001D6192"/>
    <w:rsid w:val="001E0AF2"/>
    <w:rsid w:val="001F3061"/>
    <w:rsid w:val="00200EA4"/>
    <w:rsid w:val="002037B4"/>
    <w:rsid w:val="002037DB"/>
    <w:rsid w:val="00205190"/>
    <w:rsid w:val="00206968"/>
    <w:rsid w:val="00206FCE"/>
    <w:rsid w:val="00207162"/>
    <w:rsid w:val="00211C0E"/>
    <w:rsid w:val="002131F5"/>
    <w:rsid w:val="0021675C"/>
    <w:rsid w:val="002223E0"/>
    <w:rsid w:val="00223AAF"/>
    <w:rsid w:val="00226977"/>
    <w:rsid w:val="002270C6"/>
    <w:rsid w:val="0023455F"/>
    <w:rsid w:val="00234E98"/>
    <w:rsid w:val="002355BB"/>
    <w:rsid w:val="00242EFF"/>
    <w:rsid w:val="00243709"/>
    <w:rsid w:val="00245A92"/>
    <w:rsid w:val="002502DD"/>
    <w:rsid w:val="00266E91"/>
    <w:rsid w:val="00281493"/>
    <w:rsid w:val="00285665"/>
    <w:rsid w:val="002859F6"/>
    <w:rsid w:val="00290F35"/>
    <w:rsid w:val="00291C33"/>
    <w:rsid w:val="002942E2"/>
    <w:rsid w:val="00295E49"/>
    <w:rsid w:val="002A03CB"/>
    <w:rsid w:val="002A41F5"/>
    <w:rsid w:val="002A6ED0"/>
    <w:rsid w:val="002B4521"/>
    <w:rsid w:val="002B5F66"/>
    <w:rsid w:val="002B7325"/>
    <w:rsid w:val="002D54FC"/>
    <w:rsid w:val="002E2AB7"/>
    <w:rsid w:val="002E2BB7"/>
    <w:rsid w:val="002E356B"/>
    <w:rsid w:val="002E6042"/>
    <w:rsid w:val="002F0EFC"/>
    <w:rsid w:val="002F42D5"/>
    <w:rsid w:val="00301B5A"/>
    <w:rsid w:val="003060FB"/>
    <w:rsid w:val="003072D6"/>
    <w:rsid w:val="00311078"/>
    <w:rsid w:val="003136E5"/>
    <w:rsid w:val="00313BC8"/>
    <w:rsid w:val="0031417B"/>
    <w:rsid w:val="00317CD3"/>
    <w:rsid w:val="00321C75"/>
    <w:rsid w:val="003303DC"/>
    <w:rsid w:val="00331A2E"/>
    <w:rsid w:val="00332937"/>
    <w:rsid w:val="003333D7"/>
    <w:rsid w:val="00333943"/>
    <w:rsid w:val="00340105"/>
    <w:rsid w:val="003412D4"/>
    <w:rsid w:val="00342089"/>
    <w:rsid w:val="0034572F"/>
    <w:rsid w:val="003469E4"/>
    <w:rsid w:val="0035131B"/>
    <w:rsid w:val="0035331E"/>
    <w:rsid w:val="003610D2"/>
    <w:rsid w:val="0037058A"/>
    <w:rsid w:val="00374E53"/>
    <w:rsid w:val="00376191"/>
    <w:rsid w:val="003914B4"/>
    <w:rsid w:val="00391A73"/>
    <w:rsid w:val="003948FD"/>
    <w:rsid w:val="003A6117"/>
    <w:rsid w:val="003B0AFE"/>
    <w:rsid w:val="003B1744"/>
    <w:rsid w:val="003B6A76"/>
    <w:rsid w:val="003B780B"/>
    <w:rsid w:val="003C3A5C"/>
    <w:rsid w:val="003C3EAB"/>
    <w:rsid w:val="003C6100"/>
    <w:rsid w:val="003C7959"/>
    <w:rsid w:val="003D1521"/>
    <w:rsid w:val="003E18E1"/>
    <w:rsid w:val="003E1EFA"/>
    <w:rsid w:val="003E7B33"/>
    <w:rsid w:val="003F472F"/>
    <w:rsid w:val="003F4843"/>
    <w:rsid w:val="003F4E1C"/>
    <w:rsid w:val="003F6A20"/>
    <w:rsid w:val="003F7D02"/>
    <w:rsid w:val="00410033"/>
    <w:rsid w:val="0041158C"/>
    <w:rsid w:val="004117F0"/>
    <w:rsid w:val="00411C9F"/>
    <w:rsid w:val="00430191"/>
    <w:rsid w:val="00431725"/>
    <w:rsid w:val="004318F7"/>
    <w:rsid w:val="00432850"/>
    <w:rsid w:val="004409B2"/>
    <w:rsid w:val="00441209"/>
    <w:rsid w:val="00443104"/>
    <w:rsid w:val="004836CC"/>
    <w:rsid w:val="00483D0A"/>
    <w:rsid w:val="00485D13"/>
    <w:rsid w:val="0048677F"/>
    <w:rsid w:val="0049529F"/>
    <w:rsid w:val="00496D5A"/>
    <w:rsid w:val="004A0502"/>
    <w:rsid w:val="004A5608"/>
    <w:rsid w:val="004A7B3D"/>
    <w:rsid w:val="004B7380"/>
    <w:rsid w:val="004C3F73"/>
    <w:rsid w:val="004D1DC5"/>
    <w:rsid w:val="004F46DF"/>
    <w:rsid w:val="00504192"/>
    <w:rsid w:val="00504385"/>
    <w:rsid w:val="00515059"/>
    <w:rsid w:val="00522A24"/>
    <w:rsid w:val="0052705B"/>
    <w:rsid w:val="00530025"/>
    <w:rsid w:val="005325DA"/>
    <w:rsid w:val="005327B1"/>
    <w:rsid w:val="005436AA"/>
    <w:rsid w:val="00546417"/>
    <w:rsid w:val="00550DB2"/>
    <w:rsid w:val="00553640"/>
    <w:rsid w:val="00554044"/>
    <w:rsid w:val="00554C89"/>
    <w:rsid w:val="0056199A"/>
    <w:rsid w:val="00563F1D"/>
    <w:rsid w:val="00566DDF"/>
    <w:rsid w:val="00575F19"/>
    <w:rsid w:val="005770DF"/>
    <w:rsid w:val="00582329"/>
    <w:rsid w:val="00583097"/>
    <w:rsid w:val="00586507"/>
    <w:rsid w:val="00596362"/>
    <w:rsid w:val="00596918"/>
    <w:rsid w:val="005A22A2"/>
    <w:rsid w:val="005A2A0F"/>
    <w:rsid w:val="005A3897"/>
    <w:rsid w:val="005B1A4E"/>
    <w:rsid w:val="005B38E7"/>
    <w:rsid w:val="005B6E25"/>
    <w:rsid w:val="005C02DC"/>
    <w:rsid w:val="005C23A1"/>
    <w:rsid w:val="005D3F38"/>
    <w:rsid w:val="005D7ECA"/>
    <w:rsid w:val="005F23F3"/>
    <w:rsid w:val="005F5575"/>
    <w:rsid w:val="00601F43"/>
    <w:rsid w:val="00604017"/>
    <w:rsid w:val="00605A59"/>
    <w:rsid w:val="00612E59"/>
    <w:rsid w:val="00615D25"/>
    <w:rsid w:val="00621D98"/>
    <w:rsid w:val="00621E4F"/>
    <w:rsid w:val="006246A7"/>
    <w:rsid w:val="0063170F"/>
    <w:rsid w:val="006328FF"/>
    <w:rsid w:val="00633421"/>
    <w:rsid w:val="0063686A"/>
    <w:rsid w:val="00636A24"/>
    <w:rsid w:val="0064250B"/>
    <w:rsid w:val="00650AFD"/>
    <w:rsid w:val="0065196E"/>
    <w:rsid w:val="00654F84"/>
    <w:rsid w:val="006564CF"/>
    <w:rsid w:val="00657A60"/>
    <w:rsid w:val="00657D26"/>
    <w:rsid w:val="00660C14"/>
    <w:rsid w:val="006627D5"/>
    <w:rsid w:val="00672F09"/>
    <w:rsid w:val="00673AC8"/>
    <w:rsid w:val="006751BE"/>
    <w:rsid w:val="00677930"/>
    <w:rsid w:val="00682EB1"/>
    <w:rsid w:val="00687880"/>
    <w:rsid w:val="00687C90"/>
    <w:rsid w:val="006931C3"/>
    <w:rsid w:val="00693615"/>
    <w:rsid w:val="00693CB4"/>
    <w:rsid w:val="00695533"/>
    <w:rsid w:val="006956F6"/>
    <w:rsid w:val="006A1FCD"/>
    <w:rsid w:val="006A4B81"/>
    <w:rsid w:val="006B0A67"/>
    <w:rsid w:val="006B1413"/>
    <w:rsid w:val="006C1E31"/>
    <w:rsid w:val="006C5BCC"/>
    <w:rsid w:val="006C6DB0"/>
    <w:rsid w:val="006D1534"/>
    <w:rsid w:val="006D2B6F"/>
    <w:rsid w:val="006D5372"/>
    <w:rsid w:val="006D7616"/>
    <w:rsid w:val="006F1452"/>
    <w:rsid w:val="006F6654"/>
    <w:rsid w:val="00705812"/>
    <w:rsid w:val="0071222D"/>
    <w:rsid w:val="007145A9"/>
    <w:rsid w:val="007145DE"/>
    <w:rsid w:val="00715886"/>
    <w:rsid w:val="0072365F"/>
    <w:rsid w:val="00725169"/>
    <w:rsid w:val="00725B82"/>
    <w:rsid w:val="007352B2"/>
    <w:rsid w:val="007410F1"/>
    <w:rsid w:val="00741768"/>
    <w:rsid w:val="0074301E"/>
    <w:rsid w:val="00745F3E"/>
    <w:rsid w:val="0075074F"/>
    <w:rsid w:val="00752992"/>
    <w:rsid w:val="00754BFA"/>
    <w:rsid w:val="00754D46"/>
    <w:rsid w:val="007576C6"/>
    <w:rsid w:val="00763F0D"/>
    <w:rsid w:val="00767A67"/>
    <w:rsid w:val="0077024A"/>
    <w:rsid w:val="007708C1"/>
    <w:rsid w:val="00771233"/>
    <w:rsid w:val="007749B5"/>
    <w:rsid w:val="00776B96"/>
    <w:rsid w:val="007856CC"/>
    <w:rsid w:val="00786EE8"/>
    <w:rsid w:val="00793F05"/>
    <w:rsid w:val="007940D5"/>
    <w:rsid w:val="00794207"/>
    <w:rsid w:val="007970D6"/>
    <w:rsid w:val="007A2780"/>
    <w:rsid w:val="007A49E7"/>
    <w:rsid w:val="007A6607"/>
    <w:rsid w:val="007A780F"/>
    <w:rsid w:val="007B0B37"/>
    <w:rsid w:val="007C01D7"/>
    <w:rsid w:val="007C0604"/>
    <w:rsid w:val="007C0A90"/>
    <w:rsid w:val="007C504D"/>
    <w:rsid w:val="007D6AEC"/>
    <w:rsid w:val="007E397C"/>
    <w:rsid w:val="007E5C36"/>
    <w:rsid w:val="007E6442"/>
    <w:rsid w:val="007E6E3A"/>
    <w:rsid w:val="007E72DD"/>
    <w:rsid w:val="007F34A8"/>
    <w:rsid w:val="007F769F"/>
    <w:rsid w:val="00800C3F"/>
    <w:rsid w:val="00801BA0"/>
    <w:rsid w:val="00803C70"/>
    <w:rsid w:val="00805DF3"/>
    <w:rsid w:val="00805FC3"/>
    <w:rsid w:val="00807CE3"/>
    <w:rsid w:val="008109A2"/>
    <w:rsid w:val="00817C22"/>
    <w:rsid w:val="00820B50"/>
    <w:rsid w:val="008262E8"/>
    <w:rsid w:val="00833F9F"/>
    <w:rsid w:val="008358F5"/>
    <w:rsid w:val="00842ACB"/>
    <w:rsid w:val="00845C9E"/>
    <w:rsid w:val="008572CB"/>
    <w:rsid w:val="00861C90"/>
    <w:rsid w:val="00862398"/>
    <w:rsid w:val="008632AC"/>
    <w:rsid w:val="008708E7"/>
    <w:rsid w:val="00870E11"/>
    <w:rsid w:val="008717C0"/>
    <w:rsid w:val="00880173"/>
    <w:rsid w:val="008827A6"/>
    <w:rsid w:val="008842E6"/>
    <w:rsid w:val="00893F57"/>
    <w:rsid w:val="00894431"/>
    <w:rsid w:val="00895459"/>
    <w:rsid w:val="00897135"/>
    <w:rsid w:val="008A393D"/>
    <w:rsid w:val="008A4DF5"/>
    <w:rsid w:val="008A7CC6"/>
    <w:rsid w:val="008B6DC9"/>
    <w:rsid w:val="008C53E1"/>
    <w:rsid w:val="008C594B"/>
    <w:rsid w:val="008D0766"/>
    <w:rsid w:val="008D7819"/>
    <w:rsid w:val="008E0FD8"/>
    <w:rsid w:val="008E21D9"/>
    <w:rsid w:val="008F07F0"/>
    <w:rsid w:val="008F0AD3"/>
    <w:rsid w:val="008F4153"/>
    <w:rsid w:val="008F588B"/>
    <w:rsid w:val="00902444"/>
    <w:rsid w:val="00905608"/>
    <w:rsid w:val="00907F19"/>
    <w:rsid w:val="009115DA"/>
    <w:rsid w:val="00914B0C"/>
    <w:rsid w:val="009214D1"/>
    <w:rsid w:val="00927AE0"/>
    <w:rsid w:val="00935D10"/>
    <w:rsid w:val="00945FD8"/>
    <w:rsid w:val="009523FD"/>
    <w:rsid w:val="009532D2"/>
    <w:rsid w:val="00955E56"/>
    <w:rsid w:val="009562F0"/>
    <w:rsid w:val="00956526"/>
    <w:rsid w:val="00956A8A"/>
    <w:rsid w:val="00957320"/>
    <w:rsid w:val="00976258"/>
    <w:rsid w:val="00981256"/>
    <w:rsid w:val="00984D12"/>
    <w:rsid w:val="009864CB"/>
    <w:rsid w:val="009874F9"/>
    <w:rsid w:val="009914BD"/>
    <w:rsid w:val="0099340D"/>
    <w:rsid w:val="009A13E7"/>
    <w:rsid w:val="009A5828"/>
    <w:rsid w:val="009A590C"/>
    <w:rsid w:val="009A5BF8"/>
    <w:rsid w:val="009A751B"/>
    <w:rsid w:val="009B1053"/>
    <w:rsid w:val="009B1107"/>
    <w:rsid w:val="009B129A"/>
    <w:rsid w:val="009B4D48"/>
    <w:rsid w:val="009B630B"/>
    <w:rsid w:val="009C0915"/>
    <w:rsid w:val="009C1C6C"/>
    <w:rsid w:val="009C2C09"/>
    <w:rsid w:val="009C50E0"/>
    <w:rsid w:val="009D52D1"/>
    <w:rsid w:val="009E51AA"/>
    <w:rsid w:val="009F2A1B"/>
    <w:rsid w:val="009F2B85"/>
    <w:rsid w:val="009F3049"/>
    <w:rsid w:val="009F588C"/>
    <w:rsid w:val="009F6488"/>
    <w:rsid w:val="009F64B9"/>
    <w:rsid w:val="00A026F0"/>
    <w:rsid w:val="00A125C0"/>
    <w:rsid w:val="00A16084"/>
    <w:rsid w:val="00A23A01"/>
    <w:rsid w:val="00A27EAB"/>
    <w:rsid w:val="00A316DA"/>
    <w:rsid w:val="00A332E1"/>
    <w:rsid w:val="00A375C1"/>
    <w:rsid w:val="00A40014"/>
    <w:rsid w:val="00A40CB1"/>
    <w:rsid w:val="00A42E55"/>
    <w:rsid w:val="00A4677E"/>
    <w:rsid w:val="00A47F15"/>
    <w:rsid w:val="00A62BE8"/>
    <w:rsid w:val="00A64DD9"/>
    <w:rsid w:val="00A73333"/>
    <w:rsid w:val="00A74A2F"/>
    <w:rsid w:val="00A84EB2"/>
    <w:rsid w:val="00A91454"/>
    <w:rsid w:val="00A952D4"/>
    <w:rsid w:val="00A97BF2"/>
    <w:rsid w:val="00AA1061"/>
    <w:rsid w:val="00AA232A"/>
    <w:rsid w:val="00AA3B30"/>
    <w:rsid w:val="00AA5262"/>
    <w:rsid w:val="00AA5C6A"/>
    <w:rsid w:val="00AB10B3"/>
    <w:rsid w:val="00AB22F3"/>
    <w:rsid w:val="00AB2C4F"/>
    <w:rsid w:val="00AB6907"/>
    <w:rsid w:val="00AB7D38"/>
    <w:rsid w:val="00AC06D6"/>
    <w:rsid w:val="00AC3E7C"/>
    <w:rsid w:val="00AC542B"/>
    <w:rsid w:val="00AC7D43"/>
    <w:rsid w:val="00AC7D59"/>
    <w:rsid w:val="00AD0E2F"/>
    <w:rsid w:val="00AE77E6"/>
    <w:rsid w:val="00AE7FA6"/>
    <w:rsid w:val="00AF4888"/>
    <w:rsid w:val="00B10E7A"/>
    <w:rsid w:val="00B11E3E"/>
    <w:rsid w:val="00B15ACE"/>
    <w:rsid w:val="00B17CED"/>
    <w:rsid w:val="00B2517F"/>
    <w:rsid w:val="00B26B9C"/>
    <w:rsid w:val="00B273FE"/>
    <w:rsid w:val="00B3052D"/>
    <w:rsid w:val="00B308C9"/>
    <w:rsid w:val="00B30C84"/>
    <w:rsid w:val="00B3336F"/>
    <w:rsid w:val="00B34456"/>
    <w:rsid w:val="00B369DC"/>
    <w:rsid w:val="00B40087"/>
    <w:rsid w:val="00B428A4"/>
    <w:rsid w:val="00B57BDF"/>
    <w:rsid w:val="00B63832"/>
    <w:rsid w:val="00B728A0"/>
    <w:rsid w:val="00B812C2"/>
    <w:rsid w:val="00B82290"/>
    <w:rsid w:val="00B841F8"/>
    <w:rsid w:val="00B92DA7"/>
    <w:rsid w:val="00B93134"/>
    <w:rsid w:val="00BA0304"/>
    <w:rsid w:val="00BA4F58"/>
    <w:rsid w:val="00BB1202"/>
    <w:rsid w:val="00BB3D55"/>
    <w:rsid w:val="00BB403C"/>
    <w:rsid w:val="00BB4140"/>
    <w:rsid w:val="00BB4701"/>
    <w:rsid w:val="00BB75B7"/>
    <w:rsid w:val="00BC0183"/>
    <w:rsid w:val="00BC21EC"/>
    <w:rsid w:val="00BC55C8"/>
    <w:rsid w:val="00BC55F7"/>
    <w:rsid w:val="00BC6FB5"/>
    <w:rsid w:val="00BD4483"/>
    <w:rsid w:val="00BD4AA2"/>
    <w:rsid w:val="00BD4E66"/>
    <w:rsid w:val="00BD6233"/>
    <w:rsid w:val="00BD79AE"/>
    <w:rsid w:val="00BE2D5E"/>
    <w:rsid w:val="00BE3D6A"/>
    <w:rsid w:val="00BE6F2A"/>
    <w:rsid w:val="00BE7979"/>
    <w:rsid w:val="00BF2EA9"/>
    <w:rsid w:val="00C0044D"/>
    <w:rsid w:val="00C060F5"/>
    <w:rsid w:val="00C1377A"/>
    <w:rsid w:val="00C13B20"/>
    <w:rsid w:val="00C15122"/>
    <w:rsid w:val="00C21AFB"/>
    <w:rsid w:val="00C2392D"/>
    <w:rsid w:val="00C25F04"/>
    <w:rsid w:val="00C260B7"/>
    <w:rsid w:val="00C41F91"/>
    <w:rsid w:val="00C42477"/>
    <w:rsid w:val="00C522DF"/>
    <w:rsid w:val="00C56C51"/>
    <w:rsid w:val="00C57C3C"/>
    <w:rsid w:val="00C61250"/>
    <w:rsid w:val="00C62431"/>
    <w:rsid w:val="00C65B62"/>
    <w:rsid w:val="00C7679B"/>
    <w:rsid w:val="00C778B3"/>
    <w:rsid w:val="00C81ABB"/>
    <w:rsid w:val="00C852BE"/>
    <w:rsid w:val="00CA1109"/>
    <w:rsid w:val="00CA41FC"/>
    <w:rsid w:val="00CA455D"/>
    <w:rsid w:val="00CA46B8"/>
    <w:rsid w:val="00CB46B9"/>
    <w:rsid w:val="00CC248F"/>
    <w:rsid w:val="00CC315C"/>
    <w:rsid w:val="00CC3BE6"/>
    <w:rsid w:val="00CC4D47"/>
    <w:rsid w:val="00CD0E59"/>
    <w:rsid w:val="00CE14C1"/>
    <w:rsid w:val="00CE4F1E"/>
    <w:rsid w:val="00CF349B"/>
    <w:rsid w:val="00CF6AD7"/>
    <w:rsid w:val="00D013F6"/>
    <w:rsid w:val="00D01C2F"/>
    <w:rsid w:val="00D05F96"/>
    <w:rsid w:val="00D06BB5"/>
    <w:rsid w:val="00D07CF8"/>
    <w:rsid w:val="00D13454"/>
    <w:rsid w:val="00D208D1"/>
    <w:rsid w:val="00D20F37"/>
    <w:rsid w:val="00D23CD8"/>
    <w:rsid w:val="00D24208"/>
    <w:rsid w:val="00D25042"/>
    <w:rsid w:val="00D352E7"/>
    <w:rsid w:val="00D363F3"/>
    <w:rsid w:val="00D4038E"/>
    <w:rsid w:val="00D47185"/>
    <w:rsid w:val="00D501B5"/>
    <w:rsid w:val="00D57AE7"/>
    <w:rsid w:val="00D64D31"/>
    <w:rsid w:val="00D65F4C"/>
    <w:rsid w:val="00D660DE"/>
    <w:rsid w:val="00D67805"/>
    <w:rsid w:val="00D72DDF"/>
    <w:rsid w:val="00D734A0"/>
    <w:rsid w:val="00D739BE"/>
    <w:rsid w:val="00D8155D"/>
    <w:rsid w:val="00D81E99"/>
    <w:rsid w:val="00D87130"/>
    <w:rsid w:val="00D90BFB"/>
    <w:rsid w:val="00D97374"/>
    <w:rsid w:val="00D97FB8"/>
    <w:rsid w:val="00DA5406"/>
    <w:rsid w:val="00DA5ED4"/>
    <w:rsid w:val="00DB4FC9"/>
    <w:rsid w:val="00DB591E"/>
    <w:rsid w:val="00DB6063"/>
    <w:rsid w:val="00DC35CA"/>
    <w:rsid w:val="00DC3616"/>
    <w:rsid w:val="00DC3754"/>
    <w:rsid w:val="00DC4295"/>
    <w:rsid w:val="00DC448F"/>
    <w:rsid w:val="00DC5D3F"/>
    <w:rsid w:val="00DC612D"/>
    <w:rsid w:val="00DD07D9"/>
    <w:rsid w:val="00DD2ACC"/>
    <w:rsid w:val="00DD534A"/>
    <w:rsid w:val="00DD71E2"/>
    <w:rsid w:val="00DD7982"/>
    <w:rsid w:val="00DE2A57"/>
    <w:rsid w:val="00DE3DE8"/>
    <w:rsid w:val="00DE70C9"/>
    <w:rsid w:val="00DF1A93"/>
    <w:rsid w:val="00DF6442"/>
    <w:rsid w:val="00E01D63"/>
    <w:rsid w:val="00E11B41"/>
    <w:rsid w:val="00E15F46"/>
    <w:rsid w:val="00E237A4"/>
    <w:rsid w:val="00E2441B"/>
    <w:rsid w:val="00E25A4D"/>
    <w:rsid w:val="00E266D6"/>
    <w:rsid w:val="00E30E6B"/>
    <w:rsid w:val="00E33411"/>
    <w:rsid w:val="00E3428B"/>
    <w:rsid w:val="00E407B4"/>
    <w:rsid w:val="00E408B8"/>
    <w:rsid w:val="00E429CE"/>
    <w:rsid w:val="00E4489A"/>
    <w:rsid w:val="00E4608F"/>
    <w:rsid w:val="00E46FE9"/>
    <w:rsid w:val="00E50550"/>
    <w:rsid w:val="00E6289C"/>
    <w:rsid w:val="00E71D13"/>
    <w:rsid w:val="00E72A6C"/>
    <w:rsid w:val="00E75528"/>
    <w:rsid w:val="00E80736"/>
    <w:rsid w:val="00E8777E"/>
    <w:rsid w:val="00E95E80"/>
    <w:rsid w:val="00EA3A50"/>
    <w:rsid w:val="00EA5F90"/>
    <w:rsid w:val="00EA7928"/>
    <w:rsid w:val="00EB6998"/>
    <w:rsid w:val="00EB6A3C"/>
    <w:rsid w:val="00EC73E2"/>
    <w:rsid w:val="00ED0F8F"/>
    <w:rsid w:val="00ED3E23"/>
    <w:rsid w:val="00EE04A0"/>
    <w:rsid w:val="00EE1CAC"/>
    <w:rsid w:val="00EE48CF"/>
    <w:rsid w:val="00EE5FF0"/>
    <w:rsid w:val="00EE6864"/>
    <w:rsid w:val="00EF0DCF"/>
    <w:rsid w:val="00EF3179"/>
    <w:rsid w:val="00F008A6"/>
    <w:rsid w:val="00F076A2"/>
    <w:rsid w:val="00F11A54"/>
    <w:rsid w:val="00F12723"/>
    <w:rsid w:val="00F146A1"/>
    <w:rsid w:val="00F156A1"/>
    <w:rsid w:val="00F2096E"/>
    <w:rsid w:val="00F20AF0"/>
    <w:rsid w:val="00F22952"/>
    <w:rsid w:val="00F22CF7"/>
    <w:rsid w:val="00F24C96"/>
    <w:rsid w:val="00F27C91"/>
    <w:rsid w:val="00F32D01"/>
    <w:rsid w:val="00F40707"/>
    <w:rsid w:val="00F4072F"/>
    <w:rsid w:val="00F4114D"/>
    <w:rsid w:val="00F4215A"/>
    <w:rsid w:val="00F4629B"/>
    <w:rsid w:val="00F52E4A"/>
    <w:rsid w:val="00F55193"/>
    <w:rsid w:val="00F57737"/>
    <w:rsid w:val="00F57B52"/>
    <w:rsid w:val="00F620DD"/>
    <w:rsid w:val="00F70AAC"/>
    <w:rsid w:val="00F71C06"/>
    <w:rsid w:val="00F724DF"/>
    <w:rsid w:val="00F735A7"/>
    <w:rsid w:val="00F75F80"/>
    <w:rsid w:val="00F85688"/>
    <w:rsid w:val="00F857EE"/>
    <w:rsid w:val="00F901DE"/>
    <w:rsid w:val="00F902AA"/>
    <w:rsid w:val="00F942F9"/>
    <w:rsid w:val="00FA1877"/>
    <w:rsid w:val="00FA58BB"/>
    <w:rsid w:val="00FB3A4E"/>
    <w:rsid w:val="00FB747D"/>
    <w:rsid w:val="00FB7B9F"/>
    <w:rsid w:val="00FC6B39"/>
    <w:rsid w:val="00FD04F4"/>
    <w:rsid w:val="00FE05AD"/>
    <w:rsid w:val="00FE0768"/>
    <w:rsid w:val="00FE1CF8"/>
    <w:rsid w:val="00FE2A2C"/>
    <w:rsid w:val="00FE397A"/>
    <w:rsid w:val="00FE7F23"/>
    <w:rsid w:val="00FF56B6"/>
    <w:rsid w:val="01104FA9"/>
    <w:rsid w:val="0139013F"/>
    <w:rsid w:val="015A4A5C"/>
    <w:rsid w:val="017963F2"/>
    <w:rsid w:val="01B07871"/>
    <w:rsid w:val="01EB334F"/>
    <w:rsid w:val="02064C24"/>
    <w:rsid w:val="023C442F"/>
    <w:rsid w:val="025D1FC9"/>
    <w:rsid w:val="026216A0"/>
    <w:rsid w:val="03036CCA"/>
    <w:rsid w:val="0306440E"/>
    <w:rsid w:val="03581005"/>
    <w:rsid w:val="03C973BC"/>
    <w:rsid w:val="04234642"/>
    <w:rsid w:val="042A038D"/>
    <w:rsid w:val="043A3DB0"/>
    <w:rsid w:val="043E1909"/>
    <w:rsid w:val="04817B95"/>
    <w:rsid w:val="04A02504"/>
    <w:rsid w:val="04AC0E00"/>
    <w:rsid w:val="04AE34A5"/>
    <w:rsid w:val="04BB6D8A"/>
    <w:rsid w:val="04EB7293"/>
    <w:rsid w:val="05026B7D"/>
    <w:rsid w:val="05465902"/>
    <w:rsid w:val="054C05E3"/>
    <w:rsid w:val="05983972"/>
    <w:rsid w:val="05D1065B"/>
    <w:rsid w:val="05DE4DFC"/>
    <w:rsid w:val="064B7C09"/>
    <w:rsid w:val="065F633D"/>
    <w:rsid w:val="06786C5F"/>
    <w:rsid w:val="06A317B3"/>
    <w:rsid w:val="06EA1069"/>
    <w:rsid w:val="07535A3E"/>
    <w:rsid w:val="07547B1B"/>
    <w:rsid w:val="07974060"/>
    <w:rsid w:val="079C0B7B"/>
    <w:rsid w:val="07A44B8F"/>
    <w:rsid w:val="07B17B0E"/>
    <w:rsid w:val="07D06D0A"/>
    <w:rsid w:val="07FB7FBA"/>
    <w:rsid w:val="0816294D"/>
    <w:rsid w:val="08261ECF"/>
    <w:rsid w:val="08546D38"/>
    <w:rsid w:val="086C49CD"/>
    <w:rsid w:val="08A07A83"/>
    <w:rsid w:val="08A83CD9"/>
    <w:rsid w:val="08E2715B"/>
    <w:rsid w:val="08F47030"/>
    <w:rsid w:val="090855F1"/>
    <w:rsid w:val="09635AF2"/>
    <w:rsid w:val="096432BC"/>
    <w:rsid w:val="09A87602"/>
    <w:rsid w:val="09CE6A8F"/>
    <w:rsid w:val="09D73C16"/>
    <w:rsid w:val="09EA145C"/>
    <w:rsid w:val="0A043B21"/>
    <w:rsid w:val="0A406D43"/>
    <w:rsid w:val="0A5213BE"/>
    <w:rsid w:val="0A877841"/>
    <w:rsid w:val="0A9613C8"/>
    <w:rsid w:val="0AA628F2"/>
    <w:rsid w:val="0AB62A21"/>
    <w:rsid w:val="0AC12269"/>
    <w:rsid w:val="0ADC117D"/>
    <w:rsid w:val="0B071399"/>
    <w:rsid w:val="0B08445E"/>
    <w:rsid w:val="0B691417"/>
    <w:rsid w:val="0B6E0ED5"/>
    <w:rsid w:val="0B7530E7"/>
    <w:rsid w:val="0B8B6DEC"/>
    <w:rsid w:val="0B922EA7"/>
    <w:rsid w:val="0BA571DC"/>
    <w:rsid w:val="0BAE58FB"/>
    <w:rsid w:val="0BB63111"/>
    <w:rsid w:val="0BE80212"/>
    <w:rsid w:val="0BEE1446"/>
    <w:rsid w:val="0C244072"/>
    <w:rsid w:val="0C400934"/>
    <w:rsid w:val="0C6B43D8"/>
    <w:rsid w:val="0C7A4C60"/>
    <w:rsid w:val="0CB14A79"/>
    <w:rsid w:val="0CCA5B84"/>
    <w:rsid w:val="0CE65454"/>
    <w:rsid w:val="0D016AD4"/>
    <w:rsid w:val="0D0C6832"/>
    <w:rsid w:val="0D0F2D45"/>
    <w:rsid w:val="0D103E47"/>
    <w:rsid w:val="0D1D668D"/>
    <w:rsid w:val="0D606148"/>
    <w:rsid w:val="0D735EF6"/>
    <w:rsid w:val="0DD42BE5"/>
    <w:rsid w:val="0DDC1598"/>
    <w:rsid w:val="0DFA4078"/>
    <w:rsid w:val="0E1E4915"/>
    <w:rsid w:val="0E306E07"/>
    <w:rsid w:val="0E593AA2"/>
    <w:rsid w:val="0E677D1F"/>
    <w:rsid w:val="0E887D4D"/>
    <w:rsid w:val="0EB15E2C"/>
    <w:rsid w:val="0EB64E20"/>
    <w:rsid w:val="0F220CC2"/>
    <w:rsid w:val="0F424B6C"/>
    <w:rsid w:val="0F4668EC"/>
    <w:rsid w:val="0F5C7D4F"/>
    <w:rsid w:val="0F656B2A"/>
    <w:rsid w:val="0F7E7467"/>
    <w:rsid w:val="0F9825D4"/>
    <w:rsid w:val="0FDB0748"/>
    <w:rsid w:val="100C3B9E"/>
    <w:rsid w:val="101B307A"/>
    <w:rsid w:val="101B65EB"/>
    <w:rsid w:val="10336D97"/>
    <w:rsid w:val="1041140A"/>
    <w:rsid w:val="1047693E"/>
    <w:rsid w:val="10E2050E"/>
    <w:rsid w:val="10E86587"/>
    <w:rsid w:val="10F25CDF"/>
    <w:rsid w:val="111B6757"/>
    <w:rsid w:val="113F7DE0"/>
    <w:rsid w:val="115F51C5"/>
    <w:rsid w:val="118E640E"/>
    <w:rsid w:val="11F71FAA"/>
    <w:rsid w:val="11FC1BEE"/>
    <w:rsid w:val="120164B7"/>
    <w:rsid w:val="121E7923"/>
    <w:rsid w:val="12283B69"/>
    <w:rsid w:val="123F262C"/>
    <w:rsid w:val="124F4DAC"/>
    <w:rsid w:val="12916155"/>
    <w:rsid w:val="129C021C"/>
    <w:rsid w:val="12B85778"/>
    <w:rsid w:val="12BC542A"/>
    <w:rsid w:val="12C24900"/>
    <w:rsid w:val="12C453BF"/>
    <w:rsid w:val="12EF1911"/>
    <w:rsid w:val="132856EC"/>
    <w:rsid w:val="134A6F1A"/>
    <w:rsid w:val="13543D52"/>
    <w:rsid w:val="136B5352"/>
    <w:rsid w:val="137923B6"/>
    <w:rsid w:val="13A65056"/>
    <w:rsid w:val="14061863"/>
    <w:rsid w:val="140C67C0"/>
    <w:rsid w:val="142E0462"/>
    <w:rsid w:val="143123D2"/>
    <w:rsid w:val="14AF2655"/>
    <w:rsid w:val="14BD53D8"/>
    <w:rsid w:val="14DD4BEC"/>
    <w:rsid w:val="14EC2521"/>
    <w:rsid w:val="14FF3866"/>
    <w:rsid w:val="15971D14"/>
    <w:rsid w:val="159D7460"/>
    <w:rsid w:val="16100C18"/>
    <w:rsid w:val="16480B42"/>
    <w:rsid w:val="16647DA4"/>
    <w:rsid w:val="16662794"/>
    <w:rsid w:val="167748BC"/>
    <w:rsid w:val="16C659E2"/>
    <w:rsid w:val="17016285"/>
    <w:rsid w:val="1708363A"/>
    <w:rsid w:val="1719212B"/>
    <w:rsid w:val="173E4BD4"/>
    <w:rsid w:val="176B6023"/>
    <w:rsid w:val="176B60CE"/>
    <w:rsid w:val="180C1711"/>
    <w:rsid w:val="182C3C4D"/>
    <w:rsid w:val="186F6FAC"/>
    <w:rsid w:val="187415A5"/>
    <w:rsid w:val="189B4AB4"/>
    <w:rsid w:val="18E85CFA"/>
    <w:rsid w:val="19032896"/>
    <w:rsid w:val="19294927"/>
    <w:rsid w:val="195C5D9D"/>
    <w:rsid w:val="196E5BAA"/>
    <w:rsid w:val="197A0860"/>
    <w:rsid w:val="197B380B"/>
    <w:rsid w:val="199A74C1"/>
    <w:rsid w:val="199E1FF5"/>
    <w:rsid w:val="19CA4A14"/>
    <w:rsid w:val="19E62E39"/>
    <w:rsid w:val="1A1A2E55"/>
    <w:rsid w:val="1A1B37EB"/>
    <w:rsid w:val="1A577590"/>
    <w:rsid w:val="1A7A5EA0"/>
    <w:rsid w:val="1A9475B7"/>
    <w:rsid w:val="1AB42E61"/>
    <w:rsid w:val="1AC709D2"/>
    <w:rsid w:val="1AC92C60"/>
    <w:rsid w:val="1ADC6FB0"/>
    <w:rsid w:val="1AF17B62"/>
    <w:rsid w:val="1B062572"/>
    <w:rsid w:val="1B116C72"/>
    <w:rsid w:val="1B6934E0"/>
    <w:rsid w:val="1B784C36"/>
    <w:rsid w:val="1B906D5D"/>
    <w:rsid w:val="1BAF17F3"/>
    <w:rsid w:val="1BD17C56"/>
    <w:rsid w:val="1BEA4079"/>
    <w:rsid w:val="1BF535F0"/>
    <w:rsid w:val="1C2A1DCD"/>
    <w:rsid w:val="1C5C394E"/>
    <w:rsid w:val="1C633379"/>
    <w:rsid w:val="1CAC0E19"/>
    <w:rsid w:val="1CFF1930"/>
    <w:rsid w:val="1D0B2D43"/>
    <w:rsid w:val="1D1C78C7"/>
    <w:rsid w:val="1D2755A5"/>
    <w:rsid w:val="1D3D29DC"/>
    <w:rsid w:val="1D575CEE"/>
    <w:rsid w:val="1D810258"/>
    <w:rsid w:val="1D8733E6"/>
    <w:rsid w:val="1DB45168"/>
    <w:rsid w:val="1DB50C8E"/>
    <w:rsid w:val="1DDD4887"/>
    <w:rsid w:val="1E1A0245"/>
    <w:rsid w:val="1E2E3A02"/>
    <w:rsid w:val="1E3B0F26"/>
    <w:rsid w:val="1E4139F1"/>
    <w:rsid w:val="1EAC7DC7"/>
    <w:rsid w:val="1ED101EC"/>
    <w:rsid w:val="1ED637D6"/>
    <w:rsid w:val="1EEE2C57"/>
    <w:rsid w:val="1EF1438F"/>
    <w:rsid w:val="1F1C0CCA"/>
    <w:rsid w:val="1F287560"/>
    <w:rsid w:val="1F2C4BFE"/>
    <w:rsid w:val="1F372164"/>
    <w:rsid w:val="1F545BD3"/>
    <w:rsid w:val="1FB005C6"/>
    <w:rsid w:val="1FBC243D"/>
    <w:rsid w:val="1FC12221"/>
    <w:rsid w:val="1FE45401"/>
    <w:rsid w:val="1FF16993"/>
    <w:rsid w:val="1FF77FCE"/>
    <w:rsid w:val="20125B86"/>
    <w:rsid w:val="20161017"/>
    <w:rsid w:val="20362BF4"/>
    <w:rsid w:val="20531614"/>
    <w:rsid w:val="20823E3C"/>
    <w:rsid w:val="20962D32"/>
    <w:rsid w:val="20A70202"/>
    <w:rsid w:val="20A8139E"/>
    <w:rsid w:val="20DA673E"/>
    <w:rsid w:val="20F622B2"/>
    <w:rsid w:val="2113720E"/>
    <w:rsid w:val="21203404"/>
    <w:rsid w:val="2131724F"/>
    <w:rsid w:val="21390EA7"/>
    <w:rsid w:val="21410A64"/>
    <w:rsid w:val="21835CCA"/>
    <w:rsid w:val="2185520C"/>
    <w:rsid w:val="218C6937"/>
    <w:rsid w:val="21A51A8C"/>
    <w:rsid w:val="21B917A2"/>
    <w:rsid w:val="22347002"/>
    <w:rsid w:val="223A133A"/>
    <w:rsid w:val="2241056F"/>
    <w:rsid w:val="224672A9"/>
    <w:rsid w:val="227B4C29"/>
    <w:rsid w:val="228722F8"/>
    <w:rsid w:val="22B362D3"/>
    <w:rsid w:val="22BC06B1"/>
    <w:rsid w:val="22E0269A"/>
    <w:rsid w:val="22E03B50"/>
    <w:rsid w:val="22FC34E5"/>
    <w:rsid w:val="22FE30EC"/>
    <w:rsid w:val="230B5BEF"/>
    <w:rsid w:val="230E47F5"/>
    <w:rsid w:val="23197971"/>
    <w:rsid w:val="232075CE"/>
    <w:rsid w:val="237D7D5A"/>
    <w:rsid w:val="23B10A3C"/>
    <w:rsid w:val="23C629FD"/>
    <w:rsid w:val="23C80574"/>
    <w:rsid w:val="23D270FF"/>
    <w:rsid w:val="23E63D80"/>
    <w:rsid w:val="242839BB"/>
    <w:rsid w:val="242B1505"/>
    <w:rsid w:val="242D7CAF"/>
    <w:rsid w:val="247E1E16"/>
    <w:rsid w:val="24B73794"/>
    <w:rsid w:val="24EA077B"/>
    <w:rsid w:val="24FA2C89"/>
    <w:rsid w:val="252A759E"/>
    <w:rsid w:val="252C29D4"/>
    <w:rsid w:val="25AA297A"/>
    <w:rsid w:val="25C03443"/>
    <w:rsid w:val="25F47D7B"/>
    <w:rsid w:val="26101EE1"/>
    <w:rsid w:val="262D6D85"/>
    <w:rsid w:val="26441C68"/>
    <w:rsid w:val="265F3133"/>
    <w:rsid w:val="266757E3"/>
    <w:rsid w:val="267F6564"/>
    <w:rsid w:val="26AE6133"/>
    <w:rsid w:val="26C53243"/>
    <w:rsid w:val="26CF7C23"/>
    <w:rsid w:val="275E5F5C"/>
    <w:rsid w:val="2768178B"/>
    <w:rsid w:val="27725541"/>
    <w:rsid w:val="27BD4793"/>
    <w:rsid w:val="27FD7984"/>
    <w:rsid w:val="27FE4FE2"/>
    <w:rsid w:val="28133D91"/>
    <w:rsid w:val="281B20DE"/>
    <w:rsid w:val="28214ACC"/>
    <w:rsid w:val="28296358"/>
    <w:rsid w:val="28925A10"/>
    <w:rsid w:val="28C806B8"/>
    <w:rsid w:val="28CE6431"/>
    <w:rsid w:val="28E20048"/>
    <w:rsid w:val="29053EB1"/>
    <w:rsid w:val="29107D3E"/>
    <w:rsid w:val="296D41DE"/>
    <w:rsid w:val="296E14AB"/>
    <w:rsid w:val="29702CFC"/>
    <w:rsid w:val="29AA2408"/>
    <w:rsid w:val="29BF41C7"/>
    <w:rsid w:val="29D86134"/>
    <w:rsid w:val="2A3E76CE"/>
    <w:rsid w:val="2A4A49E9"/>
    <w:rsid w:val="2A757D74"/>
    <w:rsid w:val="2A7738DF"/>
    <w:rsid w:val="2AAC6CFF"/>
    <w:rsid w:val="2AC33ADC"/>
    <w:rsid w:val="2AE37DD7"/>
    <w:rsid w:val="2AFF5FFC"/>
    <w:rsid w:val="2B1B6918"/>
    <w:rsid w:val="2B2445A3"/>
    <w:rsid w:val="2B2A67FA"/>
    <w:rsid w:val="2B5971EB"/>
    <w:rsid w:val="2B625A51"/>
    <w:rsid w:val="2B6930F9"/>
    <w:rsid w:val="2B726FD6"/>
    <w:rsid w:val="2B795779"/>
    <w:rsid w:val="2B7B3FBF"/>
    <w:rsid w:val="2B8228D5"/>
    <w:rsid w:val="2C0E4041"/>
    <w:rsid w:val="2C0F2627"/>
    <w:rsid w:val="2C3C6BD3"/>
    <w:rsid w:val="2C3D448F"/>
    <w:rsid w:val="2C682C54"/>
    <w:rsid w:val="2C782EFB"/>
    <w:rsid w:val="2C9223CE"/>
    <w:rsid w:val="2C94061C"/>
    <w:rsid w:val="2CB02A93"/>
    <w:rsid w:val="2CBC4D16"/>
    <w:rsid w:val="2CCB45BF"/>
    <w:rsid w:val="2D0758FB"/>
    <w:rsid w:val="2D4171E9"/>
    <w:rsid w:val="2D495003"/>
    <w:rsid w:val="2D871F38"/>
    <w:rsid w:val="2DAF516B"/>
    <w:rsid w:val="2DBC741F"/>
    <w:rsid w:val="2DDB1CE4"/>
    <w:rsid w:val="2E082192"/>
    <w:rsid w:val="2E120D83"/>
    <w:rsid w:val="2E7F12F0"/>
    <w:rsid w:val="2E862D8E"/>
    <w:rsid w:val="2EA93630"/>
    <w:rsid w:val="2EC94A68"/>
    <w:rsid w:val="2ECE6BEE"/>
    <w:rsid w:val="2F011EEE"/>
    <w:rsid w:val="2F0917EC"/>
    <w:rsid w:val="2F24468A"/>
    <w:rsid w:val="2F3B2C1F"/>
    <w:rsid w:val="2F41579E"/>
    <w:rsid w:val="2F531D5F"/>
    <w:rsid w:val="2F552D1A"/>
    <w:rsid w:val="2FA84A1C"/>
    <w:rsid w:val="2FBE6FFA"/>
    <w:rsid w:val="30117892"/>
    <w:rsid w:val="301C659A"/>
    <w:rsid w:val="302F2A41"/>
    <w:rsid w:val="303B69A6"/>
    <w:rsid w:val="305773CB"/>
    <w:rsid w:val="30883101"/>
    <w:rsid w:val="30933467"/>
    <w:rsid w:val="30B2715F"/>
    <w:rsid w:val="30B56DD9"/>
    <w:rsid w:val="30FF0CAD"/>
    <w:rsid w:val="311B4116"/>
    <w:rsid w:val="31395AB5"/>
    <w:rsid w:val="31473B65"/>
    <w:rsid w:val="31532FC8"/>
    <w:rsid w:val="315C7420"/>
    <w:rsid w:val="31A85A08"/>
    <w:rsid w:val="31AE11C3"/>
    <w:rsid w:val="322722CA"/>
    <w:rsid w:val="32466483"/>
    <w:rsid w:val="324A2FDA"/>
    <w:rsid w:val="325F275B"/>
    <w:rsid w:val="327663B3"/>
    <w:rsid w:val="329C411C"/>
    <w:rsid w:val="32B57DD4"/>
    <w:rsid w:val="32BE0D2B"/>
    <w:rsid w:val="32D04CDC"/>
    <w:rsid w:val="332B0C17"/>
    <w:rsid w:val="33365356"/>
    <w:rsid w:val="334066C9"/>
    <w:rsid w:val="336B1CD3"/>
    <w:rsid w:val="33FF3F03"/>
    <w:rsid w:val="34012E3B"/>
    <w:rsid w:val="347B611B"/>
    <w:rsid w:val="34A2141D"/>
    <w:rsid w:val="34AC2C68"/>
    <w:rsid w:val="34BD21D1"/>
    <w:rsid w:val="34F07E95"/>
    <w:rsid w:val="35664AA4"/>
    <w:rsid w:val="35A979F5"/>
    <w:rsid w:val="35AF085F"/>
    <w:rsid w:val="35ED6541"/>
    <w:rsid w:val="360B40A9"/>
    <w:rsid w:val="36335148"/>
    <w:rsid w:val="364674A3"/>
    <w:rsid w:val="36894232"/>
    <w:rsid w:val="36DE5214"/>
    <w:rsid w:val="37090026"/>
    <w:rsid w:val="37334AE5"/>
    <w:rsid w:val="37515A4D"/>
    <w:rsid w:val="37630DED"/>
    <w:rsid w:val="37825767"/>
    <w:rsid w:val="37825931"/>
    <w:rsid w:val="37851ECD"/>
    <w:rsid w:val="37A625E6"/>
    <w:rsid w:val="37CD6505"/>
    <w:rsid w:val="37CF1423"/>
    <w:rsid w:val="380D38EC"/>
    <w:rsid w:val="38585D27"/>
    <w:rsid w:val="389A7182"/>
    <w:rsid w:val="38A5510E"/>
    <w:rsid w:val="39170B16"/>
    <w:rsid w:val="392C4716"/>
    <w:rsid w:val="396E42DA"/>
    <w:rsid w:val="398B17DB"/>
    <w:rsid w:val="39BB6CB4"/>
    <w:rsid w:val="39D4280C"/>
    <w:rsid w:val="39EE3B59"/>
    <w:rsid w:val="39F51F73"/>
    <w:rsid w:val="39FC188C"/>
    <w:rsid w:val="3A0035FC"/>
    <w:rsid w:val="3A34715F"/>
    <w:rsid w:val="3A4A37DD"/>
    <w:rsid w:val="3A4A53F7"/>
    <w:rsid w:val="3A56643F"/>
    <w:rsid w:val="3ADB164F"/>
    <w:rsid w:val="3ADD51E5"/>
    <w:rsid w:val="3AE34E9D"/>
    <w:rsid w:val="3AEA08CC"/>
    <w:rsid w:val="3B2068FF"/>
    <w:rsid w:val="3B4B3FAC"/>
    <w:rsid w:val="3B4B725D"/>
    <w:rsid w:val="3B5C277E"/>
    <w:rsid w:val="3B6313EA"/>
    <w:rsid w:val="3B6E5B3D"/>
    <w:rsid w:val="3B867DEB"/>
    <w:rsid w:val="3BAC4D6B"/>
    <w:rsid w:val="3C0F7963"/>
    <w:rsid w:val="3C1B2DE1"/>
    <w:rsid w:val="3C3551B3"/>
    <w:rsid w:val="3C546B57"/>
    <w:rsid w:val="3C68571B"/>
    <w:rsid w:val="3C6B7AA5"/>
    <w:rsid w:val="3C6C74AF"/>
    <w:rsid w:val="3CC03FB9"/>
    <w:rsid w:val="3CC121DF"/>
    <w:rsid w:val="3CC54C54"/>
    <w:rsid w:val="3CE6640C"/>
    <w:rsid w:val="3D09513A"/>
    <w:rsid w:val="3D277048"/>
    <w:rsid w:val="3D290547"/>
    <w:rsid w:val="3D8D2C3C"/>
    <w:rsid w:val="3DB24E60"/>
    <w:rsid w:val="3DE21605"/>
    <w:rsid w:val="3DF363FA"/>
    <w:rsid w:val="3E321FAF"/>
    <w:rsid w:val="3E36597C"/>
    <w:rsid w:val="3E4F1C5D"/>
    <w:rsid w:val="3E6B2A80"/>
    <w:rsid w:val="3E81108F"/>
    <w:rsid w:val="3E9B4E4A"/>
    <w:rsid w:val="3EA148DE"/>
    <w:rsid w:val="3EAA48BC"/>
    <w:rsid w:val="3EC20830"/>
    <w:rsid w:val="3EC90A28"/>
    <w:rsid w:val="3F390AA1"/>
    <w:rsid w:val="3F4F1BC8"/>
    <w:rsid w:val="3F7542BF"/>
    <w:rsid w:val="3F7E09AD"/>
    <w:rsid w:val="3F885692"/>
    <w:rsid w:val="3F932030"/>
    <w:rsid w:val="3F99603E"/>
    <w:rsid w:val="3FC86C9D"/>
    <w:rsid w:val="40205AC3"/>
    <w:rsid w:val="402232D8"/>
    <w:rsid w:val="40410CBA"/>
    <w:rsid w:val="407358F5"/>
    <w:rsid w:val="40944F52"/>
    <w:rsid w:val="40A43727"/>
    <w:rsid w:val="40D1416F"/>
    <w:rsid w:val="410610F1"/>
    <w:rsid w:val="41076333"/>
    <w:rsid w:val="410F79F7"/>
    <w:rsid w:val="413167DB"/>
    <w:rsid w:val="418D641C"/>
    <w:rsid w:val="41933CB4"/>
    <w:rsid w:val="41C012CA"/>
    <w:rsid w:val="42354E31"/>
    <w:rsid w:val="423746CF"/>
    <w:rsid w:val="42544794"/>
    <w:rsid w:val="427B0D99"/>
    <w:rsid w:val="42F530F1"/>
    <w:rsid w:val="43140E2E"/>
    <w:rsid w:val="432336AA"/>
    <w:rsid w:val="4337609E"/>
    <w:rsid w:val="43477B71"/>
    <w:rsid w:val="43546840"/>
    <w:rsid w:val="43B76FCD"/>
    <w:rsid w:val="43D24CAF"/>
    <w:rsid w:val="43E338B4"/>
    <w:rsid w:val="441A1306"/>
    <w:rsid w:val="447A4300"/>
    <w:rsid w:val="4482150A"/>
    <w:rsid w:val="448F6BB0"/>
    <w:rsid w:val="4495004F"/>
    <w:rsid w:val="44BE5E30"/>
    <w:rsid w:val="44E52071"/>
    <w:rsid w:val="45194FD2"/>
    <w:rsid w:val="452268D6"/>
    <w:rsid w:val="457860C2"/>
    <w:rsid w:val="458C14F2"/>
    <w:rsid w:val="459407D3"/>
    <w:rsid w:val="45D140FD"/>
    <w:rsid w:val="45F708E3"/>
    <w:rsid w:val="45FE72BB"/>
    <w:rsid w:val="46043E5B"/>
    <w:rsid w:val="4622592C"/>
    <w:rsid w:val="466800BA"/>
    <w:rsid w:val="46731B85"/>
    <w:rsid w:val="46B208D0"/>
    <w:rsid w:val="46BB6673"/>
    <w:rsid w:val="46D17311"/>
    <w:rsid w:val="46D34531"/>
    <w:rsid w:val="46EF2A16"/>
    <w:rsid w:val="470F6AB6"/>
    <w:rsid w:val="472A6CDC"/>
    <w:rsid w:val="473A392F"/>
    <w:rsid w:val="473E2AFE"/>
    <w:rsid w:val="47467FC5"/>
    <w:rsid w:val="4769016A"/>
    <w:rsid w:val="478706BC"/>
    <w:rsid w:val="479348E5"/>
    <w:rsid w:val="47E35E77"/>
    <w:rsid w:val="481C2BAD"/>
    <w:rsid w:val="483E1E38"/>
    <w:rsid w:val="489425B4"/>
    <w:rsid w:val="490F7748"/>
    <w:rsid w:val="491D6136"/>
    <w:rsid w:val="492A117E"/>
    <w:rsid w:val="49396A38"/>
    <w:rsid w:val="49430418"/>
    <w:rsid w:val="494525AA"/>
    <w:rsid w:val="494962E5"/>
    <w:rsid w:val="4955797E"/>
    <w:rsid w:val="497C6D1E"/>
    <w:rsid w:val="497E62BE"/>
    <w:rsid w:val="499C1316"/>
    <w:rsid w:val="49A20803"/>
    <w:rsid w:val="49B47823"/>
    <w:rsid w:val="49CB2EBB"/>
    <w:rsid w:val="49EE59C1"/>
    <w:rsid w:val="4A097CB2"/>
    <w:rsid w:val="4A16682A"/>
    <w:rsid w:val="4A231503"/>
    <w:rsid w:val="4A26459C"/>
    <w:rsid w:val="4A96569D"/>
    <w:rsid w:val="4ACF5A3F"/>
    <w:rsid w:val="4AE93BD1"/>
    <w:rsid w:val="4B245572"/>
    <w:rsid w:val="4B2B48A3"/>
    <w:rsid w:val="4B4C634E"/>
    <w:rsid w:val="4BAA3C1C"/>
    <w:rsid w:val="4BEE1291"/>
    <w:rsid w:val="4BFE4083"/>
    <w:rsid w:val="4C1C2584"/>
    <w:rsid w:val="4C2863CC"/>
    <w:rsid w:val="4C4E77AD"/>
    <w:rsid w:val="4C6A0D5A"/>
    <w:rsid w:val="4C9E5AEF"/>
    <w:rsid w:val="4CA33C57"/>
    <w:rsid w:val="4CC7218D"/>
    <w:rsid w:val="4CDD7F9B"/>
    <w:rsid w:val="4D011421"/>
    <w:rsid w:val="4D0215EA"/>
    <w:rsid w:val="4D2114B6"/>
    <w:rsid w:val="4D36552E"/>
    <w:rsid w:val="4D4B23C6"/>
    <w:rsid w:val="4D642881"/>
    <w:rsid w:val="4D9A1D42"/>
    <w:rsid w:val="4DAF4FCE"/>
    <w:rsid w:val="4DF74148"/>
    <w:rsid w:val="4E0E2A06"/>
    <w:rsid w:val="4E160458"/>
    <w:rsid w:val="4E2F1CD1"/>
    <w:rsid w:val="4E3119C7"/>
    <w:rsid w:val="4E387AD3"/>
    <w:rsid w:val="4E585787"/>
    <w:rsid w:val="4E5C16AF"/>
    <w:rsid w:val="4E5C3E65"/>
    <w:rsid w:val="4E804DBE"/>
    <w:rsid w:val="4E8054B5"/>
    <w:rsid w:val="4E933F8D"/>
    <w:rsid w:val="4EBB3DB0"/>
    <w:rsid w:val="4F2756D4"/>
    <w:rsid w:val="4F2A2C28"/>
    <w:rsid w:val="4F3119A2"/>
    <w:rsid w:val="4F4277AB"/>
    <w:rsid w:val="4F485422"/>
    <w:rsid w:val="4F531E07"/>
    <w:rsid w:val="4F9F622B"/>
    <w:rsid w:val="4FA33E6F"/>
    <w:rsid w:val="4FAF0318"/>
    <w:rsid w:val="4FD87BEA"/>
    <w:rsid w:val="502C243F"/>
    <w:rsid w:val="503617B6"/>
    <w:rsid w:val="50365C92"/>
    <w:rsid w:val="5071535A"/>
    <w:rsid w:val="50774FDD"/>
    <w:rsid w:val="50776A80"/>
    <w:rsid w:val="50B43398"/>
    <w:rsid w:val="50D325AD"/>
    <w:rsid w:val="50DD0C63"/>
    <w:rsid w:val="50F80102"/>
    <w:rsid w:val="510F4AB8"/>
    <w:rsid w:val="51130199"/>
    <w:rsid w:val="512F6EFC"/>
    <w:rsid w:val="513B19B0"/>
    <w:rsid w:val="514B331F"/>
    <w:rsid w:val="516A5722"/>
    <w:rsid w:val="51707238"/>
    <w:rsid w:val="51956E63"/>
    <w:rsid w:val="51D42955"/>
    <w:rsid w:val="51E90311"/>
    <w:rsid w:val="520E65C3"/>
    <w:rsid w:val="521153C9"/>
    <w:rsid w:val="521B05ED"/>
    <w:rsid w:val="524F63EF"/>
    <w:rsid w:val="52842134"/>
    <w:rsid w:val="528A2FA5"/>
    <w:rsid w:val="52A31E46"/>
    <w:rsid w:val="52F563EB"/>
    <w:rsid w:val="5304063C"/>
    <w:rsid w:val="532E2351"/>
    <w:rsid w:val="534B7A7F"/>
    <w:rsid w:val="534E076A"/>
    <w:rsid w:val="535B3DBF"/>
    <w:rsid w:val="535C3B43"/>
    <w:rsid w:val="536F08F9"/>
    <w:rsid w:val="53704EEF"/>
    <w:rsid w:val="537B4840"/>
    <w:rsid w:val="539C4EF3"/>
    <w:rsid w:val="53C658A0"/>
    <w:rsid w:val="53E43307"/>
    <w:rsid w:val="53F2517B"/>
    <w:rsid w:val="53F45445"/>
    <w:rsid w:val="54090B5E"/>
    <w:rsid w:val="54213E50"/>
    <w:rsid w:val="542F38E7"/>
    <w:rsid w:val="543E1A00"/>
    <w:rsid w:val="54430B33"/>
    <w:rsid w:val="545E5951"/>
    <w:rsid w:val="546246DB"/>
    <w:rsid w:val="54720F05"/>
    <w:rsid w:val="548069F0"/>
    <w:rsid w:val="54A96DE4"/>
    <w:rsid w:val="54AB7DC0"/>
    <w:rsid w:val="54B40CB0"/>
    <w:rsid w:val="54C50C33"/>
    <w:rsid w:val="54C80A5E"/>
    <w:rsid w:val="54DC4564"/>
    <w:rsid w:val="55345C03"/>
    <w:rsid w:val="55951271"/>
    <w:rsid w:val="559E303D"/>
    <w:rsid w:val="55A25D37"/>
    <w:rsid w:val="55D37A09"/>
    <w:rsid w:val="562B3207"/>
    <w:rsid w:val="5637578A"/>
    <w:rsid w:val="564F611C"/>
    <w:rsid w:val="565654DA"/>
    <w:rsid w:val="56610DCC"/>
    <w:rsid w:val="56984858"/>
    <w:rsid w:val="56C8001C"/>
    <w:rsid w:val="56CC0536"/>
    <w:rsid w:val="56D26EEC"/>
    <w:rsid w:val="56F21349"/>
    <w:rsid w:val="56F75C04"/>
    <w:rsid w:val="57131A87"/>
    <w:rsid w:val="5734774A"/>
    <w:rsid w:val="57424336"/>
    <w:rsid w:val="577A1FCB"/>
    <w:rsid w:val="578013E5"/>
    <w:rsid w:val="578F63CC"/>
    <w:rsid w:val="57BC797F"/>
    <w:rsid w:val="57BD4957"/>
    <w:rsid w:val="57D10333"/>
    <w:rsid w:val="57EF6946"/>
    <w:rsid w:val="57F151A3"/>
    <w:rsid w:val="580C3891"/>
    <w:rsid w:val="581A05E2"/>
    <w:rsid w:val="581D668D"/>
    <w:rsid w:val="5826050A"/>
    <w:rsid w:val="58536769"/>
    <w:rsid w:val="58775463"/>
    <w:rsid w:val="58A23CE2"/>
    <w:rsid w:val="58C42E9B"/>
    <w:rsid w:val="590C12C6"/>
    <w:rsid w:val="59454D05"/>
    <w:rsid w:val="595374EF"/>
    <w:rsid w:val="5956783B"/>
    <w:rsid w:val="598D7FD9"/>
    <w:rsid w:val="59A96BCB"/>
    <w:rsid w:val="59B03AE0"/>
    <w:rsid w:val="59BF5A7D"/>
    <w:rsid w:val="59C2679A"/>
    <w:rsid w:val="59D4014C"/>
    <w:rsid w:val="59DA22F0"/>
    <w:rsid w:val="59E70909"/>
    <w:rsid w:val="59F21A88"/>
    <w:rsid w:val="59FD1A54"/>
    <w:rsid w:val="5A120804"/>
    <w:rsid w:val="5A1E7DAD"/>
    <w:rsid w:val="5A3F0B64"/>
    <w:rsid w:val="5A550C9A"/>
    <w:rsid w:val="5A9264D6"/>
    <w:rsid w:val="5A963D05"/>
    <w:rsid w:val="5A9A5D51"/>
    <w:rsid w:val="5AB962BD"/>
    <w:rsid w:val="5AC81786"/>
    <w:rsid w:val="5AC91832"/>
    <w:rsid w:val="5ADB6E77"/>
    <w:rsid w:val="5AE04EA0"/>
    <w:rsid w:val="5AE16F90"/>
    <w:rsid w:val="5AE779BD"/>
    <w:rsid w:val="5AEA7766"/>
    <w:rsid w:val="5AFF3DB8"/>
    <w:rsid w:val="5B31634E"/>
    <w:rsid w:val="5B3509D2"/>
    <w:rsid w:val="5B3C4A22"/>
    <w:rsid w:val="5B662E1C"/>
    <w:rsid w:val="5B977F0C"/>
    <w:rsid w:val="5BAE0969"/>
    <w:rsid w:val="5BAE4DBB"/>
    <w:rsid w:val="5BD607FA"/>
    <w:rsid w:val="5BE371E7"/>
    <w:rsid w:val="5BE7263D"/>
    <w:rsid w:val="5C1E327D"/>
    <w:rsid w:val="5C1E6A2E"/>
    <w:rsid w:val="5C5C50B2"/>
    <w:rsid w:val="5C652C14"/>
    <w:rsid w:val="5C8A5DFF"/>
    <w:rsid w:val="5CB91409"/>
    <w:rsid w:val="5CC4011D"/>
    <w:rsid w:val="5CF11918"/>
    <w:rsid w:val="5CFD2402"/>
    <w:rsid w:val="5D027D8B"/>
    <w:rsid w:val="5D1164F8"/>
    <w:rsid w:val="5D412630"/>
    <w:rsid w:val="5D445CC4"/>
    <w:rsid w:val="5D5C1792"/>
    <w:rsid w:val="5DBC6FD9"/>
    <w:rsid w:val="5DD82342"/>
    <w:rsid w:val="5DE77187"/>
    <w:rsid w:val="5DEA6682"/>
    <w:rsid w:val="5DF04BBE"/>
    <w:rsid w:val="5E1A2E16"/>
    <w:rsid w:val="5E341292"/>
    <w:rsid w:val="5E8427C4"/>
    <w:rsid w:val="5E865647"/>
    <w:rsid w:val="5E8C23DA"/>
    <w:rsid w:val="5E950EFF"/>
    <w:rsid w:val="5ED03D5E"/>
    <w:rsid w:val="5ED75DFF"/>
    <w:rsid w:val="5EEA5577"/>
    <w:rsid w:val="5EEC667E"/>
    <w:rsid w:val="5F201D59"/>
    <w:rsid w:val="5F216CBC"/>
    <w:rsid w:val="5F4E4217"/>
    <w:rsid w:val="5F971A4E"/>
    <w:rsid w:val="5FAA510C"/>
    <w:rsid w:val="5FC14242"/>
    <w:rsid w:val="5FCB3633"/>
    <w:rsid w:val="5FCF5775"/>
    <w:rsid w:val="5FFE206B"/>
    <w:rsid w:val="60080069"/>
    <w:rsid w:val="60107E68"/>
    <w:rsid w:val="60131CD4"/>
    <w:rsid w:val="601D26CD"/>
    <w:rsid w:val="60503F00"/>
    <w:rsid w:val="60506FB3"/>
    <w:rsid w:val="606E22CF"/>
    <w:rsid w:val="60772930"/>
    <w:rsid w:val="608F7A11"/>
    <w:rsid w:val="60934BAB"/>
    <w:rsid w:val="60CF0DE6"/>
    <w:rsid w:val="60DB527F"/>
    <w:rsid w:val="60FA1388"/>
    <w:rsid w:val="60FA7AE6"/>
    <w:rsid w:val="615F4FA2"/>
    <w:rsid w:val="615F6759"/>
    <w:rsid w:val="61663641"/>
    <w:rsid w:val="61726EDD"/>
    <w:rsid w:val="618A7D6D"/>
    <w:rsid w:val="61C67EA1"/>
    <w:rsid w:val="62027063"/>
    <w:rsid w:val="629320CE"/>
    <w:rsid w:val="62944C41"/>
    <w:rsid w:val="62960E82"/>
    <w:rsid w:val="634151D2"/>
    <w:rsid w:val="635448FD"/>
    <w:rsid w:val="63994334"/>
    <w:rsid w:val="63AC3328"/>
    <w:rsid w:val="63C65464"/>
    <w:rsid w:val="63D70CAB"/>
    <w:rsid w:val="63DC63DF"/>
    <w:rsid w:val="63E6539A"/>
    <w:rsid w:val="64253994"/>
    <w:rsid w:val="64441F51"/>
    <w:rsid w:val="6447207F"/>
    <w:rsid w:val="645C1EB6"/>
    <w:rsid w:val="64AD601A"/>
    <w:rsid w:val="64EC3C6E"/>
    <w:rsid w:val="655F6C3B"/>
    <w:rsid w:val="65BA59FB"/>
    <w:rsid w:val="65C00065"/>
    <w:rsid w:val="65C2097C"/>
    <w:rsid w:val="65C21CFE"/>
    <w:rsid w:val="65D114C1"/>
    <w:rsid w:val="65E157CE"/>
    <w:rsid w:val="65EB3E53"/>
    <w:rsid w:val="66186DB3"/>
    <w:rsid w:val="6644092F"/>
    <w:rsid w:val="66991B40"/>
    <w:rsid w:val="66C169D3"/>
    <w:rsid w:val="66D03835"/>
    <w:rsid w:val="67147FA5"/>
    <w:rsid w:val="67615FEC"/>
    <w:rsid w:val="676357CA"/>
    <w:rsid w:val="677A2F00"/>
    <w:rsid w:val="677B2B69"/>
    <w:rsid w:val="67D20858"/>
    <w:rsid w:val="67E71670"/>
    <w:rsid w:val="680915B3"/>
    <w:rsid w:val="682D37C1"/>
    <w:rsid w:val="683476F7"/>
    <w:rsid w:val="684E27ED"/>
    <w:rsid w:val="68506FE3"/>
    <w:rsid w:val="6865317F"/>
    <w:rsid w:val="688F4309"/>
    <w:rsid w:val="688F7039"/>
    <w:rsid w:val="68B33DA6"/>
    <w:rsid w:val="68DD3A1F"/>
    <w:rsid w:val="68E16EA2"/>
    <w:rsid w:val="68E728A6"/>
    <w:rsid w:val="68EB39CF"/>
    <w:rsid w:val="68F05493"/>
    <w:rsid w:val="692C5C98"/>
    <w:rsid w:val="692E15B1"/>
    <w:rsid w:val="693E4F2E"/>
    <w:rsid w:val="69602F02"/>
    <w:rsid w:val="699251EC"/>
    <w:rsid w:val="69990294"/>
    <w:rsid w:val="69996446"/>
    <w:rsid w:val="69BC43D9"/>
    <w:rsid w:val="69ED024C"/>
    <w:rsid w:val="6A172FE2"/>
    <w:rsid w:val="6A242314"/>
    <w:rsid w:val="6A303688"/>
    <w:rsid w:val="6A3B5BE1"/>
    <w:rsid w:val="6A3E6AB7"/>
    <w:rsid w:val="6A4F7A2A"/>
    <w:rsid w:val="6A5428E0"/>
    <w:rsid w:val="6A590A62"/>
    <w:rsid w:val="6A612F04"/>
    <w:rsid w:val="6AC86E19"/>
    <w:rsid w:val="6AD773D6"/>
    <w:rsid w:val="6ADF54B2"/>
    <w:rsid w:val="6AF92EDB"/>
    <w:rsid w:val="6B206D55"/>
    <w:rsid w:val="6B2B4E2D"/>
    <w:rsid w:val="6B382A67"/>
    <w:rsid w:val="6B442525"/>
    <w:rsid w:val="6B5B6AEE"/>
    <w:rsid w:val="6BD7424E"/>
    <w:rsid w:val="6BEC1B40"/>
    <w:rsid w:val="6C293148"/>
    <w:rsid w:val="6C3F3C5F"/>
    <w:rsid w:val="6C3F4710"/>
    <w:rsid w:val="6C426F0F"/>
    <w:rsid w:val="6C9E00A3"/>
    <w:rsid w:val="6CAC6B0A"/>
    <w:rsid w:val="6CD643CD"/>
    <w:rsid w:val="6CD80223"/>
    <w:rsid w:val="6CEC444A"/>
    <w:rsid w:val="6CED65B7"/>
    <w:rsid w:val="6D3C004F"/>
    <w:rsid w:val="6D5E0211"/>
    <w:rsid w:val="6D976C14"/>
    <w:rsid w:val="6DAF4FBF"/>
    <w:rsid w:val="6DF10747"/>
    <w:rsid w:val="6E05329B"/>
    <w:rsid w:val="6E23431D"/>
    <w:rsid w:val="6E2D3262"/>
    <w:rsid w:val="6E357B03"/>
    <w:rsid w:val="6E53174A"/>
    <w:rsid w:val="6E6E412A"/>
    <w:rsid w:val="6EC34F71"/>
    <w:rsid w:val="6ED660D9"/>
    <w:rsid w:val="6EF351EE"/>
    <w:rsid w:val="6EFD22A0"/>
    <w:rsid w:val="6F5B3292"/>
    <w:rsid w:val="6F7826A5"/>
    <w:rsid w:val="6F7A45D7"/>
    <w:rsid w:val="6FAD7DB9"/>
    <w:rsid w:val="6FD305F6"/>
    <w:rsid w:val="6FED3672"/>
    <w:rsid w:val="6FF24F29"/>
    <w:rsid w:val="6FF75A18"/>
    <w:rsid w:val="6FFB2815"/>
    <w:rsid w:val="704766B5"/>
    <w:rsid w:val="707539DD"/>
    <w:rsid w:val="709A7FF1"/>
    <w:rsid w:val="70A3488C"/>
    <w:rsid w:val="70BE2DAF"/>
    <w:rsid w:val="70D80D3F"/>
    <w:rsid w:val="70E43CEB"/>
    <w:rsid w:val="71080F56"/>
    <w:rsid w:val="71130F8C"/>
    <w:rsid w:val="7114165E"/>
    <w:rsid w:val="71281695"/>
    <w:rsid w:val="712C3412"/>
    <w:rsid w:val="71755E90"/>
    <w:rsid w:val="717F09A0"/>
    <w:rsid w:val="71EE436D"/>
    <w:rsid w:val="727C528A"/>
    <w:rsid w:val="72A64BFB"/>
    <w:rsid w:val="72C66DD0"/>
    <w:rsid w:val="72DC49CC"/>
    <w:rsid w:val="72DD2FC5"/>
    <w:rsid w:val="731B4668"/>
    <w:rsid w:val="732173DE"/>
    <w:rsid w:val="73240E9A"/>
    <w:rsid w:val="736A3044"/>
    <w:rsid w:val="73725FA9"/>
    <w:rsid w:val="737957E0"/>
    <w:rsid w:val="739C51FA"/>
    <w:rsid w:val="73A47174"/>
    <w:rsid w:val="740E6D38"/>
    <w:rsid w:val="74113446"/>
    <w:rsid w:val="74170676"/>
    <w:rsid w:val="741B2798"/>
    <w:rsid w:val="74356824"/>
    <w:rsid w:val="74553AB9"/>
    <w:rsid w:val="74553E76"/>
    <w:rsid w:val="74845DEF"/>
    <w:rsid w:val="74854A9E"/>
    <w:rsid w:val="749071E5"/>
    <w:rsid w:val="74B17F57"/>
    <w:rsid w:val="74C74DFF"/>
    <w:rsid w:val="74F45BBD"/>
    <w:rsid w:val="7504015F"/>
    <w:rsid w:val="750563A4"/>
    <w:rsid w:val="75420220"/>
    <w:rsid w:val="754605B6"/>
    <w:rsid w:val="75543E6F"/>
    <w:rsid w:val="75573C23"/>
    <w:rsid w:val="756C6E82"/>
    <w:rsid w:val="758370A2"/>
    <w:rsid w:val="75862047"/>
    <w:rsid w:val="75D667B4"/>
    <w:rsid w:val="75EA7676"/>
    <w:rsid w:val="75EE6DFD"/>
    <w:rsid w:val="76277D82"/>
    <w:rsid w:val="76280B3F"/>
    <w:rsid w:val="762844D2"/>
    <w:rsid w:val="76711F70"/>
    <w:rsid w:val="767B05FD"/>
    <w:rsid w:val="76902D56"/>
    <w:rsid w:val="769E0C16"/>
    <w:rsid w:val="76D3377D"/>
    <w:rsid w:val="76EC7F74"/>
    <w:rsid w:val="76FD7461"/>
    <w:rsid w:val="772F6DF1"/>
    <w:rsid w:val="773004AD"/>
    <w:rsid w:val="7745094B"/>
    <w:rsid w:val="776F4816"/>
    <w:rsid w:val="779337BB"/>
    <w:rsid w:val="779630B1"/>
    <w:rsid w:val="77A3198A"/>
    <w:rsid w:val="77ED353E"/>
    <w:rsid w:val="781419AA"/>
    <w:rsid w:val="781A4DEB"/>
    <w:rsid w:val="78464596"/>
    <w:rsid w:val="7880245B"/>
    <w:rsid w:val="78A86D7F"/>
    <w:rsid w:val="78E5589E"/>
    <w:rsid w:val="78F239F5"/>
    <w:rsid w:val="78F5602E"/>
    <w:rsid w:val="790575EB"/>
    <w:rsid w:val="79096032"/>
    <w:rsid w:val="793F2D8D"/>
    <w:rsid w:val="795B3B0F"/>
    <w:rsid w:val="7984368E"/>
    <w:rsid w:val="79C11A40"/>
    <w:rsid w:val="79DE7E2C"/>
    <w:rsid w:val="79E70D33"/>
    <w:rsid w:val="79EE31B0"/>
    <w:rsid w:val="79FE0110"/>
    <w:rsid w:val="7A192571"/>
    <w:rsid w:val="7A4A6DA6"/>
    <w:rsid w:val="7A7F1890"/>
    <w:rsid w:val="7A840E70"/>
    <w:rsid w:val="7AC40C1E"/>
    <w:rsid w:val="7AD03F60"/>
    <w:rsid w:val="7AE047BD"/>
    <w:rsid w:val="7AE46946"/>
    <w:rsid w:val="7B486CBC"/>
    <w:rsid w:val="7B592EE4"/>
    <w:rsid w:val="7B5D4905"/>
    <w:rsid w:val="7B631C9B"/>
    <w:rsid w:val="7B7453D1"/>
    <w:rsid w:val="7B9E34EE"/>
    <w:rsid w:val="7BA54E46"/>
    <w:rsid w:val="7BAD756C"/>
    <w:rsid w:val="7BD96ACF"/>
    <w:rsid w:val="7BDC4D26"/>
    <w:rsid w:val="7BFF54D8"/>
    <w:rsid w:val="7C14198A"/>
    <w:rsid w:val="7C1D6DFD"/>
    <w:rsid w:val="7C3070AF"/>
    <w:rsid w:val="7C3D2779"/>
    <w:rsid w:val="7C7810BB"/>
    <w:rsid w:val="7C9A44F6"/>
    <w:rsid w:val="7D571133"/>
    <w:rsid w:val="7D880B9B"/>
    <w:rsid w:val="7DF33D56"/>
    <w:rsid w:val="7E0B7AB3"/>
    <w:rsid w:val="7EC024DF"/>
    <w:rsid w:val="7EE65FC0"/>
    <w:rsid w:val="7EFB4C68"/>
    <w:rsid w:val="7F244015"/>
    <w:rsid w:val="7F585B8B"/>
    <w:rsid w:val="7F5A6E02"/>
    <w:rsid w:val="7F652F13"/>
    <w:rsid w:val="7FA11328"/>
    <w:rsid w:val="7FBA6AE0"/>
    <w:rsid w:val="7FCE28B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1"/>
    <w:qFormat/>
    <w:uiPriority w:val="0"/>
    <w:pPr>
      <w:keepNext/>
      <w:jc w:val="center"/>
      <w:outlineLvl w:val="0"/>
    </w:pPr>
    <w:rPr>
      <w:b/>
      <w:bCs/>
      <w:sz w:val="24"/>
      <w:szCs w:val="20"/>
    </w:rPr>
  </w:style>
  <w:style w:type="paragraph" w:styleId="5">
    <w:name w:val="heading 2"/>
    <w:basedOn w:val="1"/>
    <w:next w:val="1"/>
    <w:link w:val="62"/>
    <w:qFormat/>
    <w:uiPriority w:val="0"/>
    <w:pPr>
      <w:keepNext/>
      <w:keepLines/>
      <w:spacing w:line="360" w:lineRule="auto"/>
      <w:outlineLvl w:val="1"/>
    </w:pPr>
    <w:rPr>
      <w:rFonts w:ascii="Arial" w:hAnsi="Arial"/>
      <w:b/>
      <w:bCs/>
      <w:sz w:val="24"/>
      <w:szCs w:val="32"/>
    </w:rPr>
  </w:style>
  <w:style w:type="paragraph" w:styleId="6">
    <w:name w:val="heading 3"/>
    <w:basedOn w:val="1"/>
    <w:next w:val="1"/>
    <w:link w:val="63"/>
    <w:qFormat/>
    <w:uiPriority w:val="0"/>
    <w:pPr>
      <w:keepNext/>
      <w:keepLines/>
      <w:spacing w:before="260" w:after="260" w:line="416" w:lineRule="auto"/>
      <w:outlineLvl w:val="2"/>
    </w:pPr>
    <w:rPr>
      <w:b/>
      <w:bCs/>
      <w:sz w:val="32"/>
      <w:szCs w:val="32"/>
    </w:rPr>
  </w:style>
  <w:style w:type="paragraph" w:styleId="7">
    <w:name w:val="heading 4"/>
    <w:basedOn w:val="1"/>
    <w:next w:val="1"/>
    <w:link w:val="64"/>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65"/>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66"/>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0">
    <w:name w:val="heading 7"/>
    <w:basedOn w:val="1"/>
    <w:next w:val="1"/>
    <w:link w:val="67"/>
    <w:qFormat/>
    <w:uiPriority w:val="0"/>
    <w:pPr>
      <w:keepNext/>
      <w:keepLines/>
      <w:adjustRightInd w:val="0"/>
      <w:spacing w:before="240" w:after="64" w:line="320" w:lineRule="atLeast"/>
      <w:jc w:val="left"/>
      <w:textAlignment w:val="baseline"/>
      <w:outlineLvl w:val="6"/>
    </w:pPr>
    <w:rPr>
      <w:b/>
      <w:bCs/>
      <w:kern w:val="0"/>
      <w:sz w:val="24"/>
    </w:rPr>
  </w:style>
  <w:style w:type="paragraph" w:styleId="11">
    <w:name w:val="heading 8"/>
    <w:basedOn w:val="1"/>
    <w:next w:val="1"/>
    <w:link w:val="68"/>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2">
    <w:name w:val="heading 9"/>
    <w:basedOn w:val="1"/>
    <w:next w:val="1"/>
    <w:link w:val="69"/>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kern w:val="0"/>
      <w:sz w:val="20"/>
    </w:rPr>
  </w:style>
  <w:style w:type="paragraph" w:styleId="3">
    <w:name w:val="Body Text Indent"/>
    <w:basedOn w:val="1"/>
    <w:next w:val="1"/>
    <w:link w:val="58"/>
    <w:qFormat/>
    <w:uiPriority w:val="0"/>
    <w:pPr>
      <w:spacing w:after="120"/>
      <w:ind w:left="420" w:leftChars="200"/>
    </w:pPr>
  </w:style>
  <w:style w:type="paragraph" w:styleId="13">
    <w:name w:val="toc 7"/>
    <w:basedOn w:val="1"/>
    <w:next w:val="1"/>
    <w:qFormat/>
    <w:uiPriority w:val="0"/>
    <w:pPr>
      <w:ind w:left="2520" w:leftChars="1200"/>
    </w:pPr>
    <w:rPr>
      <w:rFonts w:ascii="Calibri" w:hAnsi="Calibri"/>
      <w:szCs w:val="22"/>
    </w:rPr>
  </w:style>
  <w:style w:type="paragraph" w:styleId="14">
    <w:name w:val="Normal Indent"/>
    <w:basedOn w:val="1"/>
    <w:qFormat/>
    <w:uiPriority w:val="0"/>
    <w:pPr>
      <w:widowControl/>
      <w:ind w:firstLine="420"/>
      <w:jc w:val="left"/>
    </w:pPr>
    <w:rPr>
      <w:kern w:val="0"/>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59"/>
    <w:semiHidden/>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qFormat/>
    <w:uiPriority w:val="0"/>
    <w:pPr>
      <w:spacing w:after="120"/>
    </w:pPr>
  </w:style>
  <w:style w:type="paragraph" w:styleId="20">
    <w:name w:val="Block Text"/>
    <w:basedOn w:val="1"/>
    <w:qFormat/>
    <w:uiPriority w:val="0"/>
    <w:pPr>
      <w:ind w:left="1171" w:right="91" w:hanging="1080"/>
    </w:pPr>
    <w:rPr>
      <w:rFonts w:eastAsia="楷体_GB2312"/>
      <w:szCs w:val="20"/>
    </w:rPr>
  </w:style>
  <w:style w:type="paragraph" w:styleId="21">
    <w:name w:val="toc 5"/>
    <w:basedOn w:val="1"/>
    <w:next w:val="1"/>
    <w:qFormat/>
    <w:uiPriority w:val="0"/>
    <w:pPr>
      <w:ind w:left="1680" w:leftChars="800"/>
    </w:pPr>
    <w:rPr>
      <w:rFonts w:ascii="Calibri" w:hAnsi="Calibri"/>
      <w:szCs w:val="22"/>
    </w:rPr>
  </w:style>
  <w:style w:type="paragraph" w:styleId="22">
    <w:name w:val="toc 3"/>
    <w:basedOn w:val="1"/>
    <w:next w:val="1"/>
    <w:qFormat/>
    <w:uiPriority w:val="0"/>
    <w:pPr>
      <w:ind w:left="840" w:leftChars="400"/>
    </w:pPr>
  </w:style>
  <w:style w:type="paragraph" w:styleId="23">
    <w:name w:val="Plain Text"/>
    <w:basedOn w:val="1"/>
    <w:link w:val="70"/>
    <w:qFormat/>
    <w:uiPriority w:val="0"/>
    <w:rPr>
      <w:rFonts w:ascii="宋体" w:hAnsi="Courier New" w:cs="Courier New"/>
      <w:szCs w:val="21"/>
    </w:rPr>
  </w:style>
  <w:style w:type="paragraph" w:styleId="24">
    <w:name w:val="toc 8"/>
    <w:basedOn w:val="1"/>
    <w:next w:val="1"/>
    <w:qFormat/>
    <w:uiPriority w:val="0"/>
    <w:pPr>
      <w:ind w:left="2940" w:leftChars="1400"/>
    </w:pPr>
    <w:rPr>
      <w:rFonts w:ascii="Calibri" w:hAnsi="Calibri"/>
      <w:szCs w:val="22"/>
    </w:rPr>
  </w:style>
  <w:style w:type="paragraph" w:styleId="25">
    <w:name w:val="Date"/>
    <w:basedOn w:val="1"/>
    <w:next w:val="1"/>
    <w:link w:val="71"/>
    <w:qFormat/>
    <w:uiPriority w:val="0"/>
    <w:rPr>
      <w:sz w:val="24"/>
      <w:szCs w:val="20"/>
    </w:rPr>
  </w:style>
  <w:style w:type="paragraph" w:styleId="26">
    <w:name w:val="Body Text Indent 2"/>
    <w:basedOn w:val="1"/>
    <w:qFormat/>
    <w:uiPriority w:val="0"/>
    <w:pPr>
      <w:spacing w:after="120" w:line="480" w:lineRule="auto"/>
      <w:ind w:left="420" w:leftChars="200"/>
    </w:pPr>
  </w:style>
  <w:style w:type="paragraph" w:styleId="27">
    <w:name w:val="Balloon Text"/>
    <w:basedOn w:val="1"/>
    <w:link w:val="72"/>
    <w:qFormat/>
    <w:uiPriority w:val="0"/>
    <w:rPr>
      <w:rFonts w:ascii="Calibri" w:hAnsi="Calibri"/>
      <w:sz w:val="18"/>
      <w:szCs w:val="18"/>
    </w:rPr>
  </w:style>
  <w:style w:type="paragraph" w:styleId="28">
    <w:name w:val="footer"/>
    <w:basedOn w:val="1"/>
    <w:link w:val="73"/>
    <w:qFormat/>
    <w:uiPriority w:val="0"/>
    <w:pPr>
      <w:tabs>
        <w:tab w:val="center" w:pos="4153"/>
        <w:tab w:val="right" w:pos="8306"/>
      </w:tabs>
      <w:snapToGrid w:val="0"/>
      <w:jc w:val="left"/>
    </w:pPr>
    <w:rPr>
      <w:sz w:val="18"/>
      <w:szCs w:val="18"/>
    </w:rPr>
  </w:style>
  <w:style w:type="paragraph" w:styleId="29">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30">
    <w:name w:val="toc 4"/>
    <w:basedOn w:val="1"/>
    <w:next w:val="1"/>
    <w:qFormat/>
    <w:uiPriority w:val="0"/>
    <w:pPr>
      <w:ind w:left="1260" w:leftChars="600"/>
    </w:pPr>
  </w:style>
  <w:style w:type="paragraph" w:styleId="31">
    <w:name w:val="toc 6"/>
    <w:basedOn w:val="1"/>
    <w:next w:val="1"/>
    <w:qFormat/>
    <w:uiPriority w:val="0"/>
    <w:pPr>
      <w:ind w:left="2100" w:leftChars="1000"/>
    </w:pPr>
    <w:rPr>
      <w:rFonts w:ascii="Calibri" w:hAnsi="Calibri"/>
      <w:szCs w:val="22"/>
    </w:rPr>
  </w:style>
  <w:style w:type="paragraph" w:styleId="32">
    <w:name w:val="Body Text Indent 3"/>
    <w:basedOn w:val="1"/>
    <w:next w:val="1"/>
    <w:link w:val="75"/>
    <w:qFormat/>
    <w:uiPriority w:val="0"/>
    <w:pPr>
      <w:spacing w:after="120"/>
      <w:ind w:left="420" w:leftChars="200"/>
    </w:pPr>
    <w:rPr>
      <w:sz w:val="16"/>
      <w:szCs w:val="16"/>
    </w:rPr>
  </w:style>
  <w:style w:type="paragraph" w:styleId="33">
    <w:name w:val="toc 2"/>
    <w:basedOn w:val="1"/>
    <w:next w:val="1"/>
    <w:qFormat/>
    <w:uiPriority w:val="0"/>
    <w:pPr>
      <w:ind w:left="420" w:leftChars="200"/>
    </w:pPr>
  </w:style>
  <w:style w:type="paragraph" w:styleId="34">
    <w:name w:val="toc 9"/>
    <w:basedOn w:val="1"/>
    <w:next w:val="1"/>
    <w:qFormat/>
    <w:uiPriority w:val="0"/>
    <w:pPr>
      <w:ind w:left="3360" w:leftChars="1600"/>
    </w:pPr>
    <w:rPr>
      <w:rFonts w:ascii="Calibri" w:hAnsi="Calibri"/>
      <w:szCs w:val="22"/>
    </w:rPr>
  </w:style>
  <w:style w:type="paragraph" w:styleId="35">
    <w:name w:val="Body Text 2"/>
    <w:basedOn w:val="1"/>
    <w:qFormat/>
    <w:uiPriority w:val="0"/>
    <w:pPr>
      <w:spacing w:after="120" w:line="480" w:lineRule="auto"/>
    </w:pPr>
  </w:style>
  <w:style w:type="paragraph" w:styleId="3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0"/>
    <w:pPr>
      <w:spacing w:line="220" w:lineRule="exact"/>
      <w:jc w:val="center"/>
    </w:pPr>
    <w:rPr>
      <w:rFonts w:ascii="仿宋_GB2312" w:eastAsia="仿宋_GB2312"/>
      <w:szCs w:val="20"/>
    </w:rPr>
  </w:style>
  <w:style w:type="paragraph" w:styleId="39">
    <w:name w:val="Title"/>
    <w:basedOn w:val="1"/>
    <w:next w:val="1"/>
    <w:qFormat/>
    <w:uiPriority w:val="0"/>
    <w:pPr>
      <w:spacing w:before="240" w:after="60"/>
      <w:jc w:val="center"/>
      <w:outlineLvl w:val="0"/>
    </w:pPr>
    <w:rPr>
      <w:rFonts w:ascii="Cambria" w:hAnsi="Cambria"/>
      <w:b/>
      <w:sz w:val="32"/>
    </w:rPr>
  </w:style>
  <w:style w:type="paragraph" w:styleId="40">
    <w:name w:val="annotation subject"/>
    <w:basedOn w:val="16"/>
    <w:next w:val="1"/>
    <w:link w:val="60"/>
    <w:qFormat/>
    <w:uiPriority w:val="0"/>
    <w:rPr>
      <w:b/>
      <w:bCs/>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0"/>
    <w:rPr>
      <w:rFonts w:ascii="Times New Roman" w:hAnsi="Times New Roman" w:eastAsia="宋体"/>
    </w:rPr>
  </w:style>
  <w:style w:type="character" w:styleId="48">
    <w:name w:val="HTML Definition"/>
    <w:qFormat/>
    <w:uiPriority w:val="0"/>
    <w:rPr>
      <w:rFonts w:ascii="Times New Roman" w:hAnsi="Times New Roman" w:eastAsia="宋体"/>
    </w:rPr>
  </w:style>
  <w:style w:type="character" w:styleId="49">
    <w:name w:val="HTML Variable"/>
    <w:qFormat/>
    <w:uiPriority w:val="0"/>
    <w:rPr>
      <w:rFonts w:ascii="Times New Roman" w:hAnsi="Times New Roman" w:eastAsia="宋体"/>
    </w:rPr>
  </w:style>
  <w:style w:type="character" w:styleId="50">
    <w:name w:val="Hyperlink"/>
    <w:qFormat/>
    <w:uiPriority w:val="0"/>
    <w:rPr>
      <w:color w:val="136EC2"/>
      <w:u w:val="single"/>
    </w:rPr>
  </w:style>
  <w:style w:type="character" w:styleId="51">
    <w:name w:val="HTML Code"/>
    <w:qFormat/>
    <w:uiPriority w:val="0"/>
    <w:rPr>
      <w:rFonts w:ascii="Courier New" w:hAnsi="Courier New" w:eastAsia="Courier New" w:cs="Courier New"/>
      <w:sz w:val="20"/>
    </w:rPr>
  </w:style>
  <w:style w:type="character" w:styleId="52">
    <w:name w:val="annotation reference"/>
    <w:qFormat/>
    <w:uiPriority w:val="0"/>
    <w:rPr>
      <w:sz w:val="21"/>
      <w:szCs w:val="21"/>
    </w:rPr>
  </w:style>
  <w:style w:type="character" w:styleId="53">
    <w:name w:val="HTML Cite"/>
    <w:qFormat/>
    <w:uiPriority w:val="0"/>
    <w:rPr>
      <w:rFonts w:ascii="Times New Roman" w:hAnsi="Times New Roman" w:eastAsia="宋体"/>
    </w:rPr>
  </w:style>
  <w:style w:type="character" w:styleId="54">
    <w:name w:val="HTML Keyboard"/>
    <w:qFormat/>
    <w:uiPriority w:val="0"/>
    <w:rPr>
      <w:rFonts w:ascii="Courier New" w:hAnsi="Courier New" w:eastAsia="Courier New" w:cs="Courier New"/>
      <w:sz w:val="20"/>
    </w:rPr>
  </w:style>
  <w:style w:type="character" w:styleId="55">
    <w:name w:val="HTML Sample"/>
    <w:qFormat/>
    <w:uiPriority w:val="0"/>
    <w:rPr>
      <w:rFonts w:ascii="Courier New" w:hAnsi="Courier New" w:eastAsia="Courier New" w:cs="Courier New"/>
    </w:rPr>
  </w:style>
  <w:style w:type="paragraph" w:customStyle="1" w:styleId="5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57">
    <w:name w:val="首行缩进"/>
    <w:basedOn w:val="1"/>
    <w:qFormat/>
    <w:uiPriority w:val="0"/>
    <w:pPr>
      <w:ind w:firstLine="480" w:firstLineChars="200"/>
    </w:pPr>
    <w:rPr>
      <w:lang w:val="zh-CN"/>
    </w:rPr>
  </w:style>
  <w:style w:type="character" w:customStyle="1" w:styleId="58">
    <w:name w:val="正文文本缩进 Char"/>
    <w:link w:val="3"/>
    <w:qFormat/>
    <w:uiPriority w:val="0"/>
    <w:rPr>
      <w:rFonts w:eastAsia="宋体"/>
      <w:kern w:val="2"/>
      <w:sz w:val="21"/>
      <w:szCs w:val="24"/>
      <w:lang w:val="en-US" w:eastAsia="zh-CN" w:bidi="ar-SA"/>
    </w:rPr>
  </w:style>
  <w:style w:type="character" w:customStyle="1" w:styleId="59">
    <w:name w:val="批注文字 Char1"/>
    <w:link w:val="16"/>
    <w:qFormat/>
    <w:uiPriority w:val="0"/>
    <w:rPr>
      <w:rFonts w:eastAsia="宋体"/>
      <w:kern w:val="2"/>
      <w:sz w:val="21"/>
      <w:szCs w:val="24"/>
      <w:lang w:val="en-US" w:eastAsia="zh-CN" w:bidi="ar-SA"/>
    </w:rPr>
  </w:style>
  <w:style w:type="character" w:customStyle="1" w:styleId="60">
    <w:name w:val="批注主题 Char1"/>
    <w:link w:val="40"/>
    <w:qFormat/>
    <w:uiPriority w:val="0"/>
    <w:rPr>
      <w:rFonts w:eastAsia="宋体"/>
      <w:b/>
      <w:bCs/>
      <w:kern w:val="2"/>
      <w:sz w:val="21"/>
      <w:szCs w:val="24"/>
      <w:lang w:val="en-US" w:eastAsia="zh-CN" w:bidi="ar-SA"/>
    </w:rPr>
  </w:style>
  <w:style w:type="character" w:customStyle="1" w:styleId="61">
    <w:name w:val="标题 1 Char1"/>
    <w:link w:val="4"/>
    <w:qFormat/>
    <w:uiPriority w:val="0"/>
    <w:rPr>
      <w:rFonts w:eastAsia="宋体"/>
      <w:b/>
      <w:bCs/>
      <w:kern w:val="2"/>
      <w:sz w:val="24"/>
      <w:lang w:val="en-US" w:eastAsia="zh-CN" w:bidi="ar-SA"/>
    </w:rPr>
  </w:style>
  <w:style w:type="character" w:customStyle="1" w:styleId="62">
    <w:name w:val="标题 2 Char1"/>
    <w:link w:val="5"/>
    <w:qFormat/>
    <w:uiPriority w:val="0"/>
    <w:rPr>
      <w:rFonts w:ascii="Arial" w:hAnsi="Arial" w:eastAsia="宋体"/>
      <w:b/>
      <w:bCs/>
      <w:kern w:val="2"/>
      <w:sz w:val="24"/>
      <w:szCs w:val="32"/>
      <w:lang w:val="en-US" w:eastAsia="zh-CN" w:bidi="ar-SA"/>
    </w:rPr>
  </w:style>
  <w:style w:type="character" w:customStyle="1" w:styleId="63">
    <w:name w:val="标题 3 Char1"/>
    <w:link w:val="6"/>
    <w:qFormat/>
    <w:uiPriority w:val="0"/>
    <w:rPr>
      <w:rFonts w:eastAsia="宋体"/>
      <w:b/>
      <w:bCs/>
      <w:kern w:val="2"/>
      <w:sz w:val="32"/>
      <w:szCs w:val="32"/>
      <w:lang w:val="en-US" w:eastAsia="zh-CN" w:bidi="ar-SA"/>
    </w:rPr>
  </w:style>
  <w:style w:type="character" w:customStyle="1" w:styleId="64">
    <w:name w:val="标题 4 Char1"/>
    <w:link w:val="7"/>
    <w:qFormat/>
    <w:uiPriority w:val="0"/>
    <w:rPr>
      <w:rFonts w:ascii="Arial" w:hAnsi="Arial" w:eastAsia="黑体"/>
      <w:b/>
      <w:bCs/>
      <w:kern w:val="2"/>
      <w:sz w:val="28"/>
      <w:szCs w:val="28"/>
      <w:lang w:val="en-US" w:eastAsia="zh-CN" w:bidi="ar-SA"/>
    </w:rPr>
  </w:style>
  <w:style w:type="character" w:customStyle="1" w:styleId="65">
    <w:name w:val="标题 5 Char1"/>
    <w:link w:val="8"/>
    <w:qFormat/>
    <w:uiPriority w:val="0"/>
    <w:rPr>
      <w:rFonts w:eastAsia="宋体"/>
      <w:b/>
      <w:bCs/>
      <w:sz w:val="28"/>
      <w:szCs w:val="28"/>
      <w:lang w:val="en-US" w:eastAsia="zh-CN" w:bidi="ar-SA"/>
    </w:rPr>
  </w:style>
  <w:style w:type="character" w:customStyle="1" w:styleId="66">
    <w:name w:val="标题 6 Char1"/>
    <w:link w:val="9"/>
    <w:qFormat/>
    <w:uiPriority w:val="0"/>
    <w:rPr>
      <w:rFonts w:ascii="Arial" w:hAnsi="Arial" w:eastAsia="黑体"/>
      <w:b/>
      <w:bCs/>
      <w:sz w:val="24"/>
      <w:szCs w:val="24"/>
      <w:lang w:val="en-US" w:eastAsia="zh-CN" w:bidi="ar-SA"/>
    </w:rPr>
  </w:style>
  <w:style w:type="character" w:customStyle="1" w:styleId="67">
    <w:name w:val="标题 7 Char1"/>
    <w:link w:val="10"/>
    <w:qFormat/>
    <w:uiPriority w:val="0"/>
    <w:rPr>
      <w:rFonts w:eastAsia="宋体"/>
      <w:b/>
      <w:bCs/>
      <w:sz w:val="24"/>
      <w:szCs w:val="24"/>
      <w:lang w:val="en-US" w:eastAsia="zh-CN" w:bidi="ar-SA"/>
    </w:rPr>
  </w:style>
  <w:style w:type="character" w:customStyle="1" w:styleId="68">
    <w:name w:val="标题 8 Char1"/>
    <w:link w:val="11"/>
    <w:qFormat/>
    <w:uiPriority w:val="0"/>
    <w:rPr>
      <w:rFonts w:ascii="Arial" w:hAnsi="Arial" w:eastAsia="黑体"/>
      <w:sz w:val="24"/>
      <w:szCs w:val="24"/>
      <w:lang w:val="en-US" w:eastAsia="zh-CN" w:bidi="ar-SA"/>
    </w:rPr>
  </w:style>
  <w:style w:type="character" w:customStyle="1" w:styleId="69">
    <w:name w:val="标题 9 Char1"/>
    <w:link w:val="12"/>
    <w:qFormat/>
    <w:uiPriority w:val="0"/>
    <w:rPr>
      <w:rFonts w:ascii="Arial" w:hAnsi="Arial" w:eastAsia="黑体"/>
      <w:sz w:val="21"/>
      <w:szCs w:val="21"/>
      <w:lang w:val="en-US" w:eastAsia="zh-CN" w:bidi="ar-SA"/>
    </w:rPr>
  </w:style>
  <w:style w:type="character" w:customStyle="1" w:styleId="70">
    <w:name w:val="纯文本 Char"/>
    <w:link w:val="23"/>
    <w:semiHidden/>
    <w:qFormat/>
    <w:locked/>
    <w:uiPriority w:val="0"/>
    <w:rPr>
      <w:rFonts w:ascii="宋体" w:hAnsi="Courier New" w:eastAsia="宋体" w:cs="Courier New"/>
      <w:kern w:val="2"/>
      <w:sz w:val="21"/>
      <w:szCs w:val="21"/>
      <w:lang w:val="en-US" w:eastAsia="zh-CN" w:bidi="ar-SA"/>
    </w:rPr>
  </w:style>
  <w:style w:type="character" w:customStyle="1" w:styleId="71">
    <w:name w:val="日期 Char1"/>
    <w:link w:val="25"/>
    <w:qFormat/>
    <w:uiPriority w:val="0"/>
    <w:rPr>
      <w:rFonts w:eastAsia="宋体"/>
      <w:kern w:val="2"/>
      <w:sz w:val="24"/>
      <w:lang w:val="en-US" w:eastAsia="zh-CN" w:bidi="ar-SA"/>
    </w:rPr>
  </w:style>
  <w:style w:type="character" w:customStyle="1" w:styleId="72">
    <w:name w:val="批注框文本 Char1"/>
    <w:link w:val="27"/>
    <w:semiHidden/>
    <w:qFormat/>
    <w:locked/>
    <w:uiPriority w:val="0"/>
    <w:rPr>
      <w:rFonts w:ascii="Calibri" w:hAnsi="Calibri" w:eastAsia="宋体"/>
      <w:kern w:val="2"/>
      <w:sz w:val="18"/>
      <w:szCs w:val="18"/>
      <w:lang w:val="en-US" w:eastAsia="zh-CN" w:bidi="ar-SA"/>
    </w:rPr>
  </w:style>
  <w:style w:type="character" w:customStyle="1" w:styleId="73">
    <w:name w:val="页脚 Char1"/>
    <w:link w:val="28"/>
    <w:qFormat/>
    <w:uiPriority w:val="0"/>
    <w:rPr>
      <w:rFonts w:eastAsia="宋体"/>
      <w:kern w:val="2"/>
      <w:sz w:val="18"/>
      <w:szCs w:val="18"/>
      <w:lang w:val="en-US" w:eastAsia="zh-CN" w:bidi="ar-SA"/>
    </w:rPr>
  </w:style>
  <w:style w:type="character" w:customStyle="1" w:styleId="74">
    <w:name w:val="页眉 Char1"/>
    <w:link w:val="29"/>
    <w:qFormat/>
    <w:uiPriority w:val="0"/>
    <w:rPr>
      <w:rFonts w:eastAsia="宋体"/>
      <w:kern w:val="2"/>
      <w:sz w:val="18"/>
      <w:szCs w:val="18"/>
      <w:lang w:val="en-US" w:eastAsia="zh-CN" w:bidi="ar-SA"/>
    </w:rPr>
  </w:style>
  <w:style w:type="character" w:customStyle="1" w:styleId="75">
    <w:name w:val="正文文本缩进 3 Char1"/>
    <w:link w:val="32"/>
    <w:qFormat/>
    <w:uiPriority w:val="0"/>
    <w:rPr>
      <w:rFonts w:eastAsia="宋体"/>
      <w:kern w:val="2"/>
      <w:sz w:val="16"/>
      <w:szCs w:val="16"/>
      <w:lang w:val="en-US" w:eastAsia="zh-CN" w:bidi="ar-SA"/>
    </w:rPr>
  </w:style>
  <w:style w:type="paragraph" w:customStyle="1" w:styleId="76">
    <w:name w:val="列出段落1"/>
    <w:basedOn w:val="1"/>
    <w:qFormat/>
    <w:uiPriority w:val="0"/>
    <w:pPr>
      <w:ind w:firstLine="420" w:firstLineChars="200"/>
    </w:pPr>
    <w:rPr>
      <w:rFonts w:ascii="Calibri" w:hAnsi="Calibri" w:cs="Calibri"/>
      <w:szCs w:val="21"/>
    </w:rPr>
  </w:style>
  <w:style w:type="character" w:customStyle="1" w:styleId="77">
    <w:name w:val="sidecatalog-index1"/>
    <w:qFormat/>
    <w:uiPriority w:val="0"/>
    <w:rPr>
      <w:rFonts w:ascii="Arial" w:hAnsi="Arial" w:eastAsia="宋体" w:cs="Arial"/>
      <w:b/>
      <w:color w:val="999999"/>
      <w:sz w:val="21"/>
      <w:szCs w:val="21"/>
    </w:rPr>
  </w:style>
  <w:style w:type="character" w:customStyle="1" w:styleId="78">
    <w:name w:val="bds_more7"/>
    <w:qFormat/>
    <w:uiPriority w:val="0"/>
    <w:rPr>
      <w:rFonts w:ascii="Times New Roman" w:hAnsi="Times New Roman" w:eastAsia="宋体"/>
    </w:rPr>
  </w:style>
  <w:style w:type="character" w:customStyle="1" w:styleId="79">
    <w:name w:val="Font Style134"/>
    <w:unhideWhenUsed/>
    <w:qFormat/>
    <w:uiPriority w:val="0"/>
    <w:rPr>
      <w:rFonts w:hint="eastAsia" w:ascii="宋体" w:hAnsi="宋体" w:eastAsia="宋体"/>
      <w:spacing w:val="20"/>
      <w:sz w:val="22"/>
    </w:rPr>
  </w:style>
  <w:style w:type="character" w:customStyle="1" w:styleId="80">
    <w:name w:val="标题 2 Char"/>
    <w:qFormat/>
    <w:uiPriority w:val="0"/>
    <w:rPr>
      <w:rFonts w:ascii="Cambria" w:hAnsi="Cambria" w:eastAsia="宋体" w:cs="Times New Roman"/>
      <w:b/>
      <w:bCs/>
      <w:kern w:val="2"/>
      <w:sz w:val="32"/>
      <w:szCs w:val="32"/>
    </w:rPr>
  </w:style>
  <w:style w:type="character" w:customStyle="1" w:styleId="81">
    <w:name w:val="p0 Char Char"/>
    <w:qFormat/>
    <w:uiPriority w:val="0"/>
    <w:rPr>
      <w:rFonts w:eastAsia="宋体"/>
      <w:kern w:val="2"/>
      <w:sz w:val="21"/>
      <w:szCs w:val="21"/>
      <w:lang w:val="en-US" w:eastAsia="zh-CN" w:bidi="ar-SA"/>
    </w:rPr>
  </w:style>
  <w:style w:type="character" w:customStyle="1" w:styleId="82">
    <w:name w:val="批注主题 Char"/>
    <w:qFormat/>
    <w:uiPriority w:val="0"/>
    <w:rPr>
      <w:b/>
      <w:bCs/>
      <w:kern w:val="2"/>
      <w:sz w:val="21"/>
      <w:szCs w:val="24"/>
    </w:rPr>
  </w:style>
  <w:style w:type="character" w:customStyle="1" w:styleId="83">
    <w:name w:val="Char Char17"/>
    <w:qFormat/>
    <w:uiPriority w:val="0"/>
    <w:rPr>
      <w:rFonts w:ascii="宋体" w:hAnsi="Times New Roman" w:eastAsia="宋体"/>
      <w:b/>
      <w:sz w:val="28"/>
      <w:lang w:val="en-US" w:eastAsia="zh-CN" w:bidi="ar-SA"/>
    </w:rPr>
  </w:style>
  <w:style w:type="character" w:customStyle="1" w:styleId="84">
    <w:name w:val="sort1"/>
    <w:qFormat/>
    <w:uiPriority w:val="0"/>
    <w:rPr>
      <w:rFonts w:ascii="Times New Roman" w:hAnsi="Times New Roman" w:eastAsia="宋体"/>
    </w:rPr>
  </w:style>
  <w:style w:type="character" w:customStyle="1" w:styleId="85">
    <w:name w:val="标题 7 Char"/>
    <w:qFormat/>
    <w:uiPriority w:val="0"/>
    <w:rPr>
      <w:b/>
      <w:bCs/>
      <w:sz w:val="24"/>
      <w:szCs w:val="24"/>
    </w:rPr>
  </w:style>
  <w:style w:type="character" w:customStyle="1" w:styleId="86">
    <w:name w:val="纯文本 Char2"/>
    <w:qFormat/>
    <w:uiPriority w:val="0"/>
    <w:rPr>
      <w:rFonts w:ascii="宋体" w:hAnsi="Courier New" w:eastAsia="宋体"/>
      <w:kern w:val="2"/>
      <w:sz w:val="21"/>
      <w:szCs w:val="21"/>
      <w:lang w:val="en-US" w:eastAsia="zh-CN" w:bidi="ar-SA"/>
    </w:rPr>
  </w:style>
  <w:style w:type="character" w:customStyle="1" w:styleId="87">
    <w:name w:val="Font Style133"/>
    <w:unhideWhenUsed/>
    <w:qFormat/>
    <w:uiPriority w:val="0"/>
    <w:rPr>
      <w:rFonts w:hint="eastAsia" w:ascii="宋体" w:hAnsi="宋体" w:eastAsia="宋体"/>
      <w:spacing w:val="30"/>
      <w:sz w:val="24"/>
    </w:rPr>
  </w:style>
  <w:style w:type="character" w:customStyle="1" w:styleId="88">
    <w:name w:val="bds_more8"/>
    <w:qFormat/>
    <w:uiPriority w:val="0"/>
    <w:rPr>
      <w:rFonts w:ascii="Times New Roman" w:hAnsi="Times New Roman" w:eastAsia="宋体"/>
    </w:rPr>
  </w:style>
  <w:style w:type="character" w:customStyle="1" w:styleId="89">
    <w:name w:val="页眉 Char"/>
    <w:qFormat/>
    <w:uiPriority w:val="0"/>
    <w:rPr>
      <w:kern w:val="2"/>
      <w:sz w:val="18"/>
      <w:szCs w:val="18"/>
    </w:rPr>
  </w:style>
  <w:style w:type="character" w:customStyle="1" w:styleId="90">
    <w:name w:val="Font Style115"/>
    <w:unhideWhenUsed/>
    <w:qFormat/>
    <w:uiPriority w:val="0"/>
    <w:rPr>
      <w:rFonts w:hint="eastAsia" w:ascii="Times New Roman" w:hAnsi="Times New Roman" w:eastAsia="Times New Roman"/>
      <w:sz w:val="16"/>
    </w:rPr>
  </w:style>
  <w:style w:type="character" w:customStyle="1" w:styleId="91">
    <w:name w:val="标题 4 Char Char"/>
    <w:qFormat/>
    <w:uiPriority w:val="0"/>
    <w:rPr>
      <w:rFonts w:ascii="Arial" w:hAnsi="Arial" w:eastAsia="宋体"/>
      <w:b/>
      <w:bCs/>
      <w:kern w:val="2"/>
      <w:sz w:val="21"/>
      <w:szCs w:val="28"/>
      <w:lang w:val="en-US" w:eastAsia="zh-CN" w:bidi="ar-SA"/>
    </w:rPr>
  </w:style>
  <w:style w:type="character" w:customStyle="1" w:styleId="92">
    <w:name w:val="bds_more9"/>
    <w:qFormat/>
    <w:uiPriority w:val="0"/>
    <w:rPr>
      <w:rFonts w:ascii="Times New Roman" w:hAnsi="Times New Roman" w:eastAsia="宋体"/>
    </w:rPr>
  </w:style>
  <w:style w:type="character" w:customStyle="1" w:styleId="93">
    <w:name w:val="Font Style90"/>
    <w:unhideWhenUsed/>
    <w:qFormat/>
    <w:uiPriority w:val="0"/>
    <w:rPr>
      <w:rFonts w:hint="eastAsia" w:ascii="宋体" w:hAnsi="宋体" w:eastAsia="宋体"/>
      <w:b/>
      <w:spacing w:val="-20"/>
      <w:sz w:val="40"/>
    </w:rPr>
  </w:style>
  <w:style w:type="character" w:customStyle="1" w:styleId="94">
    <w:name w:val="标题 1 Char"/>
    <w:qFormat/>
    <w:uiPriority w:val="0"/>
    <w:rPr>
      <w:rFonts w:ascii="Cambria" w:hAnsi="Cambria"/>
      <w:b/>
      <w:bCs/>
      <w:kern w:val="32"/>
      <w:sz w:val="32"/>
      <w:szCs w:val="32"/>
    </w:rPr>
  </w:style>
  <w:style w:type="character" w:customStyle="1" w:styleId="95">
    <w:name w:val="Char Char16"/>
    <w:qFormat/>
    <w:uiPriority w:val="0"/>
    <w:rPr>
      <w:rFonts w:ascii="宋体" w:hAnsi="Times New Roman" w:eastAsia="宋体"/>
      <w:b/>
      <w:sz w:val="24"/>
      <w:lang w:val="en-US" w:eastAsia="zh-CN" w:bidi="ar-SA"/>
    </w:rPr>
  </w:style>
  <w:style w:type="character" w:customStyle="1" w:styleId="96">
    <w:name w:val="Font Style128"/>
    <w:unhideWhenUsed/>
    <w:qFormat/>
    <w:uiPriority w:val="0"/>
    <w:rPr>
      <w:rFonts w:hint="eastAsia" w:ascii="Times New Roman" w:hAnsi="Times New Roman" w:eastAsia="Times New Roman"/>
      <w:sz w:val="16"/>
    </w:rPr>
  </w:style>
  <w:style w:type="character" w:customStyle="1" w:styleId="97">
    <w:name w:val="sort"/>
    <w:qFormat/>
    <w:uiPriority w:val="0"/>
    <w:rPr>
      <w:rFonts w:ascii="Times New Roman" w:hAnsi="Times New Roman" w:eastAsia="宋体"/>
      <w:color w:val="FFFFFF"/>
      <w:bdr w:val="single" w:color="auto" w:sz="24" w:space="0"/>
    </w:rPr>
  </w:style>
  <w:style w:type="character" w:customStyle="1" w:styleId="98">
    <w:name w:val="标题 5 Char"/>
    <w:qFormat/>
    <w:uiPriority w:val="0"/>
    <w:rPr>
      <w:b/>
      <w:bCs/>
      <w:kern w:val="2"/>
      <w:sz w:val="28"/>
      <w:szCs w:val="28"/>
    </w:rPr>
  </w:style>
  <w:style w:type="character" w:customStyle="1" w:styleId="99">
    <w:name w:val="Font Style117"/>
    <w:unhideWhenUsed/>
    <w:qFormat/>
    <w:uiPriority w:val="0"/>
    <w:rPr>
      <w:rFonts w:hint="eastAsia" w:ascii="宋体" w:hAnsi="宋体" w:eastAsia="宋体"/>
      <w:spacing w:val="20"/>
      <w:sz w:val="24"/>
    </w:rPr>
  </w:style>
  <w:style w:type="character" w:customStyle="1" w:styleId="100">
    <w:name w:val="morelink-item"/>
    <w:qFormat/>
    <w:uiPriority w:val="0"/>
    <w:rPr>
      <w:rFonts w:ascii="Times New Roman" w:hAnsi="Times New Roman" w:eastAsia="宋体"/>
    </w:rPr>
  </w:style>
  <w:style w:type="character" w:customStyle="1" w:styleId="101">
    <w:name w:val="lemmatitleh12"/>
    <w:qFormat/>
    <w:uiPriority w:val="0"/>
    <w:rPr>
      <w:rFonts w:ascii="Times New Roman" w:hAnsi="Times New Roman" w:eastAsia="宋体"/>
    </w:rPr>
  </w:style>
  <w:style w:type="character" w:customStyle="1" w:styleId="102">
    <w:name w:val="标题 9 Char"/>
    <w:qFormat/>
    <w:uiPriority w:val="0"/>
    <w:rPr>
      <w:rFonts w:ascii="Arial" w:hAnsi="Arial" w:eastAsia="黑体"/>
      <w:sz w:val="21"/>
      <w:szCs w:val="21"/>
    </w:rPr>
  </w:style>
  <w:style w:type="character" w:customStyle="1" w:styleId="103">
    <w:name w:val="Char Char15"/>
    <w:qFormat/>
    <w:uiPriority w:val="0"/>
    <w:rPr>
      <w:b/>
      <w:bCs/>
      <w:sz w:val="24"/>
      <w:szCs w:val="24"/>
    </w:rPr>
  </w:style>
  <w:style w:type="character" w:customStyle="1" w:styleId="104">
    <w:name w:val="bds_nopic1"/>
    <w:qFormat/>
    <w:uiPriority w:val="0"/>
    <w:rPr>
      <w:rFonts w:ascii="Times New Roman" w:hAnsi="Times New Roman" w:eastAsia="宋体"/>
    </w:rPr>
  </w:style>
  <w:style w:type="character" w:customStyle="1" w:styleId="105">
    <w:name w:val="Font Style123"/>
    <w:unhideWhenUsed/>
    <w:qFormat/>
    <w:uiPriority w:val="0"/>
    <w:rPr>
      <w:rFonts w:hint="eastAsia" w:ascii="宋体" w:hAnsi="宋体" w:eastAsia="宋体"/>
      <w:b/>
      <w:sz w:val="32"/>
    </w:rPr>
  </w:style>
  <w:style w:type="character" w:customStyle="1" w:styleId="106">
    <w:name w:val="Font Style131"/>
    <w:unhideWhenUsed/>
    <w:qFormat/>
    <w:uiPriority w:val="0"/>
    <w:rPr>
      <w:rFonts w:hint="eastAsia" w:ascii="Times New Roman" w:hAnsi="Times New Roman" w:eastAsia="Times New Roman"/>
      <w:sz w:val="18"/>
    </w:rPr>
  </w:style>
  <w:style w:type="character" w:customStyle="1" w:styleId="107">
    <w:name w:val="页脚 Char"/>
    <w:qFormat/>
    <w:uiPriority w:val="0"/>
    <w:rPr>
      <w:kern w:val="2"/>
      <w:sz w:val="18"/>
      <w:szCs w:val="18"/>
    </w:rPr>
  </w:style>
  <w:style w:type="character" w:customStyle="1" w:styleId="108">
    <w:name w:val="批注文字 Char Char"/>
    <w:qFormat/>
    <w:uiPriority w:val="0"/>
    <w:rPr>
      <w:kern w:val="2"/>
      <w:sz w:val="21"/>
      <w:szCs w:val="24"/>
      <w:lang w:bidi="ar-SA"/>
    </w:rPr>
  </w:style>
  <w:style w:type="character" w:customStyle="1" w:styleId="109">
    <w:name w:val="sidecatalog-index2"/>
    <w:qFormat/>
    <w:uiPriority w:val="0"/>
    <w:rPr>
      <w:rFonts w:ascii="Arail" w:hAnsi="Arail" w:eastAsia="Arail" w:cs="Arail"/>
      <w:color w:val="999999"/>
      <w:sz w:val="21"/>
      <w:szCs w:val="21"/>
    </w:rPr>
  </w:style>
  <w:style w:type="character" w:customStyle="1" w:styleId="110">
    <w:name w:val="Font Style126"/>
    <w:unhideWhenUsed/>
    <w:qFormat/>
    <w:uiPriority w:val="0"/>
    <w:rPr>
      <w:rFonts w:hint="eastAsia" w:ascii="宋体" w:hAnsi="宋体" w:eastAsia="宋体"/>
      <w:b/>
      <w:spacing w:val="-30"/>
      <w:sz w:val="28"/>
    </w:rPr>
  </w:style>
  <w:style w:type="character" w:customStyle="1" w:styleId="111">
    <w:name w:val="Char Char14"/>
    <w:qFormat/>
    <w:uiPriority w:val="0"/>
    <w:rPr>
      <w:rFonts w:ascii="Arial" w:hAnsi="Arial" w:eastAsia="黑体"/>
      <w:b/>
      <w:bCs/>
      <w:sz w:val="28"/>
      <w:szCs w:val="28"/>
      <w:lang w:val="en-US" w:eastAsia="zh-CN" w:bidi="ar-SA"/>
    </w:rPr>
  </w:style>
  <w:style w:type="character" w:customStyle="1" w:styleId="112">
    <w:name w:val="bds_nopic2"/>
    <w:qFormat/>
    <w:uiPriority w:val="0"/>
    <w:rPr>
      <w:rFonts w:ascii="Times New Roman" w:hAnsi="Times New Roman" w:eastAsia="宋体"/>
    </w:rPr>
  </w:style>
  <w:style w:type="character" w:customStyle="1" w:styleId="113">
    <w:name w:val="Font Style127"/>
    <w:unhideWhenUsed/>
    <w:qFormat/>
    <w:uiPriority w:val="0"/>
    <w:rPr>
      <w:rFonts w:hint="eastAsia" w:ascii="Times New Roman" w:hAnsi="Times New Roman" w:eastAsia="Times New Roman"/>
      <w:sz w:val="20"/>
    </w:rPr>
  </w:style>
  <w:style w:type="character" w:customStyle="1" w:styleId="114">
    <w:name w:val="polysemyred"/>
    <w:qFormat/>
    <w:uiPriority w:val="0"/>
    <w:rPr>
      <w:rFonts w:ascii="Times New Roman" w:hAnsi="Times New Roman" w:eastAsia="宋体"/>
      <w:color w:val="FF6666"/>
      <w:sz w:val="18"/>
      <w:szCs w:val="18"/>
    </w:rPr>
  </w:style>
  <w:style w:type="character" w:customStyle="1" w:styleId="115">
    <w:name w:val="Font Style119"/>
    <w:unhideWhenUsed/>
    <w:qFormat/>
    <w:uiPriority w:val="0"/>
    <w:rPr>
      <w:rFonts w:hint="eastAsia" w:ascii="宋体" w:hAnsi="宋体" w:eastAsia="宋体"/>
      <w:sz w:val="24"/>
    </w:rPr>
  </w:style>
  <w:style w:type="character" w:customStyle="1" w:styleId="116">
    <w:name w:val="polysemyexp"/>
    <w:qFormat/>
    <w:uiPriority w:val="0"/>
    <w:rPr>
      <w:rFonts w:ascii="Times New Roman" w:hAnsi="Times New Roman" w:eastAsia="宋体"/>
      <w:color w:val="AAAAAA"/>
      <w:sz w:val="18"/>
      <w:szCs w:val="18"/>
    </w:rPr>
  </w:style>
  <w:style w:type="character" w:customStyle="1" w:styleId="117">
    <w:name w:val="批注框文本 Char"/>
    <w:qFormat/>
    <w:uiPriority w:val="0"/>
    <w:rPr>
      <w:kern w:val="2"/>
      <w:sz w:val="18"/>
      <w:szCs w:val="18"/>
    </w:rPr>
  </w:style>
  <w:style w:type="character" w:customStyle="1" w:styleId="118">
    <w:name w:val="bds_more6"/>
    <w:qFormat/>
    <w:uiPriority w:val="0"/>
    <w:rPr>
      <w:rFonts w:hint="eastAsia" w:ascii="宋体" w:hAnsi="宋体" w:eastAsia="宋体" w:cs="宋体"/>
    </w:rPr>
  </w:style>
  <w:style w:type="character" w:customStyle="1" w:styleId="119">
    <w:name w:val="desc"/>
    <w:qFormat/>
    <w:uiPriority w:val="0"/>
    <w:rPr>
      <w:rFonts w:ascii="Times New Roman" w:hAnsi="Times New Roman" w:eastAsia="宋体"/>
      <w:color w:val="000000"/>
      <w:sz w:val="18"/>
      <w:szCs w:val="18"/>
    </w:rPr>
  </w:style>
  <w:style w:type="character" w:customStyle="1" w:styleId="120">
    <w:name w:val="bds_nopic"/>
    <w:qFormat/>
    <w:uiPriority w:val="0"/>
    <w:rPr>
      <w:rFonts w:ascii="Times New Roman" w:hAnsi="Times New Roman" w:eastAsia="宋体"/>
    </w:rPr>
  </w:style>
  <w:style w:type="character" w:customStyle="1" w:styleId="121">
    <w:name w:val="Font Style116"/>
    <w:unhideWhenUsed/>
    <w:qFormat/>
    <w:uiPriority w:val="0"/>
    <w:rPr>
      <w:rFonts w:hint="eastAsia" w:ascii="宋体" w:hAnsi="宋体" w:eastAsia="宋体"/>
      <w:spacing w:val="-20"/>
      <w:sz w:val="24"/>
    </w:rPr>
  </w:style>
  <w:style w:type="character" w:customStyle="1" w:styleId="122">
    <w:name w:val="Font Style122"/>
    <w:unhideWhenUsed/>
    <w:qFormat/>
    <w:uiPriority w:val="0"/>
    <w:rPr>
      <w:rFonts w:hint="eastAsia" w:ascii="宋体" w:hAnsi="宋体" w:eastAsia="宋体"/>
      <w:spacing w:val="20"/>
      <w:sz w:val="24"/>
    </w:rPr>
  </w:style>
  <w:style w:type="character" w:customStyle="1" w:styleId="123">
    <w:name w:val="Char Char6"/>
    <w:qFormat/>
    <w:uiPriority w:val="0"/>
    <w:rPr>
      <w:rFonts w:ascii="Arial" w:hAnsi="Arial" w:eastAsia="黑体"/>
      <w:sz w:val="24"/>
      <w:szCs w:val="24"/>
      <w:lang w:val="en-US" w:eastAsia="zh-CN" w:bidi="ar-SA"/>
    </w:rPr>
  </w:style>
  <w:style w:type="character" w:customStyle="1" w:styleId="124">
    <w:name w:val="bds_more10"/>
    <w:qFormat/>
    <w:uiPriority w:val="0"/>
    <w:rPr>
      <w:rFonts w:ascii="Times New Roman" w:hAnsi="Times New Roman" w:eastAsia="宋体"/>
    </w:rPr>
  </w:style>
  <w:style w:type="character" w:customStyle="1" w:styleId="125">
    <w:name w:val="Font Style124"/>
    <w:unhideWhenUsed/>
    <w:qFormat/>
    <w:uiPriority w:val="0"/>
    <w:rPr>
      <w:rFonts w:hint="eastAsia" w:ascii="宋体" w:hAnsi="宋体" w:eastAsia="宋体"/>
      <w:spacing w:val="30"/>
      <w:sz w:val="24"/>
    </w:rPr>
  </w:style>
  <w:style w:type="character" w:customStyle="1" w:styleId="126">
    <w:name w:val="Font Style125"/>
    <w:unhideWhenUsed/>
    <w:qFormat/>
    <w:uiPriority w:val="0"/>
    <w:rPr>
      <w:rFonts w:hint="eastAsia" w:ascii="宋体" w:hAnsi="宋体" w:eastAsia="宋体"/>
      <w:b/>
      <w:sz w:val="26"/>
    </w:rPr>
  </w:style>
  <w:style w:type="character" w:customStyle="1" w:styleId="127">
    <w:name w:val="正文文本缩进 3 Char"/>
    <w:qFormat/>
    <w:uiPriority w:val="0"/>
    <w:rPr>
      <w:rFonts w:ascii="宋体" w:hAnsi="MS Sans Serif"/>
      <w:color w:val="000000"/>
      <w:sz w:val="24"/>
    </w:rPr>
  </w:style>
  <w:style w:type="character" w:customStyle="1" w:styleId="128">
    <w:name w:val="sidecatalog-dot1"/>
    <w:qFormat/>
    <w:uiPriority w:val="0"/>
    <w:rPr>
      <w:rFonts w:ascii="Times New Roman" w:hAnsi="Times New Roman" w:eastAsia="宋体"/>
    </w:rPr>
  </w:style>
  <w:style w:type="character" w:customStyle="1" w:styleId="129">
    <w:name w:val="p0 Char"/>
    <w:link w:val="130"/>
    <w:qFormat/>
    <w:uiPriority w:val="0"/>
    <w:rPr>
      <w:rFonts w:eastAsia="宋体"/>
      <w:sz w:val="21"/>
      <w:szCs w:val="21"/>
      <w:lang w:val="en-US" w:eastAsia="zh-CN" w:bidi="ar-SA"/>
    </w:rPr>
  </w:style>
  <w:style w:type="paragraph" w:customStyle="1" w:styleId="130">
    <w:name w:val="p0"/>
    <w:basedOn w:val="1"/>
    <w:link w:val="129"/>
    <w:qFormat/>
    <w:uiPriority w:val="0"/>
    <w:pPr>
      <w:widowControl/>
    </w:pPr>
    <w:rPr>
      <w:kern w:val="0"/>
      <w:szCs w:val="21"/>
    </w:rPr>
  </w:style>
  <w:style w:type="character" w:customStyle="1" w:styleId="131">
    <w:name w:val="Font Style105"/>
    <w:unhideWhenUsed/>
    <w:qFormat/>
    <w:uiPriority w:val="0"/>
    <w:rPr>
      <w:rFonts w:hint="eastAsia" w:ascii="Times New Roman" w:hAnsi="Times New Roman" w:eastAsia="Times New Roman"/>
      <w:w w:val="60"/>
      <w:sz w:val="26"/>
    </w:rPr>
  </w:style>
  <w:style w:type="character" w:customStyle="1" w:styleId="132">
    <w:name w:val="样式2 Char Char"/>
    <w:qFormat/>
    <w:uiPriority w:val="0"/>
    <w:rPr>
      <w:rFonts w:eastAsia="宋体"/>
      <w:kern w:val="2"/>
      <w:sz w:val="18"/>
      <w:szCs w:val="18"/>
      <w:lang w:val="en-US" w:eastAsia="zh-CN" w:bidi="ar-SA"/>
    </w:rPr>
  </w:style>
  <w:style w:type="character" w:customStyle="1" w:styleId="133">
    <w:name w:val="标题 Char1"/>
    <w:qFormat/>
    <w:uiPriority w:val="0"/>
    <w:rPr>
      <w:rFonts w:ascii="Cambria" w:hAnsi="Cambria" w:eastAsia="宋体" w:cs="Times New Roman"/>
      <w:b/>
      <w:bCs/>
      <w:sz w:val="32"/>
      <w:szCs w:val="32"/>
    </w:rPr>
  </w:style>
  <w:style w:type="character" w:customStyle="1" w:styleId="134">
    <w:name w:val="sidecatalog-dot"/>
    <w:qFormat/>
    <w:uiPriority w:val="0"/>
    <w:rPr>
      <w:rFonts w:ascii="Times New Roman" w:hAnsi="Times New Roman" w:eastAsia="宋体"/>
    </w:rPr>
  </w:style>
  <w:style w:type="character" w:customStyle="1" w:styleId="135">
    <w:name w:val="Font Style94"/>
    <w:unhideWhenUsed/>
    <w:qFormat/>
    <w:uiPriority w:val="0"/>
    <w:rPr>
      <w:rFonts w:hint="eastAsia" w:ascii="Times New Roman" w:hAnsi="Times New Roman" w:eastAsia="Times New Roman"/>
      <w:sz w:val="28"/>
    </w:rPr>
  </w:style>
  <w:style w:type="character" w:customStyle="1" w:styleId="136">
    <w:name w:val="标题 Char"/>
    <w:qFormat/>
    <w:uiPriority w:val="0"/>
    <w:rPr>
      <w:rFonts w:ascii="Cambria" w:hAnsi="Cambria"/>
      <w:b/>
      <w:kern w:val="2"/>
      <w:sz w:val="32"/>
      <w:szCs w:val="24"/>
    </w:rPr>
  </w:style>
  <w:style w:type="character" w:customStyle="1" w:styleId="137">
    <w:name w:val="Font Style86"/>
    <w:unhideWhenUsed/>
    <w:qFormat/>
    <w:uiPriority w:val="0"/>
    <w:rPr>
      <w:rFonts w:hint="eastAsia" w:ascii="黑体" w:hAnsi="黑体" w:eastAsia="黑体"/>
      <w:spacing w:val="10"/>
      <w:sz w:val="30"/>
    </w:rPr>
  </w:style>
  <w:style w:type="character" w:customStyle="1" w:styleId="138">
    <w:name w:val="标题 8 Char"/>
    <w:qFormat/>
    <w:uiPriority w:val="0"/>
    <w:rPr>
      <w:rFonts w:ascii="Arial" w:hAnsi="Arial" w:eastAsia="黑体"/>
      <w:sz w:val="24"/>
      <w:szCs w:val="24"/>
    </w:rPr>
  </w:style>
  <w:style w:type="character" w:customStyle="1" w:styleId="139">
    <w:name w:val="标题 4 Char"/>
    <w:qFormat/>
    <w:uiPriority w:val="0"/>
    <w:rPr>
      <w:rFonts w:ascii="Arial" w:hAnsi="Arial" w:eastAsia="宋体" w:cs="Times New Roman"/>
      <w:b/>
      <w:bCs/>
      <w:szCs w:val="28"/>
    </w:rPr>
  </w:style>
  <w:style w:type="character" w:customStyle="1" w:styleId="140">
    <w:name w:val="批注文字 Char"/>
    <w:qFormat/>
    <w:uiPriority w:val="0"/>
    <w:rPr>
      <w:kern w:val="2"/>
      <w:sz w:val="21"/>
      <w:szCs w:val="24"/>
    </w:rPr>
  </w:style>
  <w:style w:type="character" w:customStyle="1" w:styleId="141">
    <w:name w:val="日期 Char"/>
    <w:qFormat/>
    <w:uiPriority w:val="0"/>
    <w:rPr>
      <w:kern w:val="2"/>
      <w:sz w:val="21"/>
      <w:szCs w:val="24"/>
    </w:rPr>
  </w:style>
  <w:style w:type="character" w:customStyle="1" w:styleId="142">
    <w:name w:val="标题 3 Char"/>
    <w:qFormat/>
    <w:uiPriority w:val="0"/>
    <w:rPr>
      <w:b/>
      <w:bCs/>
      <w:sz w:val="24"/>
      <w:szCs w:val="24"/>
    </w:rPr>
  </w:style>
  <w:style w:type="character" w:customStyle="1" w:styleId="143">
    <w:name w:val="Font Style104"/>
    <w:unhideWhenUsed/>
    <w:qFormat/>
    <w:uiPriority w:val="0"/>
    <w:rPr>
      <w:rFonts w:hint="eastAsia" w:ascii="宋体" w:hAnsi="宋体" w:eastAsia="宋体"/>
      <w:spacing w:val="30"/>
      <w:sz w:val="18"/>
    </w:rPr>
  </w:style>
  <w:style w:type="character" w:customStyle="1" w:styleId="144">
    <w:name w:val="plus"/>
    <w:qFormat/>
    <w:uiPriority w:val="0"/>
    <w:rPr>
      <w:rFonts w:ascii="Times New Roman" w:hAnsi="Times New Roman" w:eastAsia="宋体"/>
      <w:b/>
      <w:vanish/>
      <w:color w:val="1F8DEF"/>
      <w:sz w:val="24"/>
      <w:szCs w:val="24"/>
    </w:rPr>
  </w:style>
  <w:style w:type="character" w:customStyle="1" w:styleId="145">
    <w:name w:val="Font Style121"/>
    <w:unhideWhenUsed/>
    <w:qFormat/>
    <w:uiPriority w:val="0"/>
    <w:rPr>
      <w:rFonts w:hint="eastAsia" w:ascii="宋体" w:hAnsi="宋体" w:eastAsia="宋体"/>
      <w:spacing w:val="-10"/>
      <w:sz w:val="30"/>
    </w:rPr>
  </w:style>
  <w:style w:type="character" w:customStyle="1" w:styleId="146">
    <w:name w:val="标题 6 Char"/>
    <w:qFormat/>
    <w:uiPriority w:val="0"/>
    <w:rPr>
      <w:rFonts w:ascii="Arial" w:hAnsi="Arial" w:eastAsia="黑体"/>
      <w:b/>
      <w:bCs/>
      <w:sz w:val="24"/>
      <w:szCs w:val="24"/>
    </w:rPr>
  </w:style>
  <w:style w:type="paragraph" w:customStyle="1" w:styleId="147">
    <w:name w:val="Style76"/>
    <w:basedOn w:val="1"/>
    <w:unhideWhenUsed/>
    <w:qFormat/>
    <w:uiPriority w:val="0"/>
  </w:style>
  <w:style w:type="paragraph" w:customStyle="1" w:styleId="14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9">
    <w:name w:val="Style69"/>
    <w:basedOn w:val="1"/>
    <w:unhideWhenUsed/>
    <w:qFormat/>
    <w:uiPriority w:val="0"/>
    <w:pPr>
      <w:spacing w:line="557" w:lineRule="exact"/>
      <w:ind w:firstLine="1666"/>
    </w:pPr>
  </w:style>
  <w:style w:type="paragraph" w:customStyle="1" w:styleId="150">
    <w:name w:val="Style67"/>
    <w:basedOn w:val="1"/>
    <w:unhideWhenUsed/>
    <w:qFormat/>
    <w:uiPriority w:val="0"/>
    <w:pPr>
      <w:spacing w:line="566" w:lineRule="exact"/>
      <w:ind w:firstLine="552"/>
    </w:pPr>
  </w:style>
  <w:style w:type="paragraph" w:customStyle="1" w:styleId="151">
    <w:name w:val="Char Char1 Char Char Char Char Char Char Char"/>
    <w:basedOn w:val="1"/>
    <w:qFormat/>
    <w:uiPriority w:val="0"/>
    <w:pPr>
      <w:widowControl/>
      <w:spacing w:after="160" w:line="240" w:lineRule="exact"/>
      <w:jc w:val="left"/>
    </w:pPr>
  </w:style>
  <w:style w:type="paragraph" w:customStyle="1" w:styleId="152">
    <w:name w:val="Style74"/>
    <w:basedOn w:val="1"/>
    <w:unhideWhenUsed/>
    <w:qFormat/>
    <w:uiPriority w:val="0"/>
    <w:pPr>
      <w:spacing w:line="437" w:lineRule="exact"/>
    </w:pPr>
  </w:style>
  <w:style w:type="paragraph" w:customStyle="1" w:styleId="153">
    <w:name w:val="标题3"/>
    <w:basedOn w:val="4"/>
    <w:qFormat/>
    <w:uiPriority w:val="0"/>
    <w:pPr>
      <w:spacing w:beforeLines="50" w:afterLines="50" w:line="400" w:lineRule="exact"/>
      <w:jc w:val="both"/>
    </w:pPr>
    <w:rPr>
      <w:rFonts w:ascii="宋体" w:hAnsi="宋体"/>
      <w:kern w:val="32"/>
      <w:szCs w:val="32"/>
    </w:rPr>
  </w:style>
  <w:style w:type="paragraph" w:customStyle="1" w:styleId="15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55">
    <w:name w:val="默认段落字体 Para Char Char Char Char Char Char Char Char Char Char Char Char Char Char Char Char Char Char Char"/>
    <w:basedOn w:val="1"/>
    <w:qFormat/>
    <w:uiPriority w:val="0"/>
  </w:style>
  <w:style w:type="paragraph" w:customStyle="1" w:styleId="156">
    <w:name w:val="Style12"/>
    <w:basedOn w:val="1"/>
    <w:unhideWhenUsed/>
    <w:qFormat/>
    <w:uiPriority w:val="0"/>
    <w:pPr>
      <w:spacing w:line="564" w:lineRule="exact"/>
      <w:ind w:hanging="115"/>
    </w:pPr>
  </w:style>
  <w:style w:type="paragraph" w:customStyle="1" w:styleId="157">
    <w:name w:val="Style63"/>
    <w:basedOn w:val="1"/>
    <w:unhideWhenUsed/>
    <w:qFormat/>
    <w:uiPriority w:val="0"/>
    <w:pPr>
      <w:spacing w:line="564" w:lineRule="exact"/>
      <w:ind w:firstLine="682"/>
    </w:pPr>
  </w:style>
  <w:style w:type="paragraph" w:customStyle="1" w:styleId="158">
    <w:name w:val="Style41"/>
    <w:basedOn w:val="1"/>
    <w:unhideWhenUsed/>
    <w:qFormat/>
    <w:uiPriority w:val="0"/>
    <w:pPr>
      <w:spacing w:line="542" w:lineRule="exact"/>
      <w:ind w:firstLine="125"/>
    </w:pPr>
  </w:style>
  <w:style w:type="paragraph" w:customStyle="1" w:styleId="159">
    <w:name w:val="Style60"/>
    <w:basedOn w:val="1"/>
    <w:unhideWhenUsed/>
    <w:qFormat/>
    <w:uiPriority w:val="0"/>
    <w:pPr>
      <w:spacing w:line="566" w:lineRule="exact"/>
    </w:pPr>
  </w:style>
  <w:style w:type="paragraph" w:customStyle="1" w:styleId="160">
    <w:name w:val="Style46"/>
    <w:basedOn w:val="1"/>
    <w:unhideWhenUsed/>
    <w:qFormat/>
    <w:uiPriority w:val="0"/>
    <w:pPr>
      <w:spacing w:line="672" w:lineRule="exact"/>
    </w:pPr>
  </w:style>
  <w:style w:type="paragraph" w:customStyle="1" w:styleId="161">
    <w:name w:val="Style44"/>
    <w:basedOn w:val="1"/>
    <w:unhideWhenUsed/>
    <w:qFormat/>
    <w:uiPriority w:val="0"/>
  </w:style>
  <w:style w:type="paragraph" w:customStyle="1" w:styleId="162">
    <w:name w:val="Style64"/>
    <w:basedOn w:val="1"/>
    <w:unhideWhenUsed/>
    <w:qFormat/>
    <w:uiPriority w:val="0"/>
  </w:style>
  <w:style w:type="paragraph" w:customStyle="1" w:styleId="163">
    <w:name w:val="Style26"/>
    <w:basedOn w:val="1"/>
    <w:unhideWhenUsed/>
    <w:qFormat/>
    <w:uiPriority w:val="0"/>
  </w:style>
  <w:style w:type="paragraph" w:customStyle="1" w:styleId="16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65">
    <w:name w:val="Style61"/>
    <w:basedOn w:val="1"/>
    <w:unhideWhenUsed/>
    <w:qFormat/>
    <w:uiPriority w:val="0"/>
  </w:style>
  <w:style w:type="paragraph" w:customStyle="1" w:styleId="166">
    <w:name w:val="Style13"/>
    <w:basedOn w:val="1"/>
    <w:unhideWhenUsed/>
    <w:qFormat/>
    <w:uiPriority w:val="0"/>
  </w:style>
  <w:style w:type="paragraph" w:customStyle="1" w:styleId="167">
    <w:name w:val="List Paragraph1"/>
    <w:basedOn w:val="1"/>
    <w:qFormat/>
    <w:uiPriority w:val="0"/>
    <w:pPr>
      <w:ind w:firstLine="420" w:firstLineChars="200"/>
    </w:pPr>
    <w:rPr>
      <w:rFonts w:ascii="Calibri" w:hAnsi="Calibri" w:cs="Calibri"/>
      <w:szCs w:val="21"/>
    </w:rPr>
  </w:style>
  <w:style w:type="paragraph" w:customStyle="1" w:styleId="168">
    <w:name w:val="表格内容"/>
    <w:basedOn w:val="19"/>
    <w:qFormat/>
    <w:uiPriority w:val="0"/>
    <w:pPr>
      <w:suppressLineNumbers/>
      <w:suppressAutoHyphens/>
      <w:jc w:val="left"/>
    </w:pPr>
    <w:rPr>
      <w:rFonts w:cs="Tahoma"/>
      <w:kern w:val="0"/>
      <w:sz w:val="24"/>
    </w:rPr>
  </w:style>
  <w:style w:type="paragraph" w:customStyle="1" w:styleId="169">
    <w:name w:val="Char1 Char Char Char"/>
    <w:basedOn w:val="1"/>
    <w:qFormat/>
    <w:uiPriority w:val="0"/>
    <w:pPr>
      <w:widowControl/>
      <w:spacing w:after="160" w:line="240" w:lineRule="exact"/>
      <w:jc w:val="left"/>
    </w:pPr>
    <w:rPr>
      <w:kern w:val="0"/>
      <w:sz w:val="24"/>
      <w:szCs w:val="20"/>
    </w:rPr>
  </w:style>
  <w:style w:type="paragraph" w:customStyle="1" w:styleId="170">
    <w:name w:val="Char Char Char"/>
    <w:basedOn w:val="1"/>
    <w:qFormat/>
    <w:uiPriority w:val="0"/>
    <w:rPr>
      <w:rFonts w:ascii="宋体" w:hAnsi="宋体"/>
      <w:b/>
      <w:sz w:val="28"/>
      <w:szCs w:val="28"/>
    </w:rPr>
  </w:style>
  <w:style w:type="paragraph" w:customStyle="1" w:styleId="171">
    <w:name w:val="p16"/>
    <w:basedOn w:val="1"/>
    <w:qFormat/>
    <w:uiPriority w:val="0"/>
    <w:pPr>
      <w:widowControl/>
      <w:jc w:val="left"/>
    </w:pPr>
    <w:rPr>
      <w:kern w:val="0"/>
      <w:szCs w:val="21"/>
    </w:rPr>
  </w:style>
  <w:style w:type="paragraph" w:customStyle="1" w:styleId="172">
    <w:name w:val="1 Char Char Char Char"/>
    <w:basedOn w:val="1"/>
    <w:qFormat/>
    <w:uiPriority w:val="0"/>
  </w:style>
  <w:style w:type="paragraph" w:customStyle="1" w:styleId="173">
    <w:name w:val="标题2"/>
    <w:basedOn w:val="39"/>
    <w:qFormat/>
    <w:uiPriority w:val="0"/>
    <w:pPr>
      <w:spacing w:after="240"/>
      <w:jc w:val="left"/>
    </w:pPr>
    <w:rPr>
      <w:sz w:val="30"/>
    </w:rPr>
  </w:style>
  <w:style w:type="paragraph" w:customStyle="1" w:styleId="174">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Char1 Char Char Char Char Char Char Char Char Char"/>
    <w:basedOn w:val="1"/>
    <w:qFormat/>
    <w:uiPriority w:val="0"/>
    <w:rPr>
      <w:szCs w:val="20"/>
    </w:rPr>
  </w:style>
  <w:style w:type="paragraph" w:customStyle="1" w:styleId="176">
    <w:name w:val="Style23"/>
    <w:basedOn w:val="1"/>
    <w:unhideWhenUsed/>
    <w:qFormat/>
    <w:uiPriority w:val="0"/>
  </w:style>
  <w:style w:type="paragraph" w:customStyle="1" w:styleId="177">
    <w:name w:val="Style42"/>
    <w:basedOn w:val="1"/>
    <w:unhideWhenUsed/>
    <w:qFormat/>
    <w:uiPriority w:val="0"/>
    <w:pPr>
      <w:spacing w:line="542" w:lineRule="exact"/>
      <w:ind w:firstLine="547"/>
    </w:pPr>
  </w:style>
  <w:style w:type="paragraph" w:customStyle="1" w:styleId="178">
    <w:name w:val="Style78"/>
    <w:basedOn w:val="1"/>
    <w:unhideWhenUsed/>
    <w:qFormat/>
    <w:uiPriority w:val="0"/>
  </w:style>
  <w:style w:type="paragraph" w:customStyle="1" w:styleId="179">
    <w:name w:val="Style58"/>
    <w:basedOn w:val="1"/>
    <w:unhideWhenUsed/>
    <w:qFormat/>
    <w:uiPriority w:val="0"/>
    <w:pPr>
      <w:spacing w:line="413" w:lineRule="exact"/>
    </w:pPr>
  </w:style>
  <w:style w:type="paragraph" w:customStyle="1" w:styleId="180">
    <w:name w:val="Style56"/>
    <w:basedOn w:val="1"/>
    <w:unhideWhenUsed/>
    <w:qFormat/>
    <w:uiPriority w:val="0"/>
  </w:style>
  <w:style w:type="paragraph" w:customStyle="1" w:styleId="181">
    <w:name w:val="Style73"/>
    <w:basedOn w:val="1"/>
    <w:unhideWhenUsed/>
    <w:qFormat/>
    <w:uiPriority w:val="0"/>
    <w:pPr>
      <w:spacing w:line="538" w:lineRule="exact"/>
      <w:ind w:firstLine="533"/>
    </w:pPr>
  </w:style>
  <w:style w:type="paragraph" w:customStyle="1" w:styleId="182">
    <w:name w:val="Style62"/>
    <w:basedOn w:val="1"/>
    <w:unhideWhenUsed/>
    <w:qFormat/>
    <w:uiPriority w:val="0"/>
  </w:style>
  <w:style w:type="paragraph" w:customStyle="1" w:styleId="183">
    <w:name w:val="Char Char1 Char Char Char"/>
    <w:basedOn w:val="1"/>
    <w:qFormat/>
    <w:uiPriority w:val="0"/>
    <w:rPr>
      <w:kern w:val="0"/>
      <w:sz w:val="20"/>
      <w:szCs w:val="20"/>
    </w:rPr>
  </w:style>
  <w:style w:type="paragraph" w:customStyle="1" w:styleId="184">
    <w:name w:val="Style4"/>
    <w:basedOn w:val="1"/>
    <w:unhideWhenUsed/>
    <w:qFormat/>
    <w:uiPriority w:val="0"/>
  </w:style>
  <w:style w:type="paragraph" w:customStyle="1" w:styleId="185">
    <w:name w:val="Style59"/>
    <w:basedOn w:val="1"/>
    <w:unhideWhenUsed/>
    <w:qFormat/>
    <w:uiPriority w:val="0"/>
  </w:style>
  <w:style w:type="paragraph" w:customStyle="1" w:styleId="186">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87">
    <w:name w:val="标题 1 +"/>
    <w:basedOn w:val="4"/>
    <w:next w:val="1"/>
    <w:qFormat/>
    <w:uiPriority w:val="0"/>
    <w:pPr>
      <w:keepLines/>
      <w:spacing w:line="600" w:lineRule="auto"/>
    </w:pPr>
    <w:rPr>
      <w:rFonts w:eastAsia="黑体"/>
      <w:kern w:val="0"/>
      <w:sz w:val="32"/>
      <w:szCs w:val="32"/>
    </w:rPr>
  </w:style>
  <w:style w:type="paragraph" w:customStyle="1" w:styleId="188">
    <w:name w:val="Style80"/>
    <w:basedOn w:val="1"/>
    <w:unhideWhenUsed/>
    <w:qFormat/>
    <w:uiPriority w:val="0"/>
  </w:style>
  <w:style w:type="paragraph" w:customStyle="1" w:styleId="189">
    <w:name w:val="样式 标题 2 + Times New Roman 四号 非加粗 段前: 5 磅 段后: 0 磅 行距: 固定值 20..."/>
    <w:basedOn w:val="5"/>
    <w:qFormat/>
    <w:uiPriority w:val="0"/>
    <w:pPr>
      <w:spacing w:before="100" w:line="400" w:lineRule="exact"/>
    </w:pPr>
    <w:rPr>
      <w:rFonts w:ascii="Times New Roman" w:hAnsi="Times New Roman" w:eastAsia="黑体"/>
      <w:b w:val="0"/>
      <w:bCs w:val="0"/>
      <w:sz w:val="28"/>
      <w:szCs w:val="20"/>
    </w:rPr>
  </w:style>
  <w:style w:type="paragraph" w:customStyle="1" w:styleId="190">
    <w:name w:val="Style47"/>
    <w:basedOn w:val="1"/>
    <w:unhideWhenUsed/>
    <w:qFormat/>
    <w:uiPriority w:val="0"/>
  </w:style>
  <w:style w:type="paragraph" w:customStyle="1" w:styleId="191">
    <w:name w:val="Style21"/>
    <w:basedOn w:val="1"/>
    <w:unhideWhenUsed/>
    <w:qFormat/>
    <w:uiPriority w:val="0"/>
    <w:pPr>
      <w:spacing w:line="566" w:lineRule="exact"/>
      <w:ind w:firstLine="682"/>
    </w:pPr>
  </w:style>
  <w:style w:type="paragraph" w:customStyle="1" w:styleId="192">
    <w:name w:val="Style48"/>
    <w:basedOn w:val="1"/>
    <w:unhideWhenUsed/>
    <w:qFormat/>
    <w:uiPriority w:val="0"/>
    <w:pPr>
      <w:spacing w:line="542" w:lineRule="exact"/>
      <w:jc w:val="right"/>
    </w:pPr>
  </w:style>
  <w:style w:type="paragraph" w:customStyle="1" w:styleId="193">
    <w:name w:val="Style54"/>
    <w:basedOn w:val="1"/>
    <w:unhideWhenUsed/>
    <w:qFormat/>
    <w:uiPriority w:val="0"/>
  </w:style>
  <w:style w:type="paragraph" w:customStyle="1" w:styleId="194">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95">
    <w:name w:val="Style24"/>
    <w:basedOn w:val="1"/>
    <w:unhideWhenUsed/>
    <w:qFormat/>
    <w:uiPriority w:val="0"/>
  </w:style>
  <w:style w:type="paragraph" w:customStyle="1" w:styleId="196">
    <w:name w:val="样式 标题 2 + 宋体 五号 行距: 单倍行距"/>
    <w:basedOn w:val="5"/>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97">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98">
    <w:name w:val="Style11"/>
    <w:basedOn w:val="1"/>
    <w:unhideWhenUsed/>
    <w:qFormat/>
    <w:uiPriority w:val="0"/>
    <w:pPr>
      <w:spacing w:line="559" w:lineRule="exact"/>
      <w:ind w:firstLine="590"/>
    </w:pPr>
  </w:style>
  <w:style w:type="paragraph" w:customStyle="1" w:styleId="199">
    <w:name w:val="Style5"/>
    <w:basedOn w:val="1"/>
    <w:unhideWhenUsed/>
    <w:qFormat/>
    <w:uiPriority w:val="0"/>
  </w:style>
  <w:style w:type="paragraph" w:customStyle="1" w:styleId="200">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1">
    <w:name w:val="附录标识"/>
    <w:basedOn w:val="194"/>
    <w:qFormat/>
    <w:uiPriority w:val="0"/>
    <w:pPr>
      <w:tabs>
        <w:tab w:val="left" w:pos="6405"/>
        <w:tab w:val="clear" w:pos="360"/>
      </w:tabs>
      <w:spacing w:after="200"/>
    </w:pPr>
    <w:rPr>
      <w:sz w:val="21"/>
    </w:rPr>
  </w:style>
  <w:style w:type="paragraph" w:customStyle="1" w:styleId="202">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03">
    <w:name w:val="Style28"/>
    <w:basedOn w:val="1"/>
    <w:unhideWhenUsed/>
    <w:qFormat/>
    <w:uiPriority w:val="0"/>
    <w:pPr>
      <w:spacing w:line="552" w:lineRule="exact"/>
      <w:ind w:firstLine="547"/>
    </w:pPr>
  </w:style>
  <w:style w:type="paragraph" w:customStyle="1" w:styleId="204">
    <w:name w:val="Style68"/>
    <w:basedOn w:val="1"/>
    <w:unhideWhenUsed/>
    <w:qFormat/>
    <w:uiPriority w:val="0"/>
    <w:pPr>
      <w:spacing w:line="547" w:lineRule="exact"/>
    </w:pPr>
  </w:style>
  <w:style w:type="paragraph" w:customStyle="1" w:styleId="205">
    <w:name w:val="Style72"/>
    <w:basedOn w:val="1"/>
    <w:unhideWhenUsed/>
    <w:qFormat/>
    <w:uiPriority w:val="0"/>
  </w:style>
  <w:style w:type="paragraph" w:customStyle="1" w:styleId="206">
    <w:name w:val="Style29"/>
    <w:basedOn w:val="1"/>
    <w:unhideWhenUsed/>
    <w:qFormat/>
    <w:uiPriority w:val="0"/>
    <w:pPr>
      <w:spacing w:line="547" w:lineRule="exact"/>
      <w:ind w:firstLine="547"/>
    </w:pPr>
  </w:style>
  <w:style w:type="paragraph" w:customStyle="1" w:styleId="207">
    <w:name w:val="Style27"/>
    <w:basedOn w:val="1"/>
    <w:unhideWhenUsed/>
    <w:qFormat/>
    <w:uiPriority w:val="0"/>
  </w:style>
  <w:style w:type="paragraph" w:customStyle="1" w:styleId="208">
    <w:name w:val="Style81"/>
    <w:basedOn w:val="1"/>
    <w:unhideWhenUsed/>
    <w:qFormat/>
    <w:uiPriority w:val="0"/>
    <w:pPr>
      <w:spacing w:line="547" w:lineRule="exact"/>
    </w:pPr>
  </w:style>
  <w:style w:type="paragraph" w:customStyle="1" w:styleId="209">
    <w:name w:val="Style52"/>
    <w:basedOn w:val="1"/>
    <w:unhideWhenUsed/>
    <w:qFormat/>
    <w:uiPriority w:val="0"/>
    <w:pPr>
      <w:spacing w:line="682" w:lineRule="exact"/>
      <w:ind w:firstLine="557"/>
    </w:pPr>
  </w:style>
  <w:style w:type="paragraph" w:customStyle="1" w:styleId="210">
    <w:name w:val="Style71"/>
    <w:basedOn w:val="1"/>
    <w:unhideWhenUsed/>
    <w:qFormat/>
    <w:uiPriority w:val="0"/>
    <w:pPr>
      <w:spacing w:line="538" w:lineRule="exact"/>
      <w:ind w:firstLine="101"/>
    </w:pPr>
  </w:style>
  <w:style w:type="paragraph" w:customStyle="1" w:styleId="211">
    <w:name w:val="Style10"/>
    <w:basedOn w:val="1"/>
    <w:unhideWhenUsed/>
    <w:qFormat/>
    <w:uiPriority w:val="0"/>
    <w:pPr>
      <w:spacing w:line="538" w:lineRule="exact"/>
    </w:pPr>
  </w:style>
  <w:style w:type="paragraph" w:customStyle="1" w:styleId="21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Style45"/>
    <w:basedOn w:val="1"/>
    <w:unhideWhenUsed/>
    <w:qFormat/>
    <w:uiPriority w:val="0"/>
  </w:style>
  <w:style w:type="paragraph" w:styleId="214">
    <w:name w:val="List Paragraph"/>
    <w:basedOn w:val="1"/>
    <w:qFormat/>
    <w:uiPriority w:val="0"/>
    <w:pPr>
      <w:ind w:firstLine="420" w:firstLineChars="200"/>
    </w:pPr>
    <w:rPr>
      <w:rFonts w:ascii="Calibri" w:hAnsi="Calibri"/>
      <w:szCs w:val="22"/>
    </w:rPr>
  </w:style>
  <w:style w:type="paragraph" w:customStyle="1" w:styleId="215">
    <w:name w:val="_Style 213"/>
    <w:qFormat/>
    <w:uiPriority w:val="0"/>
    <w:rPr>
      <w:rFonts w:ascii="Times New Roman" w:hAnsi="Times New Roman" w:eastAsia="宋体" w:cs="Times New Roman"/>
      <w:kern w:val="2"/>
      <w:sz w:val="21"/>
      <w:szCs w:val="24"/>
      <w:lang w:val="en-US" w:eastAsia="zh-CN" w:bidi="ar-SA"/>
    </w:rPr>
  </w:style>
  <w:style w:type="paragraph" w:customStyle="1" w:styleId="216">
    <w:name w:val="Char1 Char Char Char 字元 Char Char 字元 Char 字元 Char1 Char Char Char"/>
    <w:basedOn w:val="1"/>
    <w:qFormat/>
    <w:uiPriority w:val="0"/>
    <w:rPr>
      <w:szCs w:val="20"/>
    </w:rPr>
  </w:style>
  <w:style w:type="paragraph" w:customStyle="1" w:styleId="217">
    <w:name w:val="_Style 39"/>
    <w:basedOn w:val="212"/>
    <w:qFormat/>
    <w:uiPriority w:val="0"/>
  </w:style>
  <w:style w:type="paragraph" w:customStyle="1" w:styleId="218">
    <w:name w:val="Style34"/>
    <w:basedOn w:val="1"/>
    <w:unhideWhenUsed/>
    <w:qFormat/>
    <w:uiPriority w:val="0"/>
    <w:pPr>
      <w:spacing w:line="375" w:lineRule="exact"/>
    </w:pPr>
  </w:style>
  <w:style w:type="paragraph" w:customStyle="1" w:styleId="219">
    <w:name w:val="Style15"/>
    <w:basedOn w:val="1"/>
    <w:unhideWhenUsed/>
    <w:qFormat/>
    <w:uiPriority w:val="0"/>
    <w:pPr>
      <w:spacing w:line="557" w:lineRule="exact"/>
      <w:ind w:firstLine="672"/>
    </w:pPr>
  </w:style>
  <w:style w:type="paragraph" w:customStyle="1" w:styleId="220">
    <w:name w:val="Style65"/>
    <w:basedOn w:val="1"/>
    <w:unhideWhenUsed/>
    <w:qFormat/>
    <w:uiPriority w:val="0"/>
  </w:style>
  <w:style w:type="paragraph" w:customStyle="1" w:styleId="221">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2">
    <w:name w:val="Style50"/>
    <w:basedOn w:val="1"/>
    <w:unhideWhenUsed/>
    <w:qFormat/>
    <w:uiPriority w:val="0"/>
  </w:style>
  <w:style w:type="paragraph" w:customStyle="1" w:styleId="223">
    <w:name w:val="Style70"/>
    <w:basedOn w:val="1"/>
    <w:unhideWhenUsed/>
    <w:qFormat/>
    <w:uiPriority w:val="0"/>
    <w:pPr>
      <w:spacing w:line="549" w:lineRule="exact"/>
      <w:ind w:firstLine="686"/>
    </w:pPr>
  </w:style>
  <w:style w:type="paragraph" w:customStyle="1" w:styleId="224">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25">
    <w:name w:val="Style9"/>
    <w:basedOn w:val="1"/>
    <w:unhideWhenUsed/>
    <w:qFormat/>
    <w:uiPriority w:val="0"/>
  </w:style>
  <w:style w:type="paragraph" w:customStyle="1" w:styleId="226">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27">
    <w:name w:val="Style16"/>
    <w:basedOn w:val="1"/>
    <w:unhideWhenUsed/>
    <w:qFormat/>
    <w:uiPriority w:val="0"/>
    <w:pPr>
      <w:jc w:val="right"/>
    </w:pPr>
  </w:style>
  <w:style w:type="paragraph" w:customStyle="1" w:styleId="228">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29">
    <w:name w:val="NO3"/>
    <w:basedOn w:val="1"/>
    <w:qFormat/>
    <w:uiPriority w:val="0"/>
    <w:pPr>
      <w:tabs>
        <w:tab w:val="left" w:pos="907"/>
      </w:tabs>
      <w:spacing w:line="360" w:lineRule="auto"/>
    </w:pPr>
    <w:rPr>
      <w:rFonts w:ascii="宋体" w:hAnsi="宋体"/>
      <w:sz w:val="24"/>
    </w:rPr>
  </w:style>
  <w:style w:type="paragraph" w:customStyle="1" w:styleId="230">
    <w:name w:val="Char"/>
    <w:basedOn w:val="1"/>
    <w:qFormat/>
    <w:uiPriority w:val="0"/>
    <w:pPr>
      <w:tabs>
        <w:tab w:val="left" w:pos="360"/>
      </w:tabs>
      <w:ind w:left="360" w:hanging="360" w:hangingChars="200"/>
    </w:pPr>
    <w:rPr>
      <w:sz w:val="24"/>
    </w:rPr>
  </w:style>
  <w:style w:type="paragraph" w:customStyle="1" w:styleId="231">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32">
    <w:name w:val="Style8"/>
    <w:basedOn w:val="1"/>
    <w:unhideWhenUsed/>
    <w:qFormat/>
    <w:uiPriority w:val="0"/>
    <w:pPr>
      <w:spacing w:line="566" w:lineRule="exact"/>
      <w:jc w:val="center"/>
    </w:pPr>
  </w:style>
  <w:style w:type="paragraph" w:customStyle="1" w:styleId="233">
    <w:name w:val="Char Char1 Char Char Char Char Char1 Char Char Char Char"/>
    <w:basedOn w:val="15"/>
    <w:qFormat/>
    <w:uiPriority w:val="0"/>
    <w:rPr>
      <w:rFonts w:ascii="Tahoma" w:hAnsi="Tahoma"/>
    </w:rPr>
  </w:style>
  <w:style w:type="paragraph" w:customStyle="1" w:styleId="234">
    <w:name w:val="Style77"/>
    <w:basedOn w:val="1"/>
    <w:unhideWhenUsed/>
    <w:qFormat/>
    <w:uiPriority w:val="0"/>
  </w:style>
  <w:style w:type="paragraph" w:customStyle="1" w:styleId="235">
    <w:name w:val="Style36"/>
    <w:basedOn w:val="1"/>
    <w:unhideWhenUsed/>
    <w:qFormat/>
    <w:uiPriority w:val="0"/>
  </w:style>
  <w:style w:type="paragraph" w:customStyle="1" w:styleId="236">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37">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38">
    <w:name w:val="Style53"/>
    <w:basedOn w:val="1"/>
    <w:unhideWhenUsed/>
    <w:qFormat/>
    <w:uiPriority w:val="0"/>
    <w:pPr>
      <w:spacing w:line="533" w:lineRule="exact"/>
      <w:ind w:firstLine="581"/>
    </w:pPr>
  </w:style>
  <w:style w:type="paragraph" w:customStyle="1" w:styleId="239">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240">
    <w:name w:val="1"/>
    <w:basedOn w:val="1"/>
    <w:qFormat/>
    <w:uiPriority w:val="0"/>
    <w:pPr>
      <w:spacing w:afterLines="50" w:line="360" w:lineRule="auto"/>
    </w:pPr>
    <w:rPr>
      <w:rFonts w:ascii="宋体" w:hAnsi="宋体"/>
      <w:b/>
      <w:sz w:val="30"/>
      <w:szCs w:val="21"/>
    </w:rPr>
  </w:style>
  <w:style w:type="paragraph" w:customStyle="1" w:styleId="241">
    <w:name w:val="正文 A"/>
    <w:qFormat/>
    <w:uiPriority w:val="0"/>
    <w:pPr>
      <w:widowControl w:val="0"/>
      <w:spacing w:line="360" w:lineRule="auto"/>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42">
    <w:name w:val="*正文"/>
    <w:qFormat/>
    <w:uiPriority w:val="0"/>
    <w:pPr>
      <w:spacing w:line="360" w:lineRule="auto"/>
      <w:ind w:firstLine="200"/>
    </w:pPr>
    <w:rPr>
      <w:rFonts w:ascii="宋体" w:hAnsi="宋体" w:eastAsia="宋体" w:cs="宋体"/>
      <w:color w:val="000000"/>
      <w:sz w:val="28"/>
      <w:szCs w:val="28"/>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54</Pages>
  <Words>4919</Words>
  <Characters>28044</Characters>
  <Lines>233</Lines>
  <Paragraphs>65</Paragraphs>
  <TotalTime>0</TotalTime>
  <ScaleCrop>false</ScaleCrop>
  <LinksUpToDate>false</LinksUpToDate>
  <CharactersWithSpaces>32898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2018-08-31T08:02:00Z</dcterms:created>
  <dc:creator>admin</dc:creator>
  <cp:lastModifiedBy>Administrator</cp:lastModifiedBy>
  <cp:lastPrinted>2021-12-22T00:50:00Z</cp:lastPrinted>
  <dcterms:modified xsi:type="dcterms:W3CDTF">2022-01-14T10:01:07Z</dcterms:modified>
  <dc:title>附件十一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439827506_btnclosed</vt:lpwstr>
  </property>
  <property fmtid="{D5CDD505-2E9C-101B-9397-08002B2CF9AE}" pid="4" name="ICV">
    <vt:lpwstr>7E0D428975544245A0E95C9F97B770F7</vt:lpwstr>
  </property>
</Properties>
</file>