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ascii="楷体_GB2312" w:hAnsi="宋体" w:eastAsia="楷体_GB2312"/>
          <w:b/>
          <w:color w:val="auto"/>
          <w:highlight w:val="none"/>
        </w:rPr>
      </w:pPr>
    </w:p>
    <w:p>
      <w:pPr>
        <w:pStyle w:val="22"/>
        <w:rPr>
          <w:rFonts w:hAnsi="宋体"/>
          <w:b/>
          <w:color w:val="auto"/>
          <w:highlight w:val="none"/>
        </w:rPr>
      </w:pPr>
    </w:p>
    <w:p>
      <w:pPr>
        <w:pStyle w:val="22"/>
        <w:jc w:val="center"/>
        <w:rPr>
          <w:rFonts w:hint="eastAsia" w:hAnsi="宋体"/>
          <w:b/>
          <w:color w:val="auto"/>
          <w:highlight w:val="none"/>
        </w:rPr>
      </w:pPr>
    </w:p>
    <w:p>
      <w:pPr>
        <w:pStyle w:val="22"/>
        <w:jc w:val="center"/>
        <w:rPr>
          <w:rFonts w:hint="eastAsia" w:hAnsi="宋体"/>
          <w:b/>
          <w:color w:val="auto"/>
          <w:sz w:val="84"/>
          <w:szCs w:val="84"/>
          <w:highlight w:val="none"/>
        </w:rPr>
      </w:pPr>
    </w:p>
    <w:p>
      <w:pPr>
        <w:pStyle w:val="22"/>
        <w:jc w:val="center"/>
        <w:rPr>
          <w:rFonts w:hint="eastAsia" w:hAnsi="宋体"/>
          <w:b/>
          <w:color w:val="auto"/>
          <w:sz w:val="84"/>
          <w:szCs w:val="84"/>
          <w:highlight w:val="none"/>
        </w:rPr>
      </w:pPr>
      <w:r>
        <w:rPr>
          <w:rFonts w:hint="eastAsia" w:hAnsi="宋体"/>
          <w:b/>
          <w:color w:val="auto"/>
          <w:sz w:val="84"/>
          <w:szCs w:val="84"/>
          <w:highlight w:val="none"/>
        </w:rPr>
        <w:t>竞争性磋商文件</w:t>
      </w:r>
    </w:p>
    <w:p>
      <w:pPr>
        <w:pStyle w:val="22"/>
        <w:rPr>
          <w:rFonts w:hint="eastAsia" w:hAnsi="宋体"/>
          <w:b/>
          <w:color w:val="auto"/>
          <w:sz w:val="72"/>
          <w:szCs w:val="72"/>
          <w:highlight w:val="none"/>
        </w:rPr>
      </w:pPr>
    </w:p>
    <w:p>
      <w:pPr>
        <w:pStyle w:val="22"/>
        <w:jc w:val="center"/>
        <w:rPr>
          <w:rFonts w:hint="eastAsia" w:hAnsi="宋体"/>
          <w:b/>
          <w:color w:val="auto"/>
          <w:sz w:val="72"/>
          <w:szCs w:val="72"/>
          <w:highlight w:val="none"/>
        </w:rPr>
      </w:pPr>
    </w:p>
    <w:p>
      <w:pPr>
        <w:pStyle w:val="22"/>
        <w:jc w:val="center"/>
        <w:rPr>
          <w:rFonts w:hint="eastAsia" w:hAnsi="宋体"/>
          <w:b/>
          <w:color w:val="auto"/>
          <w:sz w:val="72"/>
          <w:szCs w:val="72"/>
          <w:highlight w:val="none"/>
        </w:rPr>
      </w:pPr>
    </w:p>
    <w:p>
      <w:pPr>
        <w:spacing w:line="360" w:lineRule="auto"/>
        <w:ind w:firstLine="1280" w:firstLineChars="400"/>
        <w:rPr>
          <w:rFonts w:hint="eastAsia" w:ascii="宋体" w:hAnsi="宋体" w:eastAsia="宋体" w:cs="Courier New"/>
          <w:color w:val="auto"/>
          <w:kern w:val="2"/>
          <w:sz w:val="32"/>
          <w:szCs w:val="32"/>
          <w:highlight w:val="none"/>
          <w:lang w:val="en-US" w:eastAsia="zh-CN" w:bidi="ar-SA"/>
        </w:rPr>
      </w:pPr>
      <w:r>
        <w:rPr>
          <w:rFonts w:hint="eastAsia" w:ascii="宋体" w:hAnsi="宋体"/>
          <w:color w:val="auto"/>
          <w:sz w:val="32"/>
          <w:szCs w:val="32"/>
          <w:highlight w:val="none"/>
        </w:rPr>
        <w:t>采购项目名称：</w:t>
      </w:r>
      <w:r>
        <w:rPr>
          <w:rFonts w:hint="eastAsia" w:ascii="宋体" w:hAnsi="宋体" w:eastAsia="宋体" w:cs="Courier New"/>
          <w:color w:val="auto"/>
          <w:kern w:val="2"/>
          <w:sz w:val="32"/>
          <w:szCs w:val="32"/>
          <w:highlight w:val="none"/>
          <w:lang w:val="en-US" w:eastAsia="zh-CN" w:bidi="ar-SA"/>
        </w:rPr>
        <w:t>湖南省检验检测特色产业园2023-2024</w:t>
      </w:r>
    </w:p>
    <w:p>
      <w:pPr>
        <w:spacing w:line="360" w:lineRule="auto"/>
        <w:ind w:firstLine="3200" w:firstLineChars="1000"/>
        <w:rPr>
          <w:rFonts w:hint="eastAsia" w:ascii="宋体" w:hAnsi="宋体" w:eastAsia="宋体" w:cs="Courier New"/>
          <w:color w:val="auto"/>
          <w:kern w:val="2"/>
          <w:sz w:val="32"/>
          <w:szCs w:val="32"/>
          <w:highlight w:val="none"/>
          <w:lang w:val="en-US" w:eastAsia="zh-CN" w:bidi="ar-SA"/>
        </w:rPr>
      </w:pPr>
      <w:r>
        <w:rPr>
          <w:rFonts w:hint="eastAsia" w:ascii="宋体" w:hAnsi="宋体" w:eastAsia="宋体" w:cs="Courier New"/>
          <w:color w:val="auto"/>
          <w:kern w:val="2"/>
          <w:sz w:val="32"/>
          <w:szCs w:val="32"/>
          <w:highlight w:val="none"/>
          <w:lang w:val="en-US" w:eastAsia="zh-CN" w:bidi="ar-SA"/>
        </w:rPr>
        <w:t xml:space="preserve">年度保洁服务采购项目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   购  人：</w:t>
      </w:r>
      <w:r>
        <w:rPr>
          <w:rFonts w:hint="eastAsia" w:hAnsi="宋体"/>
          <w:color w:val="auto"/>
          <w:sz w:val="32"/>
          <w:szCs w:val="32"/>
          <w:highlight w:val="none"/>
          <w:lang w:eastAsia="zh-CN"/>
        </w:rPr>
        <w:t>湖南智谷投资发展集团有限公司</w:t>
      </w:r>
      <w:r>
        <w:rPr>
          <w:rFonts w:hint="eastAsia"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委托代理编号：</w:t>
      </w:r>
      <w:r>
        <w:rPr>
          <w:rFonts w:hint="eastAsia" w:hAnsi="宋体"/>
          <w:color w:val="auto"/>
          <w:sz w:val="32"/>
          <w:szCs w:val="32"/>
          <w:highlight w:val="none"/>
          <w:lang w:eastAsia="zh-CN"/>
        </w:rPr>
        <w:t>ZCZB-CG(F)-2023085</w:t>
      </w:r>
      <w:r>
        <w:rPr>
          <w:rFonts w:hint="eastAsia"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采购代理机构:</w:t>
      </w:r>
      <w:r>
        <w:rPr>
          <w:rFonts w:hint="eastAsia" w:hAnsi="宋体"/>
          <w:color w:val="auto"/>
          <w:sz w:val="32"/>
          <w:szCs w:val="32"/>
          <w:highlight w:val="none"/>
          <w:lang w:eastAsia="zh-CN"/>
        </w:rPr>
        <w:t>中采联合招标有限公司</w:t>
      </w:r>
      <w:r>
        <w:rPr>
          <w:rFonts w:hint="eastAsia" w:hAnsi="宋体"/>
          <w:color w:val="auto"/>
          <w:sz w:val="32"/>
          <w:szCs w:val="32"/>
          <w:highlight w:val="none"/>
        </w:rPr>
        <w:t xml:space="preserve"> </w:t>
      </w: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800" w:leftChars="1000" w:right="302" w:rightChars="108" w:firstLine="675" w:firstLineChars="211"/>
        <w:rPr>
          <w:rFonts w:hint="eastAsia" w:hAnsi="宋体"/>
          <w:color w:val="auto"/>
          <w:sz w:val="32"/>
          <w:szCs w:val="32"/>
          <w:highlight w:val="none"/>
        </w:rPr>
      </w:pPr>
      <w:r>
        <w:rPr>
          <w:rFonts w:hint="eastAsia" w:hAnsi="宋体"/>
          <w:color w:val="auto"/>
          <w:sz w:val="32"/>
          <w:szCs w:val="32"/>
          <w:highlight w:val="none"/>
        </w:rPr>
        <w:t>202</w:t>
      </w:r>
      <w:r>
        <w:rPr>
          <w:rFonts w:hint="eastAsia" w:hAnsi="宋体"/>
          <w:color w:val="auto"/>
          <w:sz w:val="32"/>
          <w:szCs w:val="32"/>
          <w:highlight w:val="none"/>
          <w:lang w:val="en-US" w:eastAsia="zh-CN"/>
        </w:rPr>
        <w:t>3</w:t>
      </w:r>
      <w:r>
        <w:rPr>
          <w:rFonts w:hint="eastAsia" w:hAnsi="宋体"/>
          <w:color w:val="auto"/>
          <w:sz w:val="32"/>
          <w:szCs w:val="32"/>
          <w:highlight w:val="none"/>
        </w:rPr>
        <w:t>年</w:t>
      </w:r>
      <w:r>
        <w:rPr>
          <w:rFonts w:hint="eastAsia" w:hAnsi="宋体"/>
          <w:color w:val="auto"/>
          <w:sz w:val="32"/>
          <w:szCs w:val="32"/>
          <w:highlight w:val="none"/>
          <w:lang w:val="en-US" w:eastAsia="zh-CN"/>
        </w:rPr>
        <w:t>9</w:t>
      </w:r>
      <w:r>
        <w:rPr>
          <w:rFonts w:hint="eastAsia" w:hAnsi="宋体"/>
          <w:color w:val="auto"/>
          <w:sz w:val="32"/>
          <w:szCs w:val="32"/>
          <w:highlight w:val="none"/>
        </w:rPr>
        <w:t>月</w:t>
      </w:r>
    </w:p>
    <w:p>
      <w:pPr>
        <w:pStyle w:val="22"/>
        <w:adjustRightInd w:val="0"/>
        <w:snapToGrid w:val="0"/>
        <w:spacing w:line="360" w:lineRule="auto"/>
        <w:ind w:left="2774" w:leftChars="202" w:right="302" w:rightChars="108" w:hanging="2208" w:hangingChars="690"/>
        <w:rPr>
          <w:rFonts w:hint="eastAsia" w:ascii="华文中宋" w:hAnsi="华文中宋" w:eastAsia="华文中宋"/>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00" w:bottom="1418" w:left="1474" w:header="851" w:footer="992" w:gutter="0"/>
          <w:pgNumType w:fmt="decimal" w:start="1"/>
          <w:cols w:space="720" w:num="1"/>
          <w:titlePg/>
          <w:docGrid w:type="lines" w:linePitch="312" w:charSpace="0"/>
        </w:sectPr>
      </w:pPr>
    </w:p>
    <w:p>
      <w:pPr>
        <w:pStyle w:val="22"/>
        <w:adjustRightInd w:val="0"/>
        <w:snapToGrid w:val="0"/>
        <w:spacing w:line="360" w:lineRule="auto"/>
        <w:jc w:val="center"/>
        <w:rPr>
          <w:rFonts w:hint="eastAsia" w:hAnsi="宋体"/>
          <w:b/>
          <w:color w:val="auto"/>
          <w:spacing w:val="160"/>
          <w:sz w:val="24"/>
          <w:szCs w:val="24"/>
          <w:highlight w:val="none"/>
        </w:rPr>
      </w:pPr>
      <w:r>
        <w:rPr>
          <w:rFonts w:hint="eastAsia" w:hAnsi="宋体"/>
          <w:b/>
          <w:color w:val="auto"/>
          <w:spacing w:val="160"/>
          <w:sz w:val="24"/>
          <w:szCs w:val="24"/>
          <w:highlight w:val="none"/>
        </w:rPr>
        <w:t>目录</w:t>
      </w:r>
    </w:p>
    <w:p>
      <w:pPr>
        <w:pStyle w:val="22"/>
        <w:adjustRightInd w:val="0"/>
        <w:snapToGrid w:val="0"/>
        <w:spacing w:line="360" w:lineRule="auto"/>
        <w:jc w:val="center"/>
        <w:rPr>
          <w:rFonts w:hint="eastAsia" w:hAnsi="宋体"/>
          <w:b/>
          <w:color w:val="auto"/>
          <w:sz w:val="24"/>
          <w:szCs w:val="24"/>
          <w:highlight w:val="none"/>
        </w:rPr>
      </w:pP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第一章  磋商通知</w:t>
      </w: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第二章  磋商须知</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磋商须知前附表</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磋商须知正文</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一、说明</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二、</w:t>
      </w:r>
      <w:r>
        <w:rPr>
          <w:rFonts w:hint="eastAsia" w:ascii="宋体" w:hAnsi="宋体" w:cs="仿宋"/>
          <w:bCs/>
          <w:color w:val="auto"/>
          <w:sz w:val="24"/>
          <w:highlight w:val="none"/>
        </w:rPr>
        <w:t>磋商</w:t>
      </w:r>
      <w:r>
        <w:rPr>
          <w:rFonts w:hint="eastAsia" w:ascii="宋体" w:hAnsi="宋体" w:cs="仿宋"/>
          <w:color w:val="auto"/>
          <w:sz w:val="24"/>
          <w:highlight w:val="none"/>
        </w:rPr>
        <w:t>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三、响应文件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四、响应文件的递交</w:t>
      </w:r>
    </w:p>
    <w:p>
      <w:pPr>
        <w:adjustRightInd w:val="0"/>
        <w:snapToGrid w:val="0"/>
        <w:spacing w:line="360" w:lineRule="auto"/>
        <w:ind w:firstLine="720" w:firstLineChars="300"/>
        <w:rPr>
          <w:rFonts w:hint="eastAsia" w:ascii="宋体" w:hAnsi="宋体" w:cs="仿宋"/>
          <w:bCs/>
          <w:color w:val="auto"/>
          <w:sz w:val="24"/>
          <w:highlight w:val="none"/>
        </w:rPr>
      </w:pPr>
      <w:r>
        <w:rPr>
          <w:rFonts w:hint="eastAsia" w:ascii="宋体" w:hAnsi="宋体" w:cs="仿宋"/>
          <w:bCs/>
          <w:color w:val="auto"/>
          <w:sz w:val="24"/>
          <w:highlight w:val="none"/>
        </w:rPr>
        <w:t>五、</w:t>
      </w:r>
      <w:r>
        <w:rPr>
          <w:rFonts w:hint="eastAsia" w:ascii="宋体" w:hAnsi="宋体" w:cs="仿宋"/>
          <w:color w:val="auto"/>
          <w:sz w:val="24"/>
          <w:highlight w:val="none"/>
        </w:rPr>
        <w:t>响应文件</w:t>
      </w:r>
      <w:r>
        <w:rPr>
          <w:rFonts w:hint="eastAsia" w:ascii="宋体" w:hAnsi="宋体" w:cs="仿宋"/>
          <w:bCs/>
          <w:color w:val="auto"/>
          <w:sz w:val="24"/>
          <w:highlight w:val="none"/>
        </w:rPr>
        <w:t>的</w:t>
      </w:r>
      <w:r>
        <w:rPr>
          <w:rFonts w:hint="eastAsia" w:ascii="宋体" w:hAnsi="宋体" w:cs="仿宋"/>
          <w:color w:val="auto"/>
          <w:sz w:val="24"/>
          <w:highlight w:val="none"/>
        </w:rPr>
        <w:t>评审与磋商</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六、成交结果信息公布与授予合同</w:t>
      </w:r>
    </w:p>
    <w:p>
      <w:pPr>
        <w:adjustRightInd w:val="0"/>
        <w:snapToGrid w:val="0"/>
        <w:spacing w:line="360" w:lineRule="auto"/>
        <w:ind w:firstLine="720" w:firstLineChars="300"/>
        <w:jc w:val="left"/>
        <w:rPr>
          <w:rFonts w:hint="eastAsia" w:ascii="宋体" w:hAnsi="宋体" w:cs="仿宋"/>
          <w:color w:val="auto"/>
          <w:sz w:val="24"/>
          <w:highlight w:val="none"/>
        </w:rPr>
      </w:pPr>
      <w:r>
        <w:rPr>
          <w:rFonts w:hint="eastAsia" w:ascii="宋体" w:hAnsi="宋体" w:cs="仿宋"/>
          <w:color w:val="auto"/>
          <w:sz w:val="24"/>
          <w:highlight w:val="none"/>
        </w:rPr>
        <w:t>七、其他规定</w:t>
      </w:r>
    </w:p>
    <w:p>
      <w:pPr>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第三章  采购合同格式条款</w:t>
      </w: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第四章  采购需求</w:t>
      </w:r>
    </w:p>
    <w:p>
      <w:pPr>
        <w:autoSpaceDE w:val="0"/>
        <w:autoSpaceDN w:val="0"/>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第五章  响应文件组成</w:t>
      </w: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sectPr>
          <w:footerReference r:id="rId10" w:type="first"/>
          <w:footerReference r:id="rId9" w:type="default"/>
          <w:pgSz w:w="11906" w:h="16838"/>
          <w:pgMar w:top="1474" w:right="1418" w:bottom="1418" w:left="1474" w:header="992" w:footer="992" w:gutter="0"/>
          <w:pgNumType w:fmt="decimal"/>
          <w:cols w:space="720" w:num="1"/>
          <w:docGrid w:type="lines" w:linePitch="312" w:charSpace="0"/>
        </w:sectPr>
      </w:pPr>
    </w:p>
    <w:p>
      <w:pPr>
        <w:pStyle w:val="3"/>
        <w:rPr>
          <w:rFonts w:hint="eastAsia"/>
          <w:color w:val="auto"/>
          <w:sz w:val="28"/>
          <w:szCs w:val="28"/>
          <w:highlight w:val="none"/>
        </w:rPr>
      </w:pPr>
      <w:r>
        <w:rPr>
          <w:rFonts w:hint="eastAsia"/>
          <w:color w:val="auto"/>
          <w:sz w:val="28"/>
          <w:szCs w:val="28"/>
          <w:highlight w:val="none"/>
        </w:rPr>
        <w:t>第一章  磋商邀请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rPr>
        <w:t>受</w:t>
      </w:r>
      <w:r>
        <w:rPr>
          <w:rFonts w:hint="eastAsia" w:ascii="宋体" w:hAnsi="宋体"/>
          <w:color w:val="auto"/>
          <w:sz w:val="21"/>
          <w:szCs w:val="21"/>
          <w:highlight w:val="none"/>
          <w:u w:val="single"/>
          <w:lang w:eastAsia="zh-CN"/>
        </w:rPr>
        <w:t>湖南智谷投资发展集团有限公司</w:t>
      </w:r>
      <w:r>
        <w:rPr>
          <w:rFonts w:hint="eastAsia" w:ascii="宋体" w:hAnsi="宋体" w:cs="宋体"/>
          <w:color w:val="auto"/>
          <w:sz w:val="21"/>
          <w:szCs w:val="21"/>
          <w:highlight w:val="none"/>
        </w:rPr>
        <w:t>的委托，对</w:t>
      </w:r>
      <w:r>
        <w:rPr>
          <w:rFonts w:hint="eastAsia" w:ascii="宋体" w:hAnsi="宋体" w:cs="宋体"/>
          <w:color w:val="auto"/>
          <w:sz w:val="21"/>
          <w:szCs w:val="21"/>
          <w:highlight w:val="none"/>
          <w:u w:val="single"/>
          <w:lang w:eastAsia="zh-CN"/>
        </w:rPr>
        <w:t>湖南省检验检测特色产业园2023-2024年度保洁服务采购项目</w:t>
      </w:r>
      <w:r>
        <w:rPr>
          <w:rFonts w:hint="eastAsia" w:ascii="宋体" w:hAnsi="宋体" w:cs="宋体"/>
          <w:color w:val="auto"/>
          <w:sz w:val="21"/>
          <w:szCs w:val="21"/>
          <w:highlight w:val="none"/>
        </w:rPr>
        <w:t>进行竞争性磋商采购，现采用</w:t>
      </w:r>
      <w:r>
        <w:rPr>
          <w:rFonts w:hint="eastAsia" w:ascii="宋体" w:hAnsi="宋体" w:cs="宋体"/>
          <w:b/>
          <w:bCs/>
          <w:color w:val="auto"/>
          <w:sz w:val="21"/>
          <w:szCs w:val="21"/>
          <w:highlight w:val="none"/>
          <w:u w:val="single"/>
        </w:rPr>
        <w:t>发布公告</w:t>
      </w:r>
      <w:r>
        <w:rPr>
          <w:rFonts w:hint="eastAsia" w:ascii="宋体" w:hAnsi="宋体" w:cs="宋体"/>
          <w:color w:val="auto"/>
          <w:sz w:val="21"/>
          <w:szCs w:val="21"/>
          <w:highlight w:val="none"/>
        </w:rPr>
        <w:t>方式，邀请符合资格条件的供应商参与竞争性磋商采购活动。</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一、项目概况</w:t>
      </w: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olor w:val="auto"/>
          <w:sz w:val="21"/>
          <w:szCs w:val="21"/>
          <w:highlight w:val="none"/>
        </w:rPr>
        <w:t>1、采购项目名称：</w:t>
      </w:r>
      <w:r>
        <w:rPr>
          <w:rFonts w:hint="eastAsia" w:ascii="宋体" w:hAnsi="宋体" w:cs="宋体"/>
          <w:color w:val="auto"/>
          <w:sz w:val="21"/>
          <w:szCs w:val="21"/>
          <w:highlight w:val="none"/>
          <w:u w:val="single"/>
          <w:lang w:eastAsia="zh-CN"/>
        </w:rPr>
        <w:t>湖南省检验检测特色产业园2023-2024年度保洁服务采购项目</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2、委托代理编号：</w:t>
      </w:r>
      <w:r>
        <w:rPr>
          <w:rFonts w:hint="eastAsia" w:ascii="宋体" w:hAnsi="宋体"/>
          <w:color w:val="auto"/>
          <w:sz w:val="21"/>
          <w:szCs w:val="21"/>
          <w:highlight w:val="none"/>
          <w:u w:val="single"/>
          <w:lang w:eastAsia="zh-CN"/>
        </w:rPr>
        <w:t>ZCZB-CG(F)-2023085</w:t>
      </w:r>
      <w:bookmarkStart w:id="3" w:name="_GoBack"/>
      <w:bookmarkEnd w:id="3"/>
    </w:p>
    <w:p>
      <w:pPr>
        <w:adjustRightInd w:val="0"/>
        <w:snapToGrid w:val="0"/>
        <w:spacing w:line="360" w:lineRule="auto"/>
        <w:rPr>
          <w:rFonts w:hint="eastAsia" w:ascii="宋体" w:hAnsi="宋体"/>
          <w:color w:val="auto"/>
          <w:sz w:val="21"/>
          <w:szCs w:val="21"/>
          <w:highlight w:val="none"/>
        </w:rPr>
      </w:pPr>
      <w:r>
        <w:rPr>
          <w:rFonts w:hint="eastAsia" w:ascii="宋体" w:hAnsi="宋体"/>
          <w:color w:val="auto"/>
          <w:sz w:val="21"/>
          <w:szCs w:val="21"/>
          <w:highlight w:val="none"/>
        </w:rPr>
        <w:t>3、采购项目标的、数量及预算：</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16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标段编号</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标段名</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数量（项）</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湖南省检验检测特色产业园2023-2024年度保洁服务采购项目</w:t>
            </w:r>
            <w:r>
              <w:rPr>
                <w:rFonts w:hint="eastAsia" w:ascii="宋体" w:hAnsi="宋体" w:eastAsia="宋体" w:cs="Times New Roman"/>
                <w:color w:val="auto"/>
                <w:sz w:val="21"/>
                <w:szCs w:val="21"/>
                <w:highlight w:val="none"/>
              </w:rPr>
              <w:t xml:space="preserve"> </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864000</w:t>
            </w:r>
            <w:r>
              <w:rPr>
                <w:rFonts w:hint="eastAsia" w:ascii="宋体" w:hAnsi="宋体" w:eastAsia="宋体" w:cs="Times New Roman"/>
                <w:b/>
                <w:bCs/>
                <w:color w:val="auto"/>
                <w:sz w:val="21"/>
                <w:szCs w:val="21"/>
                <w:highlight w:val="none"/>
              </w:rPr>
              <w:t>.00</w:t>
            </w:r>
          </w:p>
        </w:tc>
      </w:tr>
    </w:tbl>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4、项目其他说明：无。</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二、供应商资格条件：</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olor w:val="auto"/>
          <w:sz w:val="21"/>
          <w:szCs w:val="21"/>
          <w:highlight w:val="none"/>
        </w:rPr>
      </w:pPr>
      <w:r>
        <w:rPr>
          <w:rFonts w:hint="eastAsia" w:ascii="宋体" w:hAnsi="宋体"/>
          <w:color w:val="auto"/>
          <w:sz w:val="21"/>
          <w:szCs w:val="21"/>
          <w:highlight w:val="none"/>
        </w:rPr>
        <w:t>1、供应商基本资格条件：符合《中华人民共和国政府采购法》第二十二条规定的供应商条件；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p>
    <w:p>
      <w:pPr>
        <w:adjustRightInd w:val="0"/>
        <w:snapToGrid w:val="0"/>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adjustRightInd w:val="0"/>
        <w:snapToGrid w:val="0"/>
        <w:spacing w:line="360" w:lineRule="auto"/>
        <w:ind w:firstLine="422" w:firstLineChars="200"/>
        <w:outlineLvl w:val="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color w:val="auto"/>
          <w:sz w:val="21"/>
          <w:szCs w:val="21"/>
          <w:lang w:val="en-US" w:eastAsia="zh-CN"/>
        </w:rPr>
        <w:t>[2022]10</w:t>
      </w:r>
      <w:r>
        <w:rPr>
          <w:rFonts w:hint="eastAsia" w:ascii="宋体" w:hAnsi="宋体" w:eastAsia="宋体" w:cs="宋体"/>
          <w:b/>
          <w:bCs/>
          <w:color w:val="auto"/>
          <w:sz w:val="21"/>
          <w:szCs w:val="21"/>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val="en-US" w:eastAsia="zh-CN"/>
        </w:rPr>
        <w:t>年在经营活动中没有重大违法记录的书面声明。③投标人须如实填写《中小企业声明函》（格式详见响应文件组成），若提供的《中小企业声明函》内容不实，属于提供虚假材料谋取成交，依照《中华人民共和国政府采购法》等国家有关规定追究相应责任。④被“信用中国”网站列入失信被执行人和重大税收违法案件当事人名单的、被“中国政府采购网”网站列入政府采购严重违法失信行为记录名单（处罚期限尚未届满的），不得参与本项目的政府采购活动。</w:t>
      </w:r>
    </w:p>
    <w:p>
      <w:pPr>
        <w:keepNext w:val="0"/>
        <w:keepLines w:val="0"/>
        <w:pageBreakBefore w:val="0"/>
        <w:widowControl w:val="0"/>
        <w:tabs>
          <w:tab w:val="left" w:pos="1392"/>
        </w:tabs>
        <w:kinsoku/>
        <w:wordWrap/>
        <w:overflowPunct/>
        <w:topLinePunct w:val="0"/>
        <w:autoSpaceDE/>
        <w:autoSpaceDN/>
        <w:bidi w:val="0"/>
        <w:adjustRightInd w:val="0"/>
        <w:snapToGrid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、特定资格条件：无。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、提供的资格证明文件复印件需加盖供应商单位公章。</w:t>
      </w:r>
    </w:p>
    <w:p>
      <w:pPr>
        <w:pStyle w:val="56"/>
        <w:ind w:left="0" w:leftChars="0" w:firstLine="0" w:firstLineChars="0"/>
        <w:rPr>
          <w:rFonts w:hint="eastAsia"/>
          <w:color w:val="auto"/>
        </w:rPr>
      </w:pPr>
      <w:r>
        <w:rPr>
          <w:rFonts w:hint="eastAsia" w:ascii="宋体" w:hAnsi="宋体" w:eastAsia="宋体" w:cs="Times New Roman"/>
          <w:color w:val="auto"/>
          <w:kern w:val="2"/>
          <w:sz w:val="21"/>
          <w:szCs w:val="21"/>
          <w:highlight w:val="none"/>
          <w:lang w:val="en-US" w:eastAsia="zh-CN" w:bidi="ar-SA"/>
        </w:rPr>
        <w:t>4、本项目不接受联合体投标</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三、获取磋商文件的时间、地点、方式及磋商文件售价 </w:t>
      </w:r>
    </w:p>
    <w:p>
      <w:pPr>
        <w:adjustRightIn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1、凡有意参加磋商采购活动的，请于</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15</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日(节假日除外)，每日上午</w:t>
      </w:r>
      <w:r>
        <w:rPr>
          <w:rFonts w:hint="eastAsia" w:ascii="宋体" w:hAnsi="宋体" w:cs="宋体"/>
          <w:color w:val="auto"/>
          <w:sz w:val="21"/>
          <w:szCs w:val="21"/>
          <w:highlight w:val="none"/>
          <w:u w:val="single"/>
        </w:rPr>
        <w:t xml:space="preserve">9:00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12：00 </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rPr>
        <w:t xml:space="preserve"> 14:30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17:00 </w:t>
      </w:r>
      <w:r>
        <w:rPr>
          <w:rFonts w:hint="eastAsia" w:ascii="宋体" w:hAnsi="宋体" w:cs="宋体"/>
          <w:color w:val="auto"/>
          <w:sz w:val="21"/>
          <w:szCs w:val="21"/>
          <w:highlight w:val="none"/>
        </w:rPr>
        <w:t>(北京时间)，持法定代表人身份证明原件或授权委托书原件(附法定代表人身份证明原件)、个人身份证原件、营业执照复印件到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购买磋商文件。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b/>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、本磋商文件公告期为</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15</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四、响应文件提交的截止时间、开启时间及地点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1、提交首次响应文件的截止时间为</w:t>
      </w:r>
      <w:r>
        <w:rPr>
          <w:rFonts w:hint="eastAsia" w:ascii="宋体" w:hAnsi="宋体" w:cs="宋体"/>
          <w:color w:val="auto"/>
          <w:sz w:val="21"/>
          <w:szCs w:val="21"/>
          <w:highlight w:val="none"/>
          <w:u w:val="single"/>
        </w:rPr>
        <w:t xml:space="preserve"> 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26</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lang w:val="en-US" w:eastAsia="zh-CN"/>
        </w:rPr>
        <w:t>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分（北京时间），地点为</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五、</w:t>
      </w:r>
      <w:r>
        <w:rPr>
          <w:rFonts w:hint="eastAsia" w:ascii="宋体" w:hAnsi="宋体"/>
          <w:b/>
          <w:bCs/>
          <w:color w:val="auto"/>
          <w:sz w:val="21"/>
          <w:szCs w:val="21"/>
          <w:highlight w:val="none"/>
        </w:rPr>
        <w:t xml:space="preserve">联系方式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采</w:t>
      </w:r>
      <w:r>
        <w:rPr>
          <w:rFonts w:ascii="宋体" w:hAnsi="宋体"/>
          <w:color w:val="auto"/>
          <w:sz w:val="21"/>
          <w:szCs w:val="21"/>
          <w:highlight w:val="none"/>
        </w:rPr>
        <w:t xml:space="preserve"> </w:t>
      </w:r>
      <w:r>
        <w:rPr>
          <w:rFonts w:hint="eastAsia" w:ascii="宋体" w:hAnsi="宋体"/>
          <w:color w:val="auto"/>
          <w:sz w:val="21"/>
          <w:szCs w:val="21"/>
          <w:highlight w:val="none"/>
        </w:rPr>
        <w:t>购</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湖南智谷投资发展集团有限公司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联</w:t>
      </w:r>
      <w:r>
        <w:rPr>
          <w:rFonts w:ascii="宋体" w:hAnsi="宋体"/>
          <w:color w:val="auto"/>
          <w:sz w:val="21"/>
          <w:szCs w:val="21"/>
          <w:highlight w:val="none"/>
        </w:rPr>
        <w:t xml:space="preserve"> </w:t>
      </w:r>
      <w:r>
        <w:rPr>
          <w:rFonts w:hint="eastAsia" w:ascii="宋体" w:hAnsi="宋体"/>
          <w:color w:val="auto"/>
          <w:sz w:val="21"/>
          <w:szCs w:val="21"/>
          <w:highlight w:val="none"/>
        </w:rPr>
        <w:t>系</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秦先生</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w:t>
      </w:r>
      <w:r>
        <w:rPr>
          <w:rFonts w:ascii="宋体" w:hAnsi="宋体"/>
          <w:color w:val="auto"/>
          <w:sz w:val="21"/>
          <w:szCs w:val="21"/>
          <w:highlight w:val="none"/>
        </w:rPr>
        <w:t xml:space="preserve">    </w:t>
      </w:r>
      <w:r>
        <w:rPr>
          <w:rFonts w:hint="eastAsia" w:ascii="宋体" w:hAnsi="宋体"/>
          <w:color w:val="auto"/>
          <w:sz w:val="21"/>
          <w:szCs w:val="21"/>
          <w:highlight w:val="none"/>
        </w:rPr>
        <w:t>话：</w:t>
      </w:r>
      <w:r>
        <w:rPr>
          <w:rFonts w:hint="eastAsia" w:ascii="宋体" w:hAnsi="宋体"/>
          <w:color w:val="auto"/>
          <w:sz w:val="21"/>
          <w:szCs w:val="21"/>
          <w:highlight w:val="none"/>
          <w:lang w:eastAsia="zh-CN"/>
        </w:rPr>
        <w:t>0731-85532267</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w:t>
      </w:r>
      <w:r>
        <w:rPr>
          <w:rFonts w:ascii="宋体" w:hAnsi="宋体"/>
          <w:color w:val="auto"/>
          <w:sz w:val="21"/>
          <w:szCs w:val="21"/>
          <w:highlight w:val="none"/>
        </w:rPr>
        <w:t xml:space="preserve">    </w:t>
      </w:r>
      <w:r>
        <w:rPr>
          <w:rFonts w:hint="eastAsia" w:ascii="宋体" w:hAnsi="宋体"/>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采购代理机构：</w:t>
      </w:r>
      <w:r>
        <w:rPr>
          <w:rFonts w:hint="eastAsia" w:ascii="宋体" w:hAnsi="宋体"/>
          <w:color w:val="auto"/>
          <w:sz w:val="21"/>
          <w:szCs w:val="21"/>
          <w:highlight w:val="none"/>
          <w:lang w:eastAsia="zh-CN"/>
        </w:rPr>
        <w:t>中采联合招标有限公司</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 系 人：</w:t>
      </w:r>
      <w:r>
        <w:rPr>
          <w:rFonts w:hint="eastAsia" w:ascii="宋体" w:hAnsi="宋体"/>
          <w:color w:val="auto"/>
          <w:sz w:val="21"/>
          <w:szCs w:val="21"/>
          <w:highlight w:val="none"/>
          <w:lang w:eastAsia="zh-CN"/>
        </w:rPr>
        <w:t>鲁帆、肖艳、陈素</w:t>
      </w:r>
      <w:r>
        <w:rPr>
          <w:rFonts w:hint="eastAsia" w:ascii="宋体" w:hAnsi="宋体"/>
          <w:color w:val="auto"/>
          <w:sz w:val="21"/>
          <w:szCs w:val="21"/>
          <w:highlight w:val="none"/>
        </w:rPr>
        <w:t xml:space="preserve">                     </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    话：</w:t>
      </w:r>
      <w:r>
        <w:rPr>
          <w:rFonts w:hint="eastAsia" w:ascii="宋体" w:hAnsi="宋体"/>
          <w:color w:val="auto"/>
          <w:sz w:val="21"/>
          <w:szCs w:val="21"/>
          <w:highlight w:val="none"/>
          <w:lang w:eastAsia="zh-CN"/>
        </w:rPr>
        <w:t>0731-85162085</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    址：</w:t>
      </w:r>
      <w:r>
        <w:rPr>
          <w:rFonts w:hint="eastAsia" w:ascii="宋体" w:hAnsi="宋体"/>
          <w:color w:val="auto"/>
          <w:sz w:val="21"/>
          <w:szCs w:val="21"/>
          <w:highlight w:val="none"/>
          <w:lang w:eastAsia="zh-CN"/>
        </w:rPr>
        <w:t>长沙市开福区芙蓉中路一段88号天健壹平方英里H栋24楼</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监管部门：审计监察部</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杨先生</w:t>
      </w:r>
    </w:p>
    <w:p>
      <w:pPr>
        <w:pStyle w:val="2"/>
        <w:keepNext w:val="0"/>
        <w:keepLines w:val="0"/>
        <w:pageBreakBefore w:val="0"/>
        <w:widowControl w:val="0"/>
        <w:kinsoku/>
        <w:wordWrap/>
        <w:overflowPunct/>
        <w:topLinePunct w:val="0"/>
        <w:autoSpaceDE/>
        <w:autoSpaceDN/>
        <w:bidi w:val="0"/>
        <w:spacing w:after="0" w:line="360" w:lineRule="exact"/>
        <w:textAlignment w:val="auto"/>
        <w:rPr>
          <w:rFonts w:ascii="宋体" w:hAnsi="宋体"/>
          <w:color w:val="auto"/>
          <w:sz w:val="21"/>
          <w:szCs w:val="21"/>
          <w:highlight w:val="none"/>
        </w:rPr>
      </w:pPr>
      <w:r>
        <w:rPr>
          <w:rFonts w:hint="eastAsia" w:ascii="宋体" w:hAnsi="宋体"/>
          <w:color w:val="auto"/>
          <w:sz w:val="21"/>
          <w:szCs w:val="21"/>
          <w:highlight w:val="none"/>
        </w:rPr>
        <w:t>电话：0731-85581812</w:t>
      </w:r>
    </w:p>
    <w:p>
      <w:pPr>
        <w:adjustRightInd w:val="0"/>
        <w:snapToGrid w:val="0"/>
        <w:spacing w:line="360" w:lineRule="auto"/>
        <w:jc w:val="center"/>
        <w:rPr>
          <w:rFonts w:hint="eastAsia" w:ascii="Times New Roman" w:hAnsi="Times New Roman"/>
          <w:b/>
          <w:bCs/>
          <w:color w:val="auto"/>
          <w:szCs w:val="28"/>
          <w:highlight w:val="none"/>
        </w:rPr>
      </w:pPr>
    </w:p>
    <w:p>
      <w:pPr>
        <w:pStyle w:val="56"/>
        <w:rPr>
          <w:rFonts w:hint="eastAsia"/>
          <w:color w:val="auto"/>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r>
        <w:rPr>
          <w:rFonts w:hint="eastAsia" w:ascii="Times New Roman" w:hAnsi="Times New Roman"/>
          <w:b/>
          <w:bCs/>
          <w:color w:val="auto"/>
          <w:szCs w:val="28"/>
          <w:highlight w:val="none"/>
        </w:rPr>
        <w:t>第二章  磋商须知</w:t>
      </w:r>
    </w:p>
    <w:p>
      <w:pPr>
        <w:pStyle w:val="4"/>
        <w:rPr>
          <w:rFonts w:hint="eastAsia"/>
          <w:color w:val="auto"/>
          <w:sz w:val="21"/>
          <w:szCs w:val="21"/>
          <w:highlight w:val="none"/>
        </w:rPr>
      </w:pPr>
      <w:r>
        <w:rPr>
          <w:rFonts w:hint="eastAsia"/>
          <w:color w:val="auto"/>
          <w:sz w:val="21"/>
          <w:szCs w:val="21"/>
          <w:highlight w:val="none"/>
        </w:rPr>
        <w:t>磋商须知前附表</w:t>
      </w:r>
    </w:p>
    <w:p>
      <w:pPr>
        <w:pStyle w:val="22"/>
        <w:rPr>
          <w:rFonts w:hint="eastAsia" w:ascii="黑体" w:eastAsia="黑体"/>
          <w:b/>
          <w:color w:val="auto"/>
          <w:highlight w:val="none"/>
        </w:rPr>
      </w:pPr>
      <w:r>
        <w:rPr>
          <w:rFonts w:hint="eastAsia" w:hAnsi="宋体" w:cs="宋体"/>
          <w:color w:val="auto"/>
          <w:highlight w:val="none"/>
        </w:rPr>
        <w:t>注： 请在方框□内划√选择，在“条款号”内限选一项。（本项目采用的条款用“■”标示）</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788"/>
        <w:gridCol w:w="12"/>
        <w:gridCol w:w="56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65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条款号</w:t>
            </w:r>
          </w:p>
        </w:tc>
        <w:tc>
          <w:tcPr>
            <w:tcW w:w="178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条款名称</w:t>
            </w:r>
          </w:p>
        </w:tc>
        <w:tc>
          <w:tcPr>
            <w:tcW w:w="5677" w:type="dxa"/>
            <w:gridSpan w:val="2"/>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湖南省检验检测特色产业园2023-2024年度保洁服务采购项目</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8"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采购人</w:t>
            </w:r>
          </w:p>
        </w:tc>
        <w:tc>
          <w:tcPr>
            <w:tcW w:w="5677" w:type="dxa"/>
            <w:gridSpan w:val="2"/>
            <w:noWrap w:val="0"/>
            <w:vAlign w:val="center"/>
          </w:tcPr>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采</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购</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湖南智谷投资发展集团有限公司</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联</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系</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秦先生</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电</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话：</w:t>
            </w:r>
            <w:r>
              <w:rPr>
                <w:rFonts w:hint="eastAsia" w:ascii="宋体" w:hAnsi="宋体" w:cs="Times New Roman"/>
                <w:color w:val="auto"/>
                <w:sz w:val="21"/>
                <w:szCs w:val="21"/>
                <w:highlight w:val="none"/>
                <w:lang w:eastAsia="zh-CN"/>
              </w:rPr>
              <w:t>0731-85532267</w:t>
            </w:r>
          </w:p>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地</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第二章第2.2款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w:t>
            </w:r>
          </w:p>
        </w:tc>
        <w:tc>
          <w:tcPr>
            <w:tcW w:w="5677" w:type="dxa"/>
            <w:gridSpan w:val="2"/>
            <w:noWrap w:val="0"/>
            <w:vAlign w:val="center"/>
          </w:tcPr>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采购代理机构：</w:t>
            </w:r>
            <w:r>
              <w:rPr>
                <w:rFonts w:hint="eastAsia" w:hAnsi="宋体"/>
                <w:color w:val="auto"/>
                <w:highlight w:val="none"/>
                <w:lang w:eastAsia="zh-CN"/>
              </w:rPr>
              <w:t>中采联合招标有限公司</w:t>
            </w:r>
          </w:p>
          <w:p>
            <w:pPr>
              <w:pStyle w:val="22"/>
              <w:spacing w:line="288" w:lineRule="auto"/>
              <w:jc w:val="left"/>
              <w:rPr>
                <w:rFonts w:hint="eastAsia" w:hAnsi="宋体" w:eastAsia="宋体"/>
                <w:color w:val="auto"/>
                <w:highlight w:val="none"/>
              </w:rPr>
            </w:pPr>
            <w:r>
              <w:rPr>
                <w:rFonts w:hint="eastAsia" w:hAnsi="宋体" w:eastAsia="宋体"/>
                <w:color w:val="auto"/>
                <w:highlight w:val="none"/>
              </w:rPr>
              <w:t>联 系 人：</w:t>
            </w:r>
            <w:r>
              <w:rPr>
                <w:rFonts w:hint="eastAsia" w:hAnsi="宋体"/>
                <w:color w:val="auto"/>
                <w:highlight w:val="none"/>
                <w:lang w:eastAsia="zh-CN"/>
              </w:rPr>
              <w:t>鲁帆、肖艳、陈素</w:t>
            </w:r>
            <w:r>
              <w:rPr>
                <w:rFonts w:hint="eastAsia" w:hAnsi="宋体" w:eastAsia="宋体"/>
                <w:color w:val="auto"/>
                <w:highlight w:val="none"/>
              </w:rPr>
              <w:t xml:space="preserve">                     </w:t>
            </w:r>
          </w:p>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电    话：</w:t>
            </w:r>
            <w:r>
              <w:rPr>
                <w:rFonts w:hint="eastAsia" w:hAnsi="宋体"/>
                <w:color w:val="auto"/>
                <w:highlight w:val="none"/>
                <w:lang w:eastAsia="zh-CN"/>
              </w:rPr>
              <w:t>0731-85162085</w:t>
            </w:r>
          </w:p>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地    址：</w:t>
            </w:r>
            <w:r>
              <w:rPr>
                <w:rFonts w:hint="eastAsia" w:hAnsi="宋体"/>
                <w:color w:val="auto"/>
                <w:highlight w:val="none"/>
                <w:lang w:eastAsia="zh-CN"/>
              </w:rPr>
              <w:t>长沙市开福区芙蓉中路一段88号天健壹平方英里H栋24楼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第二章第2.3款</w:t>
            </w:r>
          </w:p>
        </w:tc>
        <w:tc>
          <w:tcPr>
            <w:tcW w:w="1788" w:type="dxa"/>
            <w:noWrap w:val="0"/>
            <w:vAlign w:val="center"/>
          </w:tcPr>
          <w:p>
            <w:pPr>
              <w:adjustRightInd w:val="0"/>
              <w:snapToGrid w:val="0"/>
              <w:spacing w:line="288" w:lineRule="auto"/>
              <w:rPr>
                <w:rFonts w:hint="eastAsia" w:ascii="宋体" w:hAnsi="宋体" w:eastAsia="宋体" w:cs="Times New Roman"/>
                <w:bCs/>
                <w:color w:val="auto"/>
                <w:sz w:val="21"/>
                <w:szCs w:val="21"/>
                <w:highlight w:val="none"/>
              </w:rPr>
            </w:pPr>
            <w:r>
              <w:rPr>
                <w:rFonts w:hint="eastAsia" w:ascii="宋体" w:hAnsi="宋体" w:eastAsia="宋体" w:cs="宋体"/>
                <w:color w:val="auto"/>
                <w:kern w:val="0"/>
                <w:sz w:val="21"/>
                <w:szCs w:val="21"/>
                <w:highlight w:val="none"/>
              </w:rPr>
              <w:t>供应商的</w:t>
            </w:r>
            <w:r>
              <w:rPr>
                <w:rFonts w:hint="eastAsia" w:ascii="宋体" w:hAnsi="宋体" w:eastAsia="宋体" w:cs="Times New Roman"/>
                <w:color w:val="auto"/>
                <w:sz w:val="21"/>
                <w:szCs w:val="21"/>
                <w:highlight w:val="none"/>
              </w:rPr>
              <w:t>邀请方式</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■（1）发布公告</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□（2）采购人和评审专家分别书面推荐的方式邀请不少于3家符合相应资格条件的供应商</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供应商</w:t>
            </w:r>
            <w:r>
              <w:rPr>
                <w:rFonts w:hint="eastAsia" w:ascii="宋体" w:hAnsi="宋体" w:eastAsia="宋体" w:cs="Times New Roman"/>
                <w:color w:val="auto"/>
                <w:sz w:val="21"/>
                <w:szCs w:val="21"/>
                <w:highlight w:val="none"/>
              </w:rPr>
              <w:t>资格条件</w:t>
            </w:r>
          </w:p>
        </w:tc>
        <w:tc>
          <w:tcPr>
            <w:tcW w:w="5677" w:type="dxa"/>
            <w:gridSpan w:val="2"/>
            <w:noWrap w:val="0"/>
            <w:vAlign w:val="center"/>
          </w:tcPr>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Times New Roman"/>
                <w:color w:val="auto"/>
                <w:sz w:val="21"/>
                <w:szCs w:val="21"/>
                <w:highlight w:val="none"/>
              </w:rPr>
              <w:t>1、供应商基本资格条件：符合《中华人民共和国政府采购法》第二十二条规定的供应商条件</w:t>
            </w:r>
            <w:r>
              <w:rPr>
                <w:rFonts w:hint="eastAsia" w:ascii="宋体" w:hAnsi="宋体" w:cs="Times New Roman"/>
                <w:color w:val="auto"/>
                <w:sz w:val="21"/>
                <w:szCs w:val="21"/>
                <w:highlight w:val="none"/>
                <w:lang w:eastAsia="zh-CN"/>
              </w:rPr>
              <w:t>，</w:t>
            </w:r>
            <w:r>
              <w:rPr>
                <w:rFonts w:hint="eastAsia" w:ascii="宋体" w:hAnsi="宋体" w:eastAsia="宋体" w:cs="宋体"/>
                <w:color w:val="auto"/>
                <w:sz w:val="21"/>
                <w:szCs w:val="21"/>
              </w:rPr>
              <w:t>并提供以下资格证明文件：</w:t>
            </w:r>
          </w:p>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keepNext w:val="0"/>
              <w:keepLines w:val="0"/>
              <w:widowControl/>
              <w:suppressLineNumbers w:val="0"/>
              <w:jc w:val="left"/>
              <w:rPr>
                <w:rFonts w:hint="eastAsia" w:ascii="宋体" w:hAnsi="宋体" w:eastAsia="宋体" w:cs="Times New Roman"/>
                <w:color w:val="auto"/>
                <w:sz w:val="21"/>
                <w:szCs w:val="21"/>
                <w:highlight w:val="none"/>
              </w:rPr>
            </w:pPr>
            <w:r>
              <w:rPr>
                <w:rFonts w:hint="eastAsia" w:ascii="宋体" w:hAnsi="宋体" w:eastAsia="宋体" w:cs="宋体"/>
                <w:b/>
                <w:bCs/>
                <w:i w:val="0"/>
                <w:iCs w:val="0"/>
                <w:caps w:val="0"/>
                <w:color w:val="auto"/>
                <w:spacing w:val="0"/>
                <w:sz w:val="21"/>
                <w:szCs w:val="21"/>
                <w:shd w:val="clear" w:color="auto" w:fill="FEFFFF"/>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i w:val="0"/>
                <w:iCs w:val="0"/>
                <w:caps w:val="0"/>
                <w:color w:val="auto"/>
                <w:spacing w:val="0"/>
                <w:sz w:val="21"/>
                <w:szCs w:val="21"/>
                <w:shd w:val="clear" w:color="auto" w:fill="FEFFFF"/>
                <w:lang w:val="en-US" w:eastAsia="zh-CN"/>
              </w:rPr>
              <w:t>[2022]10</w:t>
            </w:r>
            <w:r>
              <w:rPr>
                <w:rFonts w:hint="eastAsia" w:ascii="宋体" w:hAnsi="宋体" w:eastAsia="宋体" w:cs="宋体"/>
                <w:b/>
                <w:bCs/>
                <w:i w:val="0"/>
                <w:iCs w:val="0"/>
                <w:caps w:val="0"/>
                <w:color w:val="auto"/>
                <w:spacing w:val="0"/>
                <w:sz w:val="21"/>
                <w:szCs w:val="21"/>
                <w:shd w:val="clear" w:color="auto" w:fill="FEFFFF"/>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i w:val="0"/>
                <w:iCs w:val="0"/>
                <w:caps w:val="0"/>
                <w:color w:val="auto"/>
                <w:spacing w:val="0"/>
                <w:sz w:val="21"/>
                <w:szCs w:val="21"/>
                <w:shd w:val="clear" w:color="auto" w:fill="FEFFFF"/>
                <w:lang w:val="en-US" w:eastAsia="zh-CN"/>
              </w:rPr>
              <w:t>3</w:t>
            </w:r>
            <w:r>
              <w:rPr>
                <w:rFonts w:hint="eastAsia" w:ascii="宋体" w:hAnsi="宋体" w:eastAsia="宋体" w:cs="宋体"/>
                <w:b/>
                <w:bCs/>
                <w:i w:val="0"/>
                <w:iCs w:val="0"/>
                <w:caps w:val="0"/>
                <w:color w:val="auto"/>
                <w:spacing w:val="0"/>
                <w:sz w:val="21"/>
                <w:szCs w:val="21"/>
                <w:shd w:val="clear" w:color="auto" w:fill="FEFFFF"/>
                <w:lang w:val="en-US" w:eastAsia="zh-CN"/>
              </w:rPr>
              <w:t>年在经营活动中没有重大违法记录的书面声明。③投标人须如实填写《中小企业声明函》（格式详见响应文件组成），若</w:t>
            </w:r>
            <w:r>
              <w:rPr>
                <w:rFonts w:hint="eastAsia" w:ascii="宋体" w:hAnsi="宋体" w:eastAsia="宋体" w:cs="宋体"/>
                <w:b/>
                <w:bCs/>
                <w:i w:val="0"/>
                <w:iCs w:val="0"/>
                <w:caps w:val="0"/>
                <w:color w:val="auto"/>
                <w:spacing w:val="0"/>
                <w:sz w:val="21"/>
                <w:szCs w:val="21"/>
                <w:shd w:val="clear" w:color="auto" w:fill="FEFFFF"/>
              </w:rPr>
              <w:t>提供的《中小企业声明函》内容不实，属于提供虚假材料谋取成交，依照《中华人民共和国政府采购法》等国家有关规定追究相应责</w:t>
            </w:r>
            <w:r>
              <w:rPr>
                <w:rFonts w:hint="eastAsia" w:ascii="宋体" w:hAnsi="宋体" w:eastAsia="宋体" w:cs="宋体"/>
                <w:b/>
                <w:bCs/>
                <w:i w:val="0"/>
                <w:iCs w:val="0"/>
                <w:caps w:val="0"/>
                <w:color w:val="auto"/>
                <w:spacing w:val="0"/>
                <w:sz w:val="21"/>
                <w:szCs w:val="21"/>
                <w:shd w:val="clear" w:color="auto" w:fill="FEFFFF"/>
                <w:lang w:val="en-US" w:eastAsia="zh-CN"/>
              </w:rPr>
              <w:t>任。④</w:t>
            </w:r>
            <w:r>
              <w:rPr>
                <w:rFonts w:hint="eastAsia" w:ascii="宋体" w:hAnsi="宋体" w:eastAsia="宋体" w:cs="宋体"/>
                <w:b/>
                <w:bCs/>
                <w:i w:val="0"/>
                <w:iCs w:val="0"/>
                <w:caps w:val="0"/>
                <w:color w:val="auto"/>
                <w:spacing w:val="0"/>
                <w:sz w:val="21"/>
                <w:szCs w:val="21"/>
                <w:shd w:val="clear" w:color="auto" w:fill="FEFFFF"/>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eastAsia="宋体" w:cs="宋体"/>
                <w:b/>
                <w:bCs/>
                <w:i w:val="0"/>
                <w:iCs w:val="0"/>
                <w:caps w:val="0"/>
                <w:color w:val="auto"/>
                <w:spacing w:val="0"/>
                <w:sz w:val="21"/>
                <w:szCs w:val="21"/>
                <w:shd w:val="clear" w:color="auto" w:fill="FEFFFF"/>
                <w:lang w:eastAsia="zh-CN"/>
              </w:rPr>
              <w:t>。</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、特定资格条件：无。</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、提供的资格证明文件复印件需加盖供应商单位公章。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联合体形式</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不接受</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第二章第6.2（3）款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对联合体各方的要求</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现场勘察</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采购人不组织</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 xml:space="preserve">□ 采购人组织，时间： / 地点： / 联系人：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1658" w:type="dxa"/>
            <w:tcBorders>
              <w:bottom w:val="single" w:color="auto" w:sz="4" w:space="0"/>
            </w:tcBorders>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第二章第8.1款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采购进口产品</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政府采购强制采购：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(2)其他。</w:t>
            </w: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否</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是，采购《节能产品政府采购品目清单》内标记★符号的节能产品，提供有效期之内的节能产品认证证书，并加盖投标人单位章。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8" w:hRule="atLeast"/>
          <w:jc w:val="center"/>
        </w:trPr>
        <w:tc>
          <w:tcPr>
            <w:tcW w:w="1658" w:type="dxa"/>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第二章第9.2款</w:t>
            </w: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政府采购优先采购：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(1)非标记★符号的节能产品；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(2)环境标志产品；</w:t>
            </w:r>
          </w:p>
          <w:p>
            <w:pPr>
              <w:adjustRightInd w:val="0"/>
              <w:snapToGrid w:val="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(3)两型产</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品；</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w:t>
            </w:r>
            <w:r>
              <w:rPr>
                <w:rFonts w:hint="eastAsia" w:ascii="宋体" w:hAnsi="宋体" w:eastAsia="宋体" w:cs="宋体"/>
                <w:bCs/>
                <w:color w:val="auto"/>
                <w:kern w:val="0"/>
                <w:sz w:val="21"/>
                <w:szCs w:val="21"/>
                <w:highlight w:val="none"/>
              </w:rPr>
              <w:t>支持</w:t>
            </w:r>
            <w:r>
              <w:rPr>
                <w:rFonts w:hint="eastAsia" w:ascii="宋体" w:hAnsi="宋体" w:eastAsia="宋体" w:cs="Times New Roman"/>
                <w:color w:val="auto"/>
                <w:sz w:val="21"/>
                <w:szCs w:val="21"/>
                <w:highlight w:val="none"/>
              </w:rPr>
              <w:t>中小企业发展；</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(5)其他。</w:t>
            </w:r>
          </w:p>
          <w:p>
            <w:pPr>
              <w:rPr>
                <w:rFonts w:hint="eastAsia" w:ascii="宋体" w:hAnsi="宋体" w:eastAsia="宋体" w:cs="Times New Roman"/>
                <w:color w:val="auto"/>
                <w:sz w:val="21"/>
                <w:szCs w:val="21"/>
                <w:highlight w:val="none"/>
              </w:rPr>
            </w:pP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1、采购产品为《节能产品政府采购品目清单》内非标记★符号的，分别给予技术和价格项标准总分值4%-8%的加分。本项目具体加分比例分别为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2、采购产品为《环境标志产品政府采购品目清单》内的，分别给予技术和价格项标准总分值4%-8%的加分。本项目具体加分比例分别为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3、采购产品为《湖南省政府采购两型产品目录》或《长沙市两型产品目录》内的：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（1）分别给予技术和价格项标准总分值4%-8%的加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分，本项目具体加分比例分别为 ：技术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对在本地设有生产基地和备品备件库、有售后服务机构和网点的两型产品，给予商务评标总分值4%-8%的加分，本项目具体加分比例为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上述三类产品中取其中一类。节能产品、环境标书产品提供有效期之内的节能产品、环境标志产品认证证书；《湖南省两型产品政府采购目录》、《长沙市两型产品政府采购目录》提供目录所在页或证书复印件（该页包含制造商或企业名称或申请单位名称、规格型号、有效截止日期等内容），并加盖投标人单位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lang w:val="en-US" w:eastAsia="zh-CN"/>
              </w:rPr>
              <w:t>本项目为</w:t>
            </w:r>
            <w:r>
              <w:rPr>
                <w:rFonts w:hint="eastAsia" w:ascii="宋体" w:hAnsi="宋体" w:eastAsia="宋体"/>
                <w:color w:val="auto"/>
                <w:sz w:val="21"/>
                <w:szCs w:val="21"/>
                <w:highlight w:val="none"/>
              </w:rPr>
              <w:t>专门面向中小</w:t>
            </w:r>
            <w:r>
              <w:rPr>
                <w:rFonts w:hint="eastAsia" w:ascii="宋体" w:hAnsi="宋体" w:eastAsia="宋体"/>
                <w:color w:val="auto"/>
                <w:sz w:val="21"/>
                <w:szCs w:val="21"/>
                <w:highlight w:val="none"/>
                <w:lang w:val="en-US" w:eastAsia="zh-CN"/>
              </w:rPr>
              <w:t>微</w:t>
            </w:r>
            <w:r>
              <w:rPr>
                <w:rFonts w:hint="eastAsia" w:ascii="宋体" w:hAnsi="宋体" w:eastAsia="宋体"/>
                <w:color w:val="auto"/>
                <w:sz w:val="21"/>
                <w:szCs w:val="21"/>
                <w:highlight w:val="none"/>
              </w:rPr>
              <w:t>企业采购，</w:t>
            </w:r>
            <w:r>
              <w:rPr>
                <w:rFonts w:hint="eastAsia" w:ascii="宋体" w:hAnsi="宋体" w:eastAsia="宋体"/>
                <w:color w:val="auto"/>
                <w:sz w:val="21"/>
                <w:szCs w:val="21"/>
                <w:highlight w:val="none"/>
                <w:lang w:val="en-US" w:eastAsia="zh-CN"/>
              </w:rPr>
              <w:t>所属行业为“物业管理”，</w:t>
            </w:r>
            <w:r>
              <w:rPr>
                <w:rFonts w:hint="eastAsia" w:ascii="宋体" w:hAnsi="宋体" w:eastAsia="宋体"/>
                <w:color w:val="auto"/>
                <w:sz w:val="21"/>
                <w:szCs w:val="21"/>
                <w:highlight w:val="none"/>
              </w:rPr>
              <w:t>符合政府采购促进中小企业发展相关规定的：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（1）给予小型和微型企业、福利和监狱企业产品的价格给予</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 xml:space="preserve">%的扣除，用扣除后的价格参与评审，本项目具体扣除比例为 </w:t>
            </w:r>
            <w:r>
              <w:rPr>
                <w:rFonts w:hint="eastAsia" w:ascii="宋体" w:hAnsi="宋体" w:eastAsia="宋体"/>
                <w:color w:val="auto"/>
                <w:sz w:val="21"/>
                <w:szCs w:val="21"/>
                <w:highlight w:val="none"/>
                <w:lang w:val="en-US" w:eastAsia="zh-CN"/>
              </w:rPr>
              <w:t>/</w:t>
            </w:r>
            <w:r>
              <w:rPr>
                <w:rFonts w:hint="eastAsia" w:ascii="宋体" w:hAnsi="宋体" w:eastAsia="宋体"/>
                <w:color w:val="auto"/>
                <w:sz w:val="21"/>
                <w:szCs w:val="21"/>
                <w:highlight w:val="none"/>
              </w:rPr>
              <w:t xml:space="preserve"> ％，不重复享受政策。</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olor w:val="auto"/>
                <w:sz w:val="21"/>
                <w:szCs w:val="21"/>
                <w:highlight w:val="none"/>
              </w:rPr>
              <w:t>（2）给予联合体2%-3%的价格扣除，用扣除后的价格参与评审，本项目具体扣除比例为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vMerge w:val="restart"/>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第二章第9.6款</w:t>
            </w:r>
          </w:p>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政府采购支持中小企业融资</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政府采购信用担保</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70"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法律、法规、规章和省级以上财政部门规定的其他内容</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第二章第10.3款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磋商文件的可能实质性变动内容</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文件的实质性变动内容为</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文件的组成部分，实质性变动内容</w:t>
            </w:r>
            <w:r>
              <w:rPr>
                <w:rFonts w:ascii="Calibri" w:hAnsi="Calibri" w:eastAsia="宋体" w:cs="Times New Roman"/>
                <w:color w:val="auto"/>
                <w:sz w:val="21"/>
                <w:szCs w:val="21"/>
                <w:highlight w:val="none"/>
                <w:lang w:val="zh-CN"/>
              </w:rPr>
              <w:t>与</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w:t>
            </w:r>
            <w:r>
              <w:rPr>
                <w:rFonts w:ascii="Calibri" w:hAnsi="Calibri" w:eastAsia="宋体" w:cs="Times New Roman"/>
                <w:color w:val="auto"/>
                <w:sz w:val="21"/>
                <w:szCs w:val="21"/>
                <w:highlight w:val="none"/>
                <w:lang w:val="zh-CN"/>
              </w:rPr>
              <w:t>不一致时，以</w:t>
            </w:r>
            <w:r>
              <w:rPr>
                <w:rFonts w:ascii="Calibri" w:hAnsi="Calibri" w:eastAsia="宋体" w:cs="Times New Roman"/>
                <w:color w:val="auto"/>
                <w:sz w:val="21"/>
                <w:szCs w:val="21"/>
                <w:highlight w:val="none"/>
              </w:rPr>
              <w:t>实质性变动内容</w:t>
            </w:r>
            <w:r>
              <w:rPr>
                <w:rFonts w:ascii="Calibri" w:hAnsi="Calibri" w:eastAsia="宋体" w:cs="Times New Roman"/>
                <w:color w:val="auto"/>
                <w:sz w:val="21"/>
                <w:szCs w:val="21"/>
                <w:highlight w:val="none"/>
                <w:lang w:val="zh-CN"/>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磋商文件的提供期限</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15</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日起至 </w:t>
            </w: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领取或购买磋商文件时应提供的资料</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xml:space="preserve">个人身份证、法定代表人身份证明（附法人营业执照）或者授权委托书(并附法定代表人身份证明、法人营业执照)。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第二章第12.1款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提交首次响应文件的截止时间</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202</w:t>
            </w:r>
            <w:r>
              <w:rPr>
                <w:rFonts w:hint="eastAsia" w:ascii="宋体" w:hAnsi="宋体" w:cs="Times New Roman"/>
                <w:color w:val="auto"/>
                <w:sz w:val="21"/>
                <w:szCs w:val="21"/>
                <w:highlight w:val="none"/>
                <w:u w:val="single"/>
                <w:lang w:val="en-US" w:eastAsia="zh-CN"/>
              </w:rPr>
              <w:t>3</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9</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26</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u w:val="single"/>
              </w:rPr>
              <w:t>1</w:t>
            </w:r>
            <w:r>
              <w:rPr>
                <w:rFonts w:hint="eastAsia" w:ascii="宋体" w:hAnsi="宋体" w:cs="Times New Roman"/>
                <w:color w:val="auto"/>
                <w:sz w:val="21"/>
                <w:szCs w:val="21"/>
                <w:highlight w:val="none"/>
                <w:u w:val="single"/>
                <w:lang w:val="en-US" w:eastAsia="zh-CN"/>
              </w:rPr>
              <w:t>4</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30</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第二章第16.5款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采购项目预算</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864000</w:t>
            </w:r>
            <w:r>
              <w:rPr>
                <w:rFonts w:hint="eastAsia" w:ascii="宋体" w:hAnsi="宋体" w:eastAsia="宋体" w:cs="Times New Roman"/>
                <w:b/>
                <w:bCs/>
                <w:color w:val="auto"/>
                <w:sz w:val="21"/>
                <w:szCs w:val="21"/>
                <w:highlight w:val="none"/>
              </w:rPr>
              <w:t>.00元。本项目最高限价</w:t>
            </w:r>
            <w:r>
              <w:rPr>
                <w:rFonts w:hint="eastAsia" w:ascii="宋体" w:hAnsi="宋体" w:cs="Times New Roman"/>
                <w:b/>
                <w:bCs/>
                <w:color w:val="auto"/>
                <w:sz w:val="21"/>
                <w:szCs w:val="21"/>
                <w:highlight w:val="none"/>
                <w:lang w:eastAsia="zh-CN"/>
              </w:rPr>
              <w:t>864000</w:t>
            </w:r>
            <w:r>
              <w:rPr>
                <w:rFonts w:hint="eastAsia" w:ascii="宋体" w:hAnsi="宋体" w:eastAsia="宋体" w:cs="Times New Roman"/>
                <w:b/>
                <w:bCs/>
                <w:color w:val="auto"/>
                <w:sz w:val="21"/>
                <w:szCs w:val="21"/>
                <w:highlight w:val="none"/>
              </w:rPr>
              <w:t>.00元</w:t>
            </w:r>
            <w:r>
              <w:rPr>
                <w:rFonts w:hint="eastAsia" w:ascii="宋体" w:hAnsi="宋体" w:cs="Times New Roman"/>
                <w:b/>
                <w:bCs/>
                <w:color w:val="auto"/>
                <w:sz w:val="21"/>
                <w:szCs w:val="21"/>
                <w:highlight w:val="none"/>
                <w:lang w:eastAsia="zh-CN"/>
              </w:rPr>
              <w:t>、单项最高限价</w:t>
            </w:r>
            <w:r>
              <w:rPr>
                <w:rFonts w:hint="eastAsia" w:ascii="宋体" w:hAnsi="宋体" w:cs="Times New Roman"/>
                <w:b/>
                <w:bCs/>
                <w:color w:val="auto"/>
                <w:sz w:val="21"/>
                <w:szCs w:val="21"/>
                <w:highlight w:val="none"/>
                <w:lang w:val="en-US" w:eastAsia="zh-CN"/>
              </w:rPr>
              <w:t>3000元/月/人。</w:t>
            </w:r>
            <w:r>
              <w:rPr>
                <w:rFonts w:hint="eastAsia" w:ascii="宋体" w:hAnsi="宋体" w:eastAsia="宋体" w:cs="Times New Roman"/>
                <w:b w:val="0"/>
                <w:bCs w:val="0"/>
                <w:color w:val="auto"/>
                <w:sz w:val="21"/>
                <w:szCs w:val="21"/>
                <w:highlight w:val="none"/>
                <w:lang w:eastAsia="zh-CN"/>
              </w:rPr>
              <w:t>（</w:t>
            </w:r>
            <w:r>
              <w:rPr>
                <w:rFonts w:hint="eastAsia" w:ascii="宋体" w:hAnsi="宋体" w:eastAsia="宋体" w:cs="Times New Roman"/>
                <w:color w:val="auto"/>
                <w:sz w:val="21"/>
                <w:szCs w:val="21"/>
                <w:highlight w:val="none"/>
              </w:rPr>
              <w:t>投标人投标</w:t>
            </w:r>
            <w:r>
              <w:rPr>
                <w:rFonts w:hint="eastAsia" w:ascii="Calibri" w:hAnsi="Calibri" w:eastAsia="宋体" w:cs="Times New Roman"/>
                <w:color w:val="auto"/>
                <w:sz w:val="21"/>
                <w:szCs w:val="21"/>
                <w:highlight w:val="none"/>
              </w:rPr>
              <w:t>报价不得超过最高限价，也不得超过</w:t>
            </w:r>
            <w:r>
              <w:rPr>
                <w:rFonts w:hint="eastAsia" w:cs="Times New Roman"/>
                <w:color w:val="auto"/>
                <w:sz w:val="21"/>
                <w:szCs w:val="21"/>
                <w:highlight w:val="none"/>
                <w:lang w:eastAsia="zh-CN"/>
              </w:rPr>
              <w:t>单项最高</w:t>
            </w:r>
            <w:r>
              <w:rPr>
                <w:rFonts w:hint="eastAsia" w:ascii="Calibri" w:hAnsi="Calibri" w:eastAsia="宋体" w:cs="Times New Roman"/>
                <w:color w:val="auto"/>
                <w:sz w:val="21"/>
                <w:szCs w:val="21"/>
                <w:highlight w:val="none"/>
              </w:rPr>
              <w:t>限价，否则视为无效响应</w:t>
            </w:r>
            <w:r>
              <w:rPr>
                <w:rFonts w:hint="eastAsia" w:ascii="宋体" w:hAnsi="宋体" w:eastAsia="宋体" w:cs="Times New Roman"/>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第二章第17.4款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非制造商的证明文件</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sym w:font="Wingdings 2" w:char="00A3"/>
            </w:r>
            <w:r>
              <w:rPr>
                <w:rFonts w:hint="eastAsia" w:ascii="宋体" w:hAnsi="宋体" w:eastAsia="宋体" w:cs="Times New Roman"/>
                <w:color w:val="auto"/>
                <w:sz w:val="21"/>
                <w:szCs w:val="21"/>
                <w:highlight w:val="none"/>
              </w:rPr>
              <w:t>要求提供：（证明文件复印件须加盖供应商单位公章，否则视为无效响应。）</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样品提供及样品提交的时间、地点</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18"/>
                <w:szCs w:val="18"/>
                <w:highlight w:val="none"/>
              </w:rPr>
              <w:t xml:space="preserve">□ </w:t>
            </w:r>
            <w:r>
              <w:rPr>
                <w:rFonts w:hint="eastAsia" w:ascii="宋体" w:hAnsi="宋体" w:eastAsia="宋体" w:cs="Times New Roman"/>
                <w:color w:val="auto"/>
                <w:sz w:val="21"/>
                <w:szCs w:val="21"/>
                <w:highlight w:val="none"/>
              </w:rPr>
              <w:t>要求提供，提交的样品：</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、提交的时间：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、地点：</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第二章第18.1款</w:t>
            </w:r>
          </w:p>
        </w:tc>
        <w:tc>
          <w:tcPr>
            <w:tcW w:w="178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磋商</w:t>
            </w:r>
            <w:r>
              <w:rPr>
                <w:rFonts w:hint="eastAsia" w:ascii="宋体" w:hAnsi="宋体" w:eastAsia="宋体" w:cs="Times New Roman"/>
                <w:color w:val="auto"/>
                <w:sz w:val="21"/>
                <w:szCs w:val="21"/>
                <w:highlight w:val="none"/>
              </w:rPr>
              <w:t>保证金</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不要求提供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1、保证金数额：/ 元(人民币)</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2、缴纳方式：磋商保证金形式：以支票、汇票、本票等形式缴入如下账户，投标截止时间前查询已经到账，视为已缴纳。</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xml:space="preserve">账户名：中采联合招标有限公司政府采购保证金专户 </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开户行： 长沙银行浏阳河支行</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账  号： 800193532908010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第二章第19.1款</w:t>
            </w:r>
          </w:p>
        </w:tc>
        <w:tc>
          <w:tcPr>
            <w:tcW w:w="1788" w:type="dxa"/>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bCs/>
                <w:color w:val="auto"/>
                <w:sz w:val="21"/>
                <w:szCs w:val="21"/>
                <w:highlight w:val="none"/>
              </w:rPr>
              <w:t>响应文件有效期</w:t>
            </w:r>
          </w:p>
        </w:tc>
        <w:tc>
          <w:tcPr>
            <w:tcW w:w="5677" w:type="dxa"/>
            <w:gridSpan w:val="2"/>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color w:val="auto"/>
                <w:sz w:val="21"/>
                <w:szCs w:val="21"/>
                <w:highlight w:val="none"/>
                <w:u w:val="single"/>
              </w:rPr>
              <w:t xml:space="preserve">  90  </w:t>
            </w:r>
            <w:r>
              <w:rPr>
                <w:rFonts w:hint="eastAsia" w:ascii="宋体" w:hAnsi="宋体" w:eastAsia="宋体" w:cs="Times New Roman"/>
                <w:color w:val="auto"/>
                <w:sz w:val="21"/>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第二章第20.1款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响应</w:t>
            </w:r>
            <w:r>
              <w:rPr>
                <w:rFonts w:hint="eastAsia" w:ascii="宋体" w:hAnsi="宋体" w:eastAsia="宋体" w:cs="Times New Roman"/>
                <w:color w:val="auto"/>
                <w:sz w:val="21"/>
                <w:szCs w:val="21"/>
                <w:highlight w:val="none"/>
              </w:rPr>
              <w:t>文件份数</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正本一份，副本两份，电子文件（U盘）一份</w:t>
            </w:r>
            <w:r>
              <w:rPr>
                <w:rFonts w:hint="eastAsia" w:ascii="Calibri"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9123" w:type="dxa"/>
            <w:gridSpan w:val="4"/>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b/>
                <w:color w:val="auto"/>
                <w:sz w:val="21"/>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封套上应载明的信息</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项目名称) 响应文件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采购代理机构编号：</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供应商名称：</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响应文件的递交地点</w:t>
            </w:r>
          </w:p>
        </w:tc>
        <w:tc>
          <w:tcPr>
            <w:tcW w:w="5677" w:type="dxa"/>
            <w:gridSpan w:val="2"/>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color w:val="auto"/>
                <w:sz w:val="21"/>
                <w:szCs w:val="21"/>
                <w:highlight w:val="none"/>
              </w:rPr>
              <w:t>中采联合招标有限公司开标室（详细地址：长沙市开福区芙蓉中路一段88号天健金壹平英里H栋24楼）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宋体"/>
                <w:b/>
                <w:bCs/>
                <w:color w:val="auto"/>
                <w:sz w:val="21"/>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第二章第31.2款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评审因素和标准</w:t>
            </w:r>
          </w:p>
        </w:tc>
        <w:tc>
          <w:tcPr>
            <w:tcW w:w="5677" w:type="dxa"/>
            <w:gridSpan w:val="2"/>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第二章第31.3款</w:t>
            </w:r>
          </w:p>
        </w:tc>
        <w:tc>
          <w:tcPr>
            <w:tcW w:w="1788"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技术、商务、价格</w:t>
            </w:r>
            <w:r>
              <w:rPr>
                <w:rFonts w:hint="eastAsia" w:ascii="宋体" w:hAnsi="宋体" w:eastAsia="宋体" w:cs="宋体"/>
                <w:color w:val="auto"/>
                <w:kern w:val="0"/>
                <w:sz w:val="21"/>
                <w:szCs w:val="21"/>
                <w:highlight w:val="none"/>
              </w:rPr>
              <w:t>得分或总得分</w:t>
            </w:r>
            <w:r>
              <w:rPr>
                <w:rFonts w:hint="eastAsia" w:ascii="宋体" w:hAnsi="宋体" w:eastAsia="宋体" w:cs="宋体"/>
                <w:color w:val="auto"/>
                <w:sz w:val="21"/>
                <w:szCs w:val="21"/>
                <w:highlight w:val="none"/>
              </w:rPr>
              <w:t>调整</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符合第二章第9.1款规定，按第二章第31.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款规定及本款分值调整：</w:t>
            </w:r>
          </w:p>
          <w:p>
            <w:pPr>
              <w:numPr>
                <w:ilvl w:val="0"/>
                <w:numId w:val="1"/>
              </w:num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加分比例（比例见前附表第38.1项,下同）×（节能产品最后报价÷最后总报价）；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价格加分＝价格分值×加分比例×（节能产品最后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2、环境标志产品：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加分比例×（环境标志产品最后报价÷最后总报价）；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价格加分＝价格分值×加分比例×（环境标志产品</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最后报价÷最后总报价）。</w:t>
            </w:r>
          </w:p>
          <w:p>
            <w:pPr>
              <w:adjustRightInd w:val="0"/>
              <w:snapToGrid w:val="0"/>
              <w:spacing w:line="240" w:lineRule="atLeast"/>
              <w:ind w:left="21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3、两型产品：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商务加分＝商务分值×加分比例×（两型产品最后报价÷最后总报价）；</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技术加分＝技术分值×加分比例×（两型产品最后报价÷最后总报价）；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价格加分＝价格分值×加分比例×（两型产品最后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w:t>
            </w:r>
          </w:p>
        </w:tc>
        <w:tc>
          <w:tcPr>
            <w:tcW w:w="1788" w:type="dxa"/>
            <w:noWrap w:val="0"/>
            <w:vAlign w:val="center"/>
          </w:tcPr>
          <w:p>
            <w:pPr>
              <w:adjustRightInd w:val="0"/>
              <w:snapToGrid w:val="0"/>
              <w:spacing w:before="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多处或部分获得政府采购政策优惠的计算方法</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2、供应商享受支持中小企业发展政策优惠的，可以与同时享受节能产品、环境标志产品、两型产品等产品优惠中的一项累加。</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财政部门指定的媒体</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长沙政府采购网</w:t>
            </w:r>
            <w:r>
              <w:rPr>
                <w:rFonts w:ascii="宋体" w:hAnsi="宋体" w:eastAsia="宋体" w:cs="宋体"/>
                <w:color w:val="auto"/>
                <w:sz w:val="21"/>
                <w:szCs w:val="21"/>
                <w:highlight w:val="none"/>
              </w:rPr>
              <w:fldChar w:fldCharType="begin"/>
            </w:r>
            <w:r>
              <w:rPr>
                <w:rFonts w:ascii="宋体" w:hAnsi="宋体" w:eastAsia="宋体" w:cs="宋体"/>
                <w:color w:val="auto"/>
                <w:sz w:val="21"/>
                <w:szCs w:val="21"/>
                <w:highlight w:val="none"/>
              </w:rPr>
              <w:instrText xml:space="preserve"> HYPERLINK "http://changs.ccgp-hunan.gov.cn" </w:instrText>
            </w:r>
            <w:r>
              <w:rPr>
                <w:rFonts w:ascii="宋体" w:hAnsi="宋体" w:eastAsia="宋体" w:cs="宋体"/>
                <w:color w:val="auto"/>
                <w:sz w:val="21"/>
                <w:szCs w:val="21"/>
                <w:highlight w:val="none"/>
              </w:rPr>
              <w:fldChar w:fldCharType="separate"/>
            </w:r>
            <w:r>
              <w:rPr>
                <w:rStyle w:val="50"/>
                <w:rFonts w:ascii="宋体" w:hAnsi="宋体" w:cs="宋体"/>
                <w:color w:val="auto"/>
                <w:sz w:val="21"/>
                <w:szCs w:val="21"/>
                <w:highlight w:val="none"/>
              </w:rPr>
              <w:t>http://changs.ccgp-hunan.gov.cn</w:t>
            </w:r>
            <w:r>
              <w:rPr>
                <w:rFonts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、湖南智谷投资发展集团有限公司官方网站www.hnzhigu.cn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第二章第39.3款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履约担保</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不要求提供</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要求提供，履约担保的金额为：</w:t>
            </w:r>
            <w:r>
              <w:rPr>
                <w:rFonts w:hint="eastAsia" w:ascii="宋体" w:hAnsi="宋体" w:eastAsia="宋体" w:cs="Times New Roman"/>
                <w:color w:val="auto"/>
                <w:sz w:val="21"/>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第二章第41.1款</w:t>
            </w:r>
          </w:p>
        </w:tc>
        <w:tc>
          <w:tcPr>
            <w:tcW w:w="1800"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采购代理服务费</w:t>
            </w:r>
          </w:p>
        </w:tc>
        <w:tc>
          <w:tcPr>
            <w:tcW w:w="5665" w:type="dxa"/>
            <w:noWrap w:val="0"/>
            <w:vAlign w:val="center"/>
          </w:tcPr>
          <w:p>
            <w:pPr>
              <w:adjustRightInd w:val="0"/>
              <w:snapToGrid w:val="0"/>
              <w:rPr>
                <w:rFonts w:hint="eastAsia" w:ascii="宋体" w:hAnsi="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代理机构</w:t>
            </w: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）的规定</w:t>
            </w:r>
            <w:r>
              <w:rPr>
                <w:rFonts w:hint="eastAsia" w:ascii="宋体" w:hAnsi="宋体" w:cs="Times New Roman"/>
                <w:color w:val="auto"/>
                <w:sz w:val="21"/>
                <w:szCs w:val="21"/>
                <w:highlight w:val="none"/>
                <w:lang w:val="en-US" w:eastAsia="zh-CN"/>
              </w:rPr>
              <w:t>向中标（成交）人</w:t>
            </w:r>
            <w:r>
              <w:rPr>
                <w:rFonts w:hint="eastAsia" w:ascii="宋体" w:hAnsi="宋体" w:cs="Times New Roman"/>
                <w:color w:val="auto"/>
                <w:sz w:val="21"/>
                <w:szCs w:val="21"/>
                <w:highlight w:val="none"/>
                <w:lang w:eastAsia="zh-CN"/>
              </w:rPr>
              <w:t>收取代理服务费。</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采购代理服务费汇至: 中采联合招标有限公司</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开 户 行：长沙银行浏阳河支行 </w:t>
            </w:r>
          </w:p>
          <w:p>
            <w:pPr>
              <w:adjustRightInd w:val="0"/>
              <w:snapToGrid w:val="0"/>
              <w:spacing w:line="360" w:lineRule="auto"/>
              <w:rPr>
                <w:rFonts w:hint="eastAsia"/>
                <w:color w:val="auto"/>
                <w:lang w:val="en-US" w:eastAsia="zh-CN"/>
              </w:rPr>
            </w:pPr>
            <w:r>
              <w:rPr>
                <w:rFonts w:hint="eastAsia" w:ascii="宋体" w:hAnsi="宋体" w:eastAsia="宋体"/>
                <w:color w:val="auto"/>
                <w:sz w:val="21"/>
                <w:szCs w:val="21"/>
                <w:highlight w:val="none"/>
              </w:rPr>
              <w:t>银行账号：800193308308012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第二章第42.1款</w:t>
            </w:r>
          </w:p>
        </w:tc>
        <w:tc>
          <w:tcPr>
            <w:tcW w:w="1800" w:type="dxa"/>
            <w:gridSpan w:val="2"/>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其它规定</w:t>
            </w:r>
          </w:p>
        </w:tc>
        <w:tc>
          <w:tcPr>
            <w:tcW w:w="5665" w:type="dxa"/>
            <w:noWrap w:val="0"/>
            <w:vAlign w:val="center"/>
          </w:tcPr>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根据《关于修改招标采购文件范本及明确事项的通知（三）》长采管[2016]12号要求，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1、信用信息查询的查询渠道：“信用中国”网站（www.creditchina.gov.cn）、中国政府采购网（www.ccgp.gov.cn）。</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2、信用信息查询的截止时点：至本项目投标截止时间止。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3、信用信息查询记录的具体方式：由采购人或采购代理机构在规定的查询渠道进行查询。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4、信用信息查询记录证据留存的具体方式：查询记录的网上打印件。</w:t>
            </w:r>
          </w:p>
          <w:p>
            <w:pPr>
              <w:adjustRightInd w:val="0"/>
              <w:snapToGrid w:val="0"/>
              <w:spacing w:before="156" w:beforeLines="50" w:line="340" w:lineRule="exact"/>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5、信用信息的使用规则：信用信息查询后交由评标委员会评定。留存备查。</w:t>
            </w:r>
          </w:p>
        </w:tc>
      </w:tr>
    </w:tbl>
    <w:p>
      <w:pPr>
        <w:adjustRightInd w:val="0"/>
        <w:snapToGrid w:val="0"/>
        <w:spacing w:line="360" w:lineRule="auto"/>
        <w:rPr>
          <w:rFonts w:hint="eastAsia" w:ascii="宋体" w:hAnsi="宋体"/>
          <w:b/>
          <w:bCs/>
          <w:color w:val="auto"/>
          <w:sz w:val="21"/>
          <w:szCs w:val="21"/>
          <w:highlight w:val="none"/>
        </w:rPr>
      </w:pPr>
    </w:p>
    <w:p>
      <w:pPr>
        <w:rPr>
          <w:rFonts w:hint="eastAsia" w:ascii="宋体" w:hAnsi="宋体"/>
          <w:b/>
          <w:bCs/>
          <w:color w:val="auto"/>
          <w:sz w:val="21"/>
          <w:szCs w:val="21"/>
          <w:highlight w:val="none"/>
        </w:rPr>
      </w:pPr>
      <w:r>
        <w:rPr>
          <w:rFonts w:hint="eastAsia" w:ascii="宋体" w:hAnsi="宋体"/>
          <w:b/>
          <w:bCs/>
          <w:color w:val="auto"/>
          <w:sz w:val="21"/>
          <w:szCs w:val="21"/>
          <w:highlight w:val="none"/>
        </w:rPr>
        <w:br w:type="page"/>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附页1</w:t>
      </w:r>
    </w:p>
    <w:p>
      <w:pPr>
        <w:adjustRightInd w:val="0"/>
        <w:snapToGrid w:val="0"/>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rPr>
        <w:t>湖南省政府采购支持中小企业融资合作银行及联系人名单</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1141"/>
        <w:gridCol w:w="3233"/>
        <w:gridCol w:w="24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285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银行名称</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联系人</w:t>
            </w:r>
          </w:p>
        </w:tc>
        <w:tc>
          <w:tcPr>
            <w:tcW w:w="323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职 务</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  波</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名城支行客户经理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肖勇光</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分行高级经理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黄飞燕</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蒋寒奇</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营业部中小企业客户经理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刘栅延</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蒋修远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中国光大银行长沙分行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邓永胜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岳麓支行副行长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蔡学军</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公司银行部负责人</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宋学农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银行部综合管理部副总经理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0731-845822141</w:t>
            </w:r>
          </w:p>
        </w:tc>
      </w:tr>
    </w:tbl>
    <w:p>
      <w:pPr>
        <w:adjustRightInd w:val="0"/>
        <w:snapToGrid w:val="0"/>
        <w:spacing w:line="360" w:lineRule="auto"/>
        <w:rPr>
          <w:rFonts w:hint="eastAsia" w:ascii="宋体" w:hAnsi="宋体"/>
          <w:b/>
          <w:bCs/>
          <w:color w:val="auto"/>
          <w:sz w:val="21"/>
          <w:szCs w:val="21"/>
          <w:highlight w:val="none"/>
        </w:r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附页2</w:t>
      </w:r>
    </w:p>
    <w:p>
      <w:pPr>
        <w:adjustRightInd w:val="0"/>
        <w:snapToGrid w:val="0"/>
        <w:spacing w:line="360" w:lineRule="auto"/>
        <w:jc w:val="center"/>
        <w:rPr>
          <w:rFonts w:hint="eastAsia" w:ascii="宋体" w:hAnsi="宋体"/>
          <w:b/>
          <w:bCs/>
          <w:color w:val="auto"/>
          <w:sz w:val="21"/>
          <w:szCs w:val="21"/>
          <w:highlight w:val="none"/>
        </w:rPr>
      </w:pPr>
      <w:r>
        <w:rPr>
          <w:rFonts w:hint="eastAsia" w:ascii="宋体" w:hAnsi="宋体" w:cs="宋体"/>
          <w:b/>
          <w:bCs/>
          <w:color w:val="auto"/>
          <w:kern w:val="0"/>
          <w:sz w:val="21"/>
          <w:szCs w:val="21"/>
          <w:highlight w:val="none"/>
        </w:rPr>
        <w:t>湖南省政府采购信用担保试点工作的</w:t>
      </w:r>
      <w:r>
        <w:rPr>
          <w:rFonts w:hint="eastAsia" w:ascii="宋体" w:hAnsi="宋体"/>
          <w:b/>
          <w:color w:val="auto"/>
          <w:sz w:val="21"/>
          <w:szCs w:val="21"/>
          <w:highlight w:val="none"/>
        </w:rPr>
        <w:t>信用担保机构名单</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0" w:hRule="atLeast"/>
        </w:trPr>
        <w:tc>
          <w:tcPr>
            <w:tcW w:w="432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信用担保机构</w:t>
            </w:r>
          </w:p>
        </w:tc>
        <w:tc>
          <w:tcPr>
            <w:tcW w:w="10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联系人</w:t>
            </w:r>
          </w:p>
        </w:tc>
        <w:tc>
          <w:tcPr>
            <w:tcW w:w="37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中国投资担保公司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何  嘉</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湖南省中小企业信用担保有限责任公司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蔡建雄</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320" w:type="dxa"/>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Times New Roman"/>
                <w:color w:val="auto"/>
                <w:sz w:val="21"/>
                <w:szCs w:val="21"/>
                <w:highlight w:val="none"/>
              </w:rPr>
              <w:t>湖南农业信用担保有限公司</w:t>
            </w:r>
          </w:p>
        </w:tc>
        <w:tc>
          <w:tcPr>
            <w:tcW w:w="1080" w:type="dxa"/>
            <w:noWrap w:val="0"/>
            <w:vAlign w:val="center"/>
          </w:tcPr>
          <w:p>
            <w:pPr>
              <w:adjustRightInd w:val="0"/>
              <w:snapToGrid w:val="0"/>
              <w:spacing w:line="360"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彭  球</w:t>
            </w:r>
          </w:p>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邓霞英</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0731-89761702/13875980906 0731-89761706/13574125851</w:t>
            </w:r>
          </w:p>
        </w:tc>
      </w:tr>
    </w:tbl>
    <w:p>
      <w:pPr>
        <w:adjustRightInd w:val="0"/>
        <w:snapToGrid w:val="0"/>
        <w:spacing w:line="360" w:lineRule="auto"/>
        <w:rPr>
          <w:rFonts w:ascii="宋体" w:hAnsi="宋体"/>
          <w:b/>
          <w:color w:val="auto"/>
          <w:sz w:val="21"/>
          <w:szCs w:val="21"/>
          <w:highlight w:val="none"/>
        </w:rPr>
        <w:sectPr>
          <w:footerReference r:id="rId11" w:type="default"/>
          <w:pgSz w:w="11906" w:h="16838"/>
          <w:pgMar w:top="1474" w:right="1418" w:bottom="1418" w:left="1474" w:header="992" w:footer="992" w:gutter="0"/>
          <w:pgNumType w:fmt="decimal"/>
          <w:cols w:space="720" w:num="1"/>
          <w:docGrid w:type="lines" w:linePitch="312" w:charSpace="0"/>
        </w:sect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附页3</w:t>
      </w:r>
    </w:p>
    <w:p>
      <w:pPr>
        <w:adjustRightInd w:val="0"/>
        <w:snapToGrid w:val="0"/>
        <w:spacing w:line="360" w:lineRule="auto"/>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履约担保函</w:t>
      </w:r>
    </w:p>
    <w:p>
      <w:pPr>
        <w:adjustRightInd w:val="0"/>
        <w:snapToGrid w:val="0"/>
        <w:spacing w:line="360" w:lineRule="auto"/>
        <w:rPr>
          <w:rFonts w:hint="eastAsia" w:ascii="宋体" w:hAnsi="宋体" w:cs="宋体"/>
          <w:color w:val="auto"/>
          <w:kern w:val="0"/>
          <w:sz w:val="21"/>
          <w:szCs w:val="21"/>
          <w:highlight w:val="none"/>
        </w:rPr>
      </w:pPr>
    </w:p>
    <w:p>
      <w:pPr>
        <w:adjustRightInd w:val="0"/>
        <w:snapToGrid w:val="0"/>
        <w:spacing w:line="360" w:lineRule="auto"/>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编号：</w:t>
      </w:r>
      <w:r>
        <w:rPr>
          <w:rFonts w:hint="eastAsia" w:ascii="宋体" w:hAnsi="宋体" w:cs="宋体"/>
          <w:color w:val="auto"/>
          <w:kern w:val="0"/>
          <w:sz w:val="21"/>
          <w:szCs w:val="21"/>
          <w:highlight w:val="none"/>
          <w:u w:val="single"/>
        </w:rPr>
        <w:t xml:space="preserve">              </w:t>
      </w:r>
    </w:p>
    <w:p>
      <w:pPr>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（采购人）：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鉴于你方与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（以下简称供应商）于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日签定编号为</w:t>
      </w:r>
      <w:r>
        <w:rPr>
          <w:rFonts w:hint="eastAsia" w:ascii="宋体" w:hAnsi="宋体" w:cs="宋体"/>
          <w:color w:val="auto"/>
          <w:kern w:val="0"/>
          <w:sz w:val="21"/>
          <w:szCs w:val="21"/>
          <w:highlight w:val="none"/>
          <w:u w:val="single"/>
        </w:rPr>
        <w:t xml:space="preserve">           2</w:t>
      </w:r>
      <w:r>
        <w:rPr>
          <w:rFonts w:hint="eastAsia" w:ascii="宋体" w:hAnsi="宋体" w:cs="宋体"/>
          <w:color w:val="auto"/>
          <w:kern w:val="0"/>
          <w:sz w:val="21"/>
          <w:szCs w:val="21"/>
          <w:highlight w:val="none"/>
        </w:rPr>
        <w:t>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采购合同》（以下简称主合同），且依据该合同的约定，供应商应在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一、保证责任的情形及保证金额</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（一）在供应商出现下列情形之一时，我方承担保证责任：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2．主合同约定的应当缴纳履约保证金的情形: </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（二）我方的保证范围是主合同约定的合同价款总额的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%数额为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元（大写</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），币种为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。（即主合同履约保证金金额）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二、保证的方式及保证期间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我方保证的方式为：连带责任保证。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我方保证的期间为：自本合同生效之日起至供应商按照主合同约定的供货/完工期限届满后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日内。</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三、承担保证责任的程序</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如果你方与供应商因货物质量问题产生争议，你方还需同时提供</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2．我方收到你方的书面索赔通知及相应证明材料，在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工作日内进行核定后按照本保函的承诺承担保证责任。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四、保证责任的终止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五、免责条款</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六、争议的解决</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因本保函发生的纠纷，由你我双方协商解决，协商不成的，通过诉讼程序解决，诉讼管辖地法院为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法院。</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七、保函的生效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本保函自我方加盖公章之日起生效。 </w:t>
      </w:r>
    </w:p>
    <w:p>
      <w:pPr>
        <w:tabs>
          <w:tab w:val="left" w:pos="2850"/>
        </w:tabs>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ascii="宋体" w:hAnsi="宋体" w:cs="宋体"/>
          <w:color w:val="auto"/>
          <w:kern w:val="0"/>
          <w:sz w:val="21"/>
          <w:szCs w:val="21"/>
          <w:highlight w:val="none"/>
        </w:rPr>
        <w:tab/>
      </w:r>
      <w:r>
        <w:rPr>
          <w:rFonts w:hint="eastAsia" w:ascii="宋体" w:hAnsi="宋体" w:cs="宋体"/>
          <w:color w:val="auto"/>
          <w:kern w:val="0"/>
          <w:sz w:val="21"/>
          <w:szCs w:val="21"/>
          <w:highlight w:val="none"/>
        </w:rPr>
        <w:t xml:space="preserve">          保证人：（公章） </w:t>
      </w:r>
    </w:p>
    <w:p>
      <w:pPr>
        <w:adjustRightInd w:val="0"/>
        <w:snapToGrid w:val="0"/>
        <w:spacing w:line="360" w:lineRule="auto"/>
        <w:rPr>
          <w:rFonts w:ascii="宋体" w:hAnsi="宋体" w:cs="宋体"/>
          <w:color w:val="auto"/>
          <w:kern w:val="0"/>
          <w:sz w:val="21"/>
          <w:szCs w:val="21"/>
          <w:highlight w:val="none"/>
        </w:rPr>
        <w:sectPr>
          <w:pgSz w:w="11906" w:h="16838"/>
          <w:pgMar w:top="1440" w:right="1531" w:bottom="1440" w:left="1531" w:header="992" w:footer="992" w:gutter="0"/>
          <w:pgNumType w:fmt="decimal"/>
          <w:cols w:space="720" w:num="1"/>
          <w:docGrid w:type="lines" w:linePitch="312" w:charSpace="0"/>
        </w:sect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pStyle w:val="4"/>
        <w:jc w:val="both"/>
        <w:rPr>
          <w:rFonts w:hint="eastAsia" w:ascii="宋体" w:hAnsi="宋体" w:cs="宋体"/>
          <w:b w:val="0"/>
          <w:bCs w:val="0"/>
          <w:color w:val="auto"/>
          <w:sz w:val="21"/>
          <w:szCs w:val="21"/>
          <w:highlight w:val="none"/>
        </w:rPr>
      </w:pPr>
      <w:r>
        <w:rPr>
          <w:rFonts w:hint="eastAsia" w:ascii="宋体" w:hAnsi="宋体" w:cs="宋体"/>
          <w:color w:val="auto"/>
          <w:sz w:val="21"/>
          <w:szCs w:val="21"/>
          <w:highlight w:val="none"/>
        </w:rPr>
        <w:t>附页4</w:t>
      </w:r>
      <w:r>
        <w:rPr>
          <w:rFonts w:hint="eastAsia" w:ascii="宋体" w:hAnsi="宋体" w:cs="宋体"/>
          <w:b w:val="0"/>
          <w:bCs w:val="0"/>
          <w:color w:val="auto"/>
          <w:sz w:val="21"/>
          <w:szCs w:val="21"/>
          <w:highlight w:val="none"/>
        </w:rPr>
        <w:t>：</w:t>
      </w:r>
      <w:r>
        <w:rPr>
          <w:rFonts w:hint="eastAsia" w:ascii="宋体" w:hAnsi="宋体" w:cs="宋体"/>
          <w:color w:val="auto"/>
          <w:kern w:val="0"/>
          <w:sz w:val="21"/>
          <w:szCs w:val="21"/>
          <w:highlight w:val="none"/>
        </w:rPr>
        <w:t>评审因素和标准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本采购项目采用综合评分法，满分100分。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一、评审计分权值：</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7"/>
        <w:gridCol w:w="5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707"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具体项目</w:t>
            </w:r>
          </w:p>
        </w:tc>
        <w:tc>
          <w:tcPr>
            <w:tcW w:w="5428"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权值范围(评标因素权重)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F1=0.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F2=0.30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707"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商务部分</w:t>
            </w:r>
          </w:p>
        </w:tc>
        <w:tc>
          <w:tcPr>
            <w:tcW w:w="5428"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spacing w:line="360" w:lineRule="auto"/>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F3=0.</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0</w:t>
            </w:r>
          </w:p>
        </w:tc>
      </w:tr>
    </w:tbl>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二、评分细则：</w:t>
      </w:r>
    </w:p>
    <w:tbl>
      <w:tblPr>
        <w:tblStyle w:val="41"/>
        <w:tblW w:w="563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0"/>
        <w:gridCol w:w="1124"/>
        <w:gridCol w:w="1323"/>
        <w:gridCol w:w="7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11"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序号</w:t>
            </w:r>
          </w:p>
        </w:tc>
        <w:tc>
          <w:tcPr>
            <w:tcW w:w="555"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auto"/>
                <w:kern w:val="0"/>
                <w:sz w:val="21"/>
                <w:szCs w:val="21"/>
                <w:highlight w:val="none"/>
                <w:lang w:bidi="ar"/>
              </w:rPr>
            </w:pPr>
            <w:r>
              <w:rPr>
                <w:rFonts w:hint="eastAsia" w:ascii="宋体" w:hAnsi="宋体" w:cs="宋体"/>
                <w:b/>
                <w:bCs/>
                <w:color w:val="auto"/>
                <w:kern w:val="0"/>
                <w:sz w:val="21"/>
                <w:szCs w:val="21"/>
                <w:highlight w:val="none"/>
                <w:lang w:bidi="ar"/>
              </w:rPr>
              <w:t>评审</w:t>
            </w:r>
          </w:p>
          <w:p>
            <w:pPr>
              <w:widowControl/>
              <w:spacing w:line="360" w:lineRule="exact"/>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因素</w:t>
            </w:r>
          </w:p>
        </w:tc>
        <w:tc>
          <w:tcPr>
            <w:tcW w:w="4132" w:type="pct"/>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311"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555"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投标报价</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0分</w:t>
            </w:r>
            <w:r>
              <w:rPr>
                <w:rFonts w:hint="eastAsia" w:ascii="宋体" w:hAnsi="宋体" w:cs="宋体"/>
                <w:color w:val="auto"/>
                <w:sz w:val="21"/>
                <w:szCs w:val="21"/>
                <w:highlight w:val="none"/>
              </w:rPr>
              <w:t>）</w:t>
            </w:r>
          </w:p>
        </w:tc>
        <w:tc>
          <w:tcPr>
            <w:tcW w:w="4132" w:type="pct"/>
            <w:gridSpan w:val="2"/>
            <w:noWrap w:val="0"/>
            <w:tcMar>
              <w:top w:w="15" w:type="dxa"/>
              <w:left w:w="15" w:type="dxa"/>
              <w:right w:w="15" w:type="dxa"/>
            </w:tcMar>
            <w:vAlign w:val="center"/>
          </w:tcPr>
          <w:p>
            <w:pPr>
              <w:widowControl/>
              <w:spacing w:line="360" w:lineRule="exact"/>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1、满足磋商文件要求且最后报价最低的供应商的价格为磋商基准价，其价格分为满分</w:t>
            </w:r>
            <w:r>
              <w:rPr>
                <w:rStyle w:val="109"/>
                <w:rFonts w:hint="eastAsia" w:ascii="宋体" w:hAnsi="宋体" w:cs="宋体"/>
                <w:color w:val="auto"/>
                <w:sz w:val="21"/>
                <w:szCs w:val="21"/>
                <w:highlight w:val="none"/>
                <w:lang w:val="en-US" w:eastAsia="zh-CN" w:bidi="ar"/>
              </w:rPr>
              <w:t>3</w:t>
            </w:r>
            <w:r>
              <w:rPr>
                <w:rStyle w:val="109"/>
                <w:rFonts w:hint="default" w:ascii="宋体" w:hAnsi="宋体" w:eastAsia="宋体" w:cs="宋体"/>
                <w:color w:val="auto"/>
                <w:sz w:val="21"/>
                <w:szCs w:val="21"/>
                <w:highlight w:val="none"/>
                <w:lang w:bidi="ar"/>
              </w:rPr>
              <w:t>0分</w:t>
            </w:r>
            <w:r>
              <w:rPr>
                <w:rStyle w:val="140"/>
                <w:rFonts w:hint="default" w:ascii="宋体" w:hAnsi="宋体" w:eastAsia="宋体" w:cs="宋体"/>
                <w:color w:val="auto"/>
                <w:sz w:val="21"/>
                <w:szCs w:val="21"/>
                <w:highlight w:val="none"/>
                <w:lang w:bidi="ar"/>
              </w:rPr>
              <w:t>。其他供应商的价格分统一按照下列公式计算：</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磋商报价得分=</w:t>
            </w:r>
            <w:r>
              <w:rPr>
                <w:rStyle w:val="140"/>
                <w:rFonts w:hint="default" w:ascii="宋体" w:hAnsi="宋体" w:eastAsia="宋体" w:cs="宋体"/>
                <w:color w:val="auto"/>
                <w:sz w:val="21"/>
                <w:szCs w:val="21"/>
                <w:highlight w:val="none"/>
                <w:lang w:bidi="ar"/>
              </w:rPr>
              <w:t>（磋商基准价</w:t>
            </w:r>
            <w:r>
              <w:rPr>
                <w:rFonts w:hint="eastAsia" w:ascii="宋体" w:hAnsi="宋体" w:cs="宋体"/>
                <w:color w:val="auto"/>
                <w:kern w:val="0"/>
                <w:sz w:val="21"/>
                <w:szCs w:val="21"/>
                <w:highlight w:val="none"/>
                <w:lang w:bidi="ar"/>
              </w:rPr>
              <w:t>/</w:t>
            </w:r>
            <w:r>
              <w:rPr>
                <w:rStyle w:val="140"/>
                <w:rFonts w:hint="default" w:ascii="宋体" w:hAnsi="宋体" w:eastAsia="宋体" w:cs="宋体"/>
                <w:color w:val="auto"/>
                <w:sz w:val="21"/>
                <w:szCs w:val="21"/>
                <w:highlight w:val="none"/>
                <w:lang w:bidi="ar"/>
              </w:rPr>
              <w:t>最后磋商报价）×价格权值×</w:t>
            </w:r>
            <w:r>
              <w:rPr>
                <w:rFonts w:hint="eastAsia" w:ascii="宋体" w:hAnsi="宋体" w:cs="宋体"/>
                <w:color w:val="auto"/>
                <w:kern w:val="0"/>
                <w:sz w:val="21"/>
                <w:szCs w:val="21"/>
                <w:highlight w:val="none"/>
                <w:lang w:bidi="ar"/>
              </w:rPr>
              <w:t>100</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w:t>
            </w:r>
            <w:r>
              <w:rPr>
                <w:rStyle w:val="140"/>
                <w:rFonts w:hint="default" w:ascii="宋体" w:hAnsi="宋体" w:eastAsia="宋体" w:cs="宋体"/>
                <w:color w:val="auto"/>
                <w:sz w:val="21"/>
                <w:szCs w:val="21"/>
                <w:highlight w:val="none"/>
                <w:lang w:bidi="ar"/>
              </w:rPr>
              <w:t>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jc w:val="center"/>
        </w:trPr>
        <w:tc>
          <w:tcPr>
            <w:tcW w:w="311"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555"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技术部分</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（30分）</w:t>
            </w:r>
          </w:p>
        </w:tc>
        <w:tc>
          <w:tcPr>
            <w:tcW w:w="653"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服务方案</w:t>
            </w:r>
          </w:p>
          <w:p>
            <w:pPr>
              <w:spacing w:line="3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（30分）</w:t>
            </w:r>
          </w:p>
        </w:tc>
        <w:tc>
          <w:tcPr>
            <w:tcW w:w="3478"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根据响应文件中保洁服务整体设想</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管理方案及措施（包括内部管理架构、激励机制、监督机制、自我约束机制、信息反馈及处理机制等）</w:t>
            </w:r>
            <w:r>
              <w:rPr>
                <w:rFonts w:hint="eastAsia" w:ascii="宋体" w:hAnsi="宋体" w:cs="宋体"/>
                <w:color w:val="auto"/>
                <w:sz w:val="21"/>
                <w:szCs w:val="21"/>
                <w:highlight w:val="none"/>
                <w:lang w:val="en-US" w:eastAsia="zh-CN"/>
              </w:rPr>
              <w:t>详细</w:t>
            </w:r>
            <w:r>
              <w:rPr>
                <w:rFonts w:hint="eastAsia" w:ascii="宋体" w:hAnsi="宋体" w:cs="宋体"/>
                <w:color w:val="auto"/>
                <w:sz w:val="21"/>
                <w:szCs w:val="21"/>
                <w:highlight w:val="none"/>
              </w:rPr>
              <w:t>完善、科学合理的，计</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分；较完善、较科学的，计</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分；欠完善、欠合理、有缺漏项的，计</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未提供的不计分</w:t>
            </w:r>
            <w:r>
              <w:rPr>
                <w:rFonts w:hint="eastAsia" w:ascii="宋体" w:hAnsi="宋体" w:cs="宋体"/>
                <w:color w:val="auto"/>
                <w:sz w:val="21"/>
                <w:szCs w:val="21"/>
                <w:highlight w:val="none"/>
                <w:lang w:eastAsia="zh-CN"/>
              </w:rPr>
              <w:t>；</w:t>
            </w:r>
          </w:p>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2、根据</w:t>
            </w:r>
            <w:r>
              <w:rPr>
                <w:rFonts w:hint="eastAsia" w:ascii="宋体" w:hAnsi="宋体" w:cs="宋体"/>
                <w:color w:val="auto"/>
                <w:sz w:val="21"/>
                <w:szCs w:val="21"/>
                <w:highlight w:val="none"/>
              </w:rPr>
              <w:t>响应文件</w:t>
            </w:r>
            <w:r>
              <w:rPr>
                <w:rFonts w:hint="eastAsia" w:ascii="宋体" w:hAnsi="宋体" w:cs="宋体"/>
                <w:color w:val="auto"/>
                <w:sz w:val="21"/>
                <w:szCs w:val="21"/>
                <w:highlight w:val="none"/>
                <w:lang w:val="en-US" w:eastAsia="zh-CN"/>
              </w:rPr>
              <w:t>提供的工作计划方案及措施（包括工作流程、保洁管理、各环节所需的保洁计划等）详细完善、科学合理的，计8分；较完善、较科学的计5分；欠完善、欠合理、有缺漏项的计3分；未提供方案的不计分；</w:t>
            </w:r>
          </w:p>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3、根据</w:t>
            </w:r>
            <w:r>
              <w:rPr>
                <w:rFonts w:hint="eastAsia" w:ascii="宋体" w:hAnsi="宋体" w:cs="宋体"/>
                <w:color w:val="auto"/>
                <w:sz w:val="21"/>
                <w:szCs w:val="21"/>
                <w:highlight w:val="none"/>
              </w:rPr>
              <w:t>响应文件中</w:t>
            </w:r>
            <w:r>
              <w:rPr>
                <w:rFonts w:hint="eastAsia" w:ascii="宋体" w:hAnsi="宋体" w:cs="宋体"/>
                <w:color w:val="auto"/>
                <w:sz w:val="21"/>
                <w:szCs w:val="21"/>
                <w:highlight w:val="none"/>
                <w:lang w:val="en-US" w:eastAsia="zh-CN"/>
              </w:rPr>
              <w:t>保洁</w:t>
            </w:r>
            <w:r>
              <w:rPr>
                <w:rFonts w:hint="eastAsia" w:ascii="宋体" w:hAnsi="宋体" w:eastAsia="宋体" w:cs="宋体"/>
                <w:color w:val="auto"/>
                <w:sz w:val="21"/>
                <w:szCs w:val="24"/>
                <w:highlight w:val="none"/>
                <w:lang w:eastAsia="zh-CN"/>
              </w:rPr>
              <w:t>安全管理方案（包括安全制度、安全预案（急救措施）、安全管理人员、安全检查及记录等）</w:t>
            </w:r>
            <w:r>
              <w:rPr>
                <w:rFonts w:hint="eastAsia" w:ascii="宋体" w:hAnsi="宋体" w:cs="宋体"/>
                <w:color w:val="auto"/>
                <w:sz w:val="21"/>
                <w:szCs w:val="21"/>
                <w:highlight w:val="none"/>
                <w:lang w:val="en-US" w:eastAsia="zh-CN"/>
              </w:rPr>
              <w:t>详细</w:t>
            </w:r>
            <w:r>
              <w:rPr>
                <w:rFonts w:hint="eastAsia" w:ascii="宋体" w:hAnsi="宋体" w:eastAsia="宋体" w:cs="宋体"/>
                <w:color w:val="auto"/>
                <w:sz w:val="21"/>
                <w:szCs w:val="24"/>
                <w:highlight w:val="none"/>
                <w:lang w:eastAsia="zh-CN"/>
              </w:rPr>
              <w:t>完整、科学合理的，计</w:t>
            </w:r>
            <w:r>
              <w:rPr>
                <w:rFonts w:hint="eastAsia" w:ascii="宋体" w:hAnsi="宋体" w:eastAsia="宋体" w:cs="宋体"/>
                <w:color w:val="auto"/>
                <w:sz w:val="21"/>
                <w:szCs w:val="24"/>
                <w:highlight w:val="none"/>
                <w:lang w:val="en-US" w:eastAsia="zh-CN"/>
              </w:rPr>
              <w:t>8</w:t>
            </w:r>
            <w:r>
              <w:rPr>
                <w:rFonts w:hint="eastAsia" w:ascii="宋体" w:hAnsi="宋体" w:eastAsia="宋体" w:cs="宋体"/>
                <w:color w:val="auto"/>
                <w:sz w:val="21"/>
                <w:szCs w:val="24"/>
                <w:highlight w:val="none"/>
                <w:lang w:eastAsia="zh-CN"/>
              </w:rPr>
              <w:t>分；较完整、较科学的，计</w:t>
            </w:r>
            <w:r>
              <w:rPr>
                <w:rFonts w:hint="eastAsia" w:ascii="宋体" w:hAnsi="宋体" w:eastAsia="宋体" w:cs="宋体"/>
                <w:color w:val="auto"/>
                <w:sz w:val="21"/>
                <w:szCs w:val="24"/>
                <w:highlight w:val="none"/>
                <w:lang w:val="en-US" w:eastAsia="zh-CN"/>
              </w:rPr>
              <w:t>5</w:t>
            </w:r>
            <w:r>
              <w:rPr>
                <w:rFonts w:hint="eastAsia" w:ascii="宋体" w:hAnsi="宋体" w:eastAsia="宋体" w:cs="宋体"/>
                <w:color w:val="auto"/>
                <w:sz w:val="21"/>
                <w:szCs w:val="24"/>
                <w:highlight w:val="none"/>
                <w:lang w:eastAsia="zh-CN"/>
              </w:rPr>
              <w:t>分；欠合理、有缺漏项的，计</w:t>
            </w: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lang w:eastAsia="zh-CN"/>
              </w:rPr>
              <w:t>分；</w:t>
            </w:r>
          </w:p>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Style w:val="43"/>
                <w:rFonts w:ascii="宋体" w:hAnsi="宋体" w:eastAsia="宋体" w:cs="宋体"/>
                <w:b w:val="0"/>
                <w:color w:val="auto"/>
                <w:sz w:val="21"/>
                <w:szCs w:val="24"/>
                <w:highlight w:val="none"/>
              </w:rPr>
              <w:t>投标人应充分考虑采购人的实际情况制定应急预案及演练方案，方案详细</w:t>
            </w:r>
            <w:r>
              <w:rPr>
                <w:rStyle w:val="43"/>
                <w:rFonts w:hint="eastAsia" w:ascii="宋体" w:hAnsi="宋体" w:cs="宋体"/>
                <w:b w:val="0"/>
                <w:color w:val="auto"/>
                <w:sz w:val="21"/>
                <w:szCs w:val="24"/>
                <w:highlight w:val="none"/>
                <w:lang w:val="en-US" w:eastAsia="zh-CN"/>
              </w:rPr>
              <w:t>完善</w:t>
            </w:r>
            <w:r>
              <w:rPr>
                <w:rStyle w:val="43"/>
                <w:rFonts w:ascii="宋体" w:hAnsi="宋体" w:eastAsia="宋体" w:cs="宋体"/>
                <w:b w:val="0"/>
                <w:color w:val="auto"/>
                <w:sz w:val="21"/>
                <w:szCs w:val="24"/>
                <w:highlight w:val="none"/>
              </w:rPr>
              <w:t>、科学合理的计</w:t>
            </w:r>
            <w:r>
              <w:rPr>
                <w:rStyle w:val="43"/>
                <w:rFonts w:hint="eastAsia" w:ascii="宋体" w:hAnsi="宋体" w:cs="宋体"/>
                <w:b w:val="0"/>
                <w:color w:val="auto"/>
                <w:sz w:val="21"/>
                <w:szCs w:val="24"/>
                <w:highlight w:val="none"/>
                <w:lang w:val="en-US" w:eastAsia="zh-CN"/>
              </w:rPr>
              <w:t>4</w:t>
            </w:r>
            <w:r>
              <w:rPr>
                <w:rStyle w:val="43"/>
                <w:rFonts w:ascii="宋体" w:hAnsi="宋体" w:eastAsia="宋体" w:cs="宋体"/>
                <w:b w:val="0"/>
                <w:color w:val="auto"/>
                <w:sz w:val="21"/>
                <w:szCs w:val="24"/>
                <w:highlight w:val="none"/>
              </w:rPr>
              <w:t>分；较详细、合理的计</w:t>
            </w:r>
            <w:r>
              <w:rPr>
                <w:rStyle w:val="43"/>
                <w:rFonts w:hint="eastAsia" w:ascii="宋体" w:hAnsi="宋体" w:cs="宋体"/>
                <w:b w:val="0"/>
                <w:color w:val="auto"/>
                <w:sz w:val="21"/>
                <w:szCs w:val="24"/>
                <w:highlight w:val="none"/>
                <w:lang w:val="en-US" w:eastAsia="zh-CN"/>
              </w:rPr>
              <w:t>2</w:t>
            </w:r>
            <w:r>
              <w:rPr>
                <w:rStyle w:val="43"/>
                <w:rFonts w:ascii="宋体" w:hAnsi="宋体" w:eastAsia="宋体" w:cs="宋体"/>
                <w:b w:val="0"/>
                <w:color w:val="auto"/>
                <w:sz w:val="21"/>
                <w:szCs w:val="24"/>
                <w:highlight w:val="none"/>
              </w:rPr>
              <w:t>分；基本合理的计</w:t>
            </w:r>
            <w:r>
              <w:rPr>
                <w:rStyle w:val="43"/>
                <w:rFonts w:hint="eastAsia" w:ascii="宋体" w:hAnsi="宋体" w:cs="宋体"/>
                <w:b w:val="0"/>
                <w:color w:val="auto"/>
                <w:sz w:val="21"/>
                <w:szCs w:val="24"/>
                <w:highlight w:val="none"/>
                <w:lang w:val="en-US" w:eastAsia="zh-CN"/>
              </w:rPr>
              <w:t>1</w:t>
            </w:r>
            <w:r>
              <w:rPr>
                <w:rStyle w:val="43"/>
                <w:rFonts w:ascii="宋体" w:hAnsi="宋体" w:eastAsia="宋体" w:cs="宋体"/>
                <w:b w:val="0"/>
                <w:color w:val="auto"/>
                <w:sz w:val="21"/>
                <w:szCs w:val="24"/>
                <w:highlight w:val="none"/>
              </w:rPr>
              <w:t>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1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555"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商务部分</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bidi="ar"/>
              </w:rPr>
              <w:t>0分）</w:t>
            </w:r>
          </w:p>
        </w:tc>
        <w:tc>
          <w:tcPr>
            <w:tcW w:w="653"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经</w:t>
            </w:r>
            <w:r>
              <w:rPr>
                <w:rFonts w:hint="eastAsia" w:ascii="宋体" w:hAnsi="宋体" w:cs="宋体"/>
                <w:color w:val="auto"/>
                <w:kern w:val="0"/>
                <w:sz w:val="21"/>
                <w:szCs w:val="21"/>
                <w:highlight w:val="none"/>
                <w:lang w:bidi="ar"/>
              </w:rPr>
              <w:t>营业绩</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（15分）</w:t>
            </w:r>
          </w:p>
        </w:tc>
        <w:tc>
          <w:tcPr>
            <w:tcW w:w="3478" w:type="pct"/>
            <w:noWrap w:val="0"/>
            <w:tcMar>
              <w:top w:w="15" w:type="dxa"/>
              <w:left w:w="15" w:type="dxa"/>
              <w:right w:w="15" w:type="dxa"/>
            </w:tcMar>
            <w:vAlign w:val="center"/>
          </w:tcPr>
          <w:p>
            <w:pPr>
              <w:widowControl/>
              <w:spacing w:line="360" w:lineRule="exact"/>
              <w:jc w:val="left"/>
              <w:textAlignment w:val="center"/>
              <w:rPr>
                <w:rStyle w:val="109"/>
                <w:rFonts w:hint="default"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rPr>
              <w:t>投标人具有201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年1月1日以来（以合同签订时间为准）</w:t>
            </w:r>
            <w:r>
              <w:rPr>
                <w:rFonts w:hint="eastAsia" w:ascii="宋体" w:hAnsi="宋体" w:cs="宋体"/>
                <w:color w:val="auto"/>
                <w:kern w:val="0"/>
                <w:sz w:val="21"/>
                <w:szCs w:val="21"/>
                <w:highlight w:val="none"/>
                <w:lang w:val="en-US" w:eastAsia="zh-CN" w:bidi="ar"/>
              </w:rPr>
              <w:t>保洁服务</w:t>
            </w:r>
            <w:r>
              <w:rPr>
                <w:rFonts w:hint="eastAsia" w:ascii="宋体" w:hAnsi="宋体" w:cs="宋体"/>
                <w:color w:val="auto"/>
                <w:kern w:val="0"/>
                <w:sz w:val="21"/>
                <w:szCs w:val="21"/>
                <w:highlight w:val="none"/>
                <w:lang w:bidi="ar"/>
              </w:rPr>
              <w:t>项目经营业绩的</w:t>
            </w:r>
            <w:r>
              <w:rPr>
                <w:rStyle w:val="109"/>
                <w:rFonts w:hint="default" w:ascii="宋体" w:hAnsi="宋体" w:eastAsia="宋体" w:cs="宋体"/>
                <w:color w:val="auto"/>
                <w:sz w:val="21"/>
                <w:szCs w:val="21"/>
                <w:highlight w:val="none"/>
                <w:lang w:bidi="ar"/>
              </w:rPr>
              <w:t>，每提供一个计</w:t>
            </w:r>
            <w:r>
              <w:rPr>
                <w:rStyle w:val="109"/>
                <w:rFonts w:hint="eastAsia" w:ascii="宋体" w:hAnsi="宋体" w:cs="宋体"/>
                <w:color w:val="auto"/>
                <w:sz w:val="21"/>
                <w:szCs w:val="21"/>
                <w:highlight w:val="none"/>
                <w:lang w:val="en-US" w:eastAsia="zh-CN" w:bidi="ar"/>
              </w:rPr>
              <w:t>5</w:t>
            </w:r>
            <w:r>
              <w:rPr>
                <w:rStyle w:val="109"/>
                <w:rFonts w:hint="default" w:ascii="宋体" w:hAnsi="宋体" w:eastAsia="宋体" w:cs="宋体"/>
                <w:color w:val="auto"/>
                <w:sz w:val="21"/>
                <w:szCs w:val="21"/>
                <w:highlight w:val="none"/>
                <w:lang w:bidi="ar"/>
              </w:rPr>
              <w:t>分</w:t>
            </w:r>
            <w:r>
              <w:rPr>
                <w:rStyle w:val="109"/>
                <w:rFonts w:hint="default" w:ascii="宋体" w:hAnsi="宋体" w:eastAsia="宋体" w:cs="宋体"/>
                <w:color w:val="auto"/>
                <w:sz w:val="21"/>
                <w:szCs w:val="21"/>
                <w:highlight w:val="none"/>
                <w:lang w:bidi="ar"/>
              </w:rPr>
              <w:t>，计满</w:t>
            </w:r>
            <w:r>
              <w:rPr>
                <w:rFonts w:hint="eastAsia" w:ascii="宋体" w:hAnsi="宋体" w:cs="宋体"/>
                <w:color w:val="auto"/>
                <w:kern w:val="0"/>
                <w:sz w:val="21"/>
                <w:szCs w:val="21"/>
                <w:highlight w:val="none"/>
                <w:lang w:bidi="ar"/>
              </w:rPr>
              <w:t>15</w:t>
            </w:r>
            <w:r>
              <w:rPr>
                <w:rStyle w:val="109"/>
                <w:rFonts w:hint="default" w:ascii="宋体" w:hAnsi="宋体" w:eastAsia="宋体" w:cs="宋体"/>
                <w:color w:val="auto"/>
                <w:sz w:val="21"/>
                <w:szCs w:val="21"/>
                <w:highlight w:val="none"/>
                <w:lang w:bidi="ar"/>
              </w:rPr>
              <w:t>分为止</w:t>
            </w:r>
            <w:r>
              <w:rPr>
                <w:rFonts w:hint="eastAsia" w:ascii="宋体" w:hAnsi="宋体" w:cs="宋体"/>
                <w:color w:val="auto"/>
                <w:kern w:val="0"/>
                <w:sz w:val="21"/>
                <w:szCs w:val="21"/>
                <w:highlight w:val="none"/>
                <w:lang w:bidi="ar"/>
              </w:rPr>
              <w:t>，未提供的不计分</w:t>
            </w:r>
            <w:r>
              <w:rPr>
                <w:rStyle w:val="109"/>
                <w:rFonts w:hint="default" w:ascii="宋体" w:hAnsi="宋体" w:eastAsia="宋体" w:cs="宋体"/>
                <w:color w:val="auto"/>
                <w:sz w:val="21"/>
                <w:szCs w:val="21"/>
                <w:highlight w:val="none"/>
                <w:lang w:bidi="ar"/>
              </w:rPr>
              <w:t>。</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注：提供中标通知书或合同复印件并加盖投标人公章，否则不计分。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11"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555"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653"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综合实力</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0分)</w:t>
            </w:r>
          </w:p>
        </w:tc>
        <w:tc>
          <w:tcPr>
            <w:tcW w:w="3478" w:type="pct"/>
            <w:noWrap w:val="0"/>
            <w:tcMar>
              <w:top w:w="15" w:type="dxa"/>
              <w:left w:w="15" w:type="dxa"/>
              <w:right w:w="15" w:type="dxa"/>
            </w:tcMar>
            <w:vAlign w:val="center"/>
          </w:tcPr>
          <w:p>
            <w:pPr>
              <w:numPr>
                <w:ilvl w:val="0"/>
                <w:numId w:val="2"/>
              </w:num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投标人获得</w:t>
            </w:r>
            <w:r>
              <w:rPr>
                <w:rFonts w:hint="eastAsia" w:ascii="宋体" w:hAnsi="宋体" w:eastAsia="宋体" w:cs="宋体"/>
                <w:color w:val="auto"/>
                <w:sz w:val="21"/>
                <w:szCs w:val="21"/>
                <w:highlight w:val="none"/>
                <w:lang w:val="en-US" w:eastAsia="zh-CN"/>
              </w:rPr>
              <w:t>AAA级信用等级认证</w:t>
            </w:r>
            <w:r>
              <w:rPr>
                <w:rFonts w:hint="eastAsia" w:ascii="宋体" w:hAnsi="宋体" w:eastAsia="宋体" w:cs="宋体"/>
                <w:color w:val="auto"/>
                <w:sz w:val="21"/>
                <w:szCs w:val="21"/>
                <w:highlight w:val="none"/>
              </w:rPr>
              <w:t>证书的计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AA级的计2分；A级的计1分；其他不计分。</w:t>
            </w:r>
          </w:p>
          <w:p>
            <w:pPr>
              <w:numPr>
                <w:ilvl w:val="0"/>
                <w:numId w:val="2"/>
              </w:num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投标人获得</w:t>
            </w:r>
            <w:r>
              <w:rPr>
                <w:rFonts w:hint="eastAsia" w:ascii="宋体" w:hAnsi="宋体" w:eastAsia="宋体" w:cs="宋体"/>
                <w:color w:val="auto"/>
                <w:sz w:val="21"/>
                <w:szCs w:val="21"/>
                <w:highlight w:val="none"/>
                <w:lang w:val="en-US" w:eastAsia="zh-CN"/>
              </w:rPr>
              <w:t>AAAAA</w:t>
            </w:r>
            <w:r>
              <w:rPr>
                <w:rFonts w:hint="eastAsia" w:ascii="宋体" w:hAnsi="宋体" w:eastAsia="宋体" w:cs="宋体"/>
                <w:color w:val="auto"/>
                <w:sz w:val="21"/>
                <w:szCs w:val="21"/>
                <w:highlight w:val="none"/>
                <w:lang w:eastAsia="zh-CN"/>
              </w:rPr>
              <w:t>重服务守信单位</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AAAA的</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AAA的</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其他不计分。</w:t>
            </w:r>
          </w:p>
          <w:p>
            <w:pPr>
              <w:numPr>
                <w:ilvl w:val="0"/>
                <w:numId w:val="2"/>
              </w:num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投标人具有</w:t>
            </w:r>
            <w:r>
              <w:rPr>
                <w:rFonts w:hint="eastAsia" w:ascii="宋体" w:hAnsi="宋体" w:eastAsia="宋体" w:cs="宋体"/>
                <w:color w:val="auto"/>
                <w:sz w:val="21"/>
                <w:szCs w:val="21"/>
                <w:highlight w:val="none"/>
                <w:lang w:eastAsia="zh-CN"/>
              </w:rPr>
              <w:t>建筑物清洁养护资质</w:t>
            </w:r>
            <w:r>
              <w:rPr>
                <w:rFonts w:hint="eastAsia" w:ascii="宋体" w:hAnsi="宋体" w:eastAsia="宋体" w:cs="宋体"/>
                <w:color w:val="auto"/>
                <w:sz w:val="21"/>
                <w:szCs w:val="21"/>
                <w:highlight w:val="none"/>
              </w:rPr>
              <w:t>的计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、投标人具有</w:t>
            </w:r>
            <w:r>
              <w:rPr>
                <w:rFonts w:hint="eastAsia" w:ascii="宋体" w:hAnsi="宋体" w:eastAsia="宋体" w:cs="宋体"/>
                <w:color w:val="auto"/>
                <w:sz w:val="21"/>
                <w:szCs w:val="21"/>
                <w:highlight w:val="none"/>
                <w:lang w:eastAsia="zh-CN"/>
              </w:rPr>
              <w:t>重合同守</w:t>
            </w:r>
            <w:r>
              <w:rPr>
                <w:rFonts w:hint="eastAsia" w:ascii="宋体" w:hAnsi="宋体" w:eastAsia="宋体" w:cs="宋体"/>
                <w:color w:val="auto"/>
                <w:sz w:val="21"/>
                <w:szCs w:val="21"/>
                <w:highlight w:val="none"/>
              </w:rPr>
              <w:t>信用</w:t>
            </w:r>
            <w:r>
              <w:rPr>
                <w:rFonts w:hint="eastAsia" w:ascii="宋体" w:hAnsi="宋体" w:eastAsia="宋体" w:cs="宋体"/>
                <w:color w:val="auto"/>
                <w:sz w:val="21"/>
                <w:szCs w:val="21"/>
                <w:highlight w:val="none"/>
                <w:lang w:eastAsia="zh-CN"/>
              </w:rPr>
              <w:t>企业认证</w:t>
            </w:r>
            <w:r>
              <w:rPr>
                <w:rFonts w:hint="eastAsia" w:ascii="宋体" w:hAnsi="宋体" w:eastAsia="宋体" w:cs="宋体"/>
                <w:color w:val="auto"/>
                <w:sz w:val="21"/>
                <w:szCs w:val="21"/>
                <w:highlight w:val="none"/>
                <w:lang w:val="en-US" w:eastAsia="zh-CN"/>
              </w:rPr>
              <w:t>AA</w:t>
            </w:r>
            <w:r>
              <w:rPr>
                <w:rFonts w:hint="eastAsia" w:ascii="宋体" w:hAnsi="宋体" w:eastAsia="宋体" w:cs="宋体"/>
                <w:color w:val="auto"/>
                <w:sz w:val="21"/>
                <w:szCs w:val="21"/>
                <w:highlight w:val="none"/>
              </w:rPr>
              <w:t>AAA等级证书</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AA</w:t>
            </w:r>
            <w:r>
              <w:rPr>
                <w:rFonts w:hint="eastAsia" w:ascii="宋体" w:hAnsi="宋体" w:eastAsia="宋体" w:cs="宋体"/>
                <w:color w:val="auto"/>
                <w:sz w:val="21"/>
                <w:szCs w:val="21"/>
                <w:highlight w:val="none"/>
                <w:lang w:val="en-US" w:eastAsia="zh-CN"/>
              </w:rPr>
              <w:t>AA</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AA</w:t>
            </w:r>
            <w:r>
              <w:rPr>
                <w:rFonts w:hint="eastAsia" w:ascii="宋体" w:hAnsi="宋体" w:eastAsia="宋体" w:cs="宋体"/>
                <w:color w:val="auto"/>
                <w:sz w:val="21"/>
                <w:szCs w:val="21"/>
                <w:highlight w:val="none"/>
                <w:lang w:val="en-US" w:eastAsia="zh-CN"/>
              </w:rPr>
              <w:t>A</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其他不计分</w:t>
            </w:r>
            <w:r>
              <w:rPr>
                <w:rFonts w:hint="eastAsia" w:ascii="宋体" w:hAnsi="宋体" w:eastAsia="宋体" w:cs="宋体"/>
                <w:color w:val="auto"/>
                <w:sz w:val="21"/>
                <w:szCs w:val="21"/>
                <w:highlight w:val="none"/>
              </w:rPr>
              <w:t>。</w:t>
            </w:r>
          </w:p>
          <w:p>
            <w:pPr>
              <w:spacing w:line="360" w:lineRule="exact"/>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获得</w:t>
            </w:r>
            <w:r>
              <w:rPr>
                <w:rFonts w:hint="eastAsia" w:ascii="宋体" w:hAnsi="宋体" w:eastAsia="宋体" w:cs="宋体"/>
                <w:color w:val="auto"/>
                <w:sz w:val="21"/>
                <w:szCs w:val="21"/>
                <w:highlight w:val="none"/>
                <w:lang w:eastAsia="zh-CN"/>
              </w:rPr>
              <w:t>国家一级清洁服务企业的</w:t>
            </w:r>
            <w:r>
              <w:rPr>
                <w:rFonts w:hint="eastAsia" w:ascii="宋体" w:hAnsi="宋体" w:eastAsia="宋体" w:cs="宋体"/>
                <w:color w:val="auto"/>
                <w:sz w:val="21"/>
                <w:szCs w:val="21"/>
                <w:highlight w:val="none"/>
              </w:rPr>
              <w:t>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lang w:eastAsia="zh-CN"/>
              </w:rPr>
              <w:t>级</w:t>
            </w:r>
            <w:r>
              <w:rPr>
                <w:rFonts w:hint="eastAsia" w:ascii="宋体" w:hAnsi="宋体" w:eastAsia="宋体" w:cs="宋体"/>
                <w:color w:val="auto"/>
                <w:sz w:val="21"/>
                <w:szCs w:val="21"/>
                <w:highlight w:val="none"/>
                <w:lang w:val="en-US" w:eastAsia="zh-CN"/>
              </w:rPr>
              <w:t>的计2分；三级的计1分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其他不计分</w:t>
            </w:r>
            <w:r>
              <w:rPr>
                <w:rFonts w:hint="eastAsia" w:ascii="宋体" w:hAnsi="宋体" w:eastAsia="宋体" w:cs="宋体"/>
                <w:color w:val="auto"/>
                <w:sz w:val="21"/>
                <w:szCs w:val="21"/>
                <w:highlight w:val="none"/>
              </w:rPr>
              <w:t>。</w:t>
            </w:r>
          </w:p>
          <w:p>
            <w:pPr>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注：提供以上相关证明文件复印件并加盖投标人公章，否则不计分。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11"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555"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653"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服务承诺</w:t>
            </w:r>
          </w:p>
          <w:p>
            <w:pPr>
              <w:widowControl/>
              <w:spacing w:line="36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c>
          <w:tcPr>
            <w:tcW w:w="3478" w:type="pct"/>
            <w:noWrap w:val="0"/>
            <w:tcMar>
              <w:top w:w="15" w:type="dxa"/>
              <w:left w:w="15" w:type="dxa"/>
              <w:right w:w="15" w:type="dxa"/>
            </w:tcMar>
            <w:vAlign w:val="center"/>
          </w:tcPr>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若遇突发应急事件，投标单位承诺调配公司其他项目员工增援响应时间在30分钟之内能够到达现场的，计</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分；若遇突发应急事件，投标单位承诺调配公司其他项目员工增援响应时间在60分钟之内能够到达现场的，计</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分；若遇突发应急事件，投标单位承诺调配公司其他项目员工增援响应时间在90分钟之内能够到达现场的，计1分；其余不计分。（提供承诺函，承诺函格式自拟）（提供承诺函，承诺函格式自拟）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5000" w:type="pct"/>
            <w:gridSpan w:val="4"/>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p>
        </w:tc>
      </w:tr>
    </w:tbl>
    <w:p>
      <w:pPr>
        <w:adjustRightInd w:val="0"/>
        <w:snapToGrid w:val="0"/>
        <w:spacing w:line="360" w:lineRule="auto"/>
        <w:rPr>
          <w:rFonts w:hint="eastAsia" w:ascii="宋体" w:hAnsi="宋体" w:cs="宋体"/>
          <w:color w:val="auto"/>
          <w:kern w:val="0"/>
          <w:sz w:val="21"/>
          <w:szCs w:val="21"/>
          <w:highlight w:val="none"/>
        </w:rPr>
      </w:pPr>
    </w:p>
    <w:p>
      <w:pPr>
        <w:adjustRightInd w:val="0"/>
        <w:snapToGrid w:val="0"/>
        <w:spacing w:line="360" w:lineRule="auto"/>
        <w:ind w:firstLine="422" w:firstLineChars="200"/>
        <w:jc w:val="center"/>
        <w:rPr>
          <w:rStyle w:val="58"/>
          <w:rFonts w:hint="eastAsia"/>
          <w:color w:val="auto"/>
          <w:sz w:val="21"/>
          <w:szCs w:val="21"/>
          <w:highlight w:val="none"/>
        </w:rPr>
      </w:pPr>
      <w:r>
        <w:rPr>
          <w:rStyle w:val="58"/>
          <w:color w:val="auto"/>
          <w:sz w:val="21"/>
          <w:szCs w:val="21"/>
          <w:highlight w:val="none"/>
        </w:rPr>
        <w:br w:type="page"/>
      </w:r>
      <w:r>
        <w:rPr>
          <w:rStyle w:val="58"/>
          <w:rFonts w:hint="eastAsia"/>
          <w:color w:val="auto"/>
          <w:sz w:val="21"/>
          <w:szCs w:val="21"/>
          <w:highlight w:val="none"/>
        </w:rPr>
        <w:t>磋商须知正文</w:t>
      </w:r>
    </w:p>
    <w:p>
      <w:pPr>
        <w:pStyle w:val="4"/>
        <w:jc w:val="left"/>
        <w:rPr>
          <w:rFonts w:hint="eastAsia"/>
          <w:color w:val="auto"/>
          <w:sz w:val="21"/>
          <w:szCs w:val="21"/>
          <w:highlight w:val="none"/>
        </w:rPr>
      </w:pPr>
      <w:r>
        <w:rPr>
          <w:rFonts w:hint="eastAsia"/>
          <w:color w:val="auto"/>
          <w:sz w:val="21"/>
          <w:szCs w:val="21"/>
          <w:highlight w:val="none"/>
        </w:rPr>
        <w:t>一、说明</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1.适用范围</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 本磋商文件仅适用于磋商须知前附表(以下简称</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中所叙述的采购项目。</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2.定义</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2.1 “采购人”是指依法进行政府采购的国家机关、事业单位、团体组织。本次政府采购的采购人名称、地址、电话、联系人见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rPr>
          <w:rFonts w:hint="eastAsia" w:ascii="宋体" w:hAnsi="宋体" w:cs="宋体"/>
          <w:bCs/>
          <w:color w:val="auto"/>
          <w:kern w:val="36"/>
          <w:sz w:val="21"/>
          <w:szCs w:val="21"/>
          <w:highlight w:val="none"/>
        </w:rPr>
      </w:pPr>
      <w:r>
        <w:rPr>
          <w:rFonts w:hint="eastAsia" w:ascii="宋体" w:hAnsi="宋体"/>
          <w:color w:val="auto"/>
          <w:sz w:val="21"/>
          <w:szCs w:val="21"/>
          <w:highlight w:val="none"/>
        </w:rPr>
        <w:t>2.3 “供应商”是指响应磋商文件要求、参加竞争性磋商采购的法人、其他组织或者自然人。本次政府采购项目</w:t>
      </w:r>
      <w:r>
        <w:rPr>
          <w:rFonts w:hint="eastAsia" w:ascii="宋体" w:hAnsi="宋体" w:cs="宋体"/>
          <w:color w:val="auto"/>
          <w:kern w:val="0"/>
          <w:sz w:val="21"/>
          <w:szCs w:val="21"/>
          <w:highlight w:val="none"/>
        </w:rPr>
        <w:t>邀请</w:t>
      </w:r>
      <w:r>
        <w:rPr>
          <w:rFonts w:hint="eastAsia" w:ascii="宋体" w:hAnsi="宋体"/>
          <w:color w:val="auto"/>
          <w:sz w:val="21"/>
          <w:szCs w:val="21"/>
          <w:highlight w:val="none"/>
        </w:rPr>
        <w:t>的</w:t>
      </w:r>
      <w:r>
        <w:rPr>
          <w:rFonts w:hint="eastAsia" w:ascii="宋体" w:hAnsi="宋体" w:cs="宋体"/>
          <w:color w:val="auto"/>
          <w:kern w:val="0"/>
          <w:sz w:val="21"/>
          <w:szCs w:val="21"/>
          <w:highlight w:val="none"/>
        </w:rPr>
        <w:t>供应商通过</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所述方式</w:t>
      </w:r>
      <w:r>
        <w:rPr>
          <w:rFonts w:hint="eastAsia" w:ascii="宋体" w:hAnsi="宋体" w:cs="宋体"/>
          <w:color w:val="auto"/>
          <w:kern w:val="0"/>
          <w:sz w:val="21"/>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2.4 “磋商小组”是指</w:t>
      </w:r>
      <w:r>
        <w:rPr>
          <w:rFonts w:hint="eastAsia" w:ascii="宋体" w:hAnsi="宋体" w:cs="宋体"/>
          <w:color w:val="auto"/>
          <w:kern w:val="0"/>
          <w:sz w:val="21"/>
          <w:szCs w:val="21"/>
          <w:highlight w:val="none"/>
        </w:rPr>
        <w:t>依据财政部</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政府采购竞争性磋商采购方式管理暂行办法</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有关规定组建，依法依规</w:t>
      </w:r>
      <w:r>
        <w:rPr>
          <w:rFonts w:hint="eastAsia" w:ascii="宋体" w:hAnsi="宋体" w:cs="宋体"/>
          <w:color w:val="auto"/>
          <w:kern w:val="0"/>
          <w:sz w:val="21"/>
          <w:szCs w:val="21"/>
          <w:highlight w:val="none"/>
        </w:rPr>
        <w:t>履行其职责和义务的机构。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2.5 “货物”是指各种形态和种类的物品，包括原资料、燃料、设备、产品等，详见《政府采购品目分类目录》(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 “工程”是指建设工程，包括建筑物和构筑物的新建、改建、扩建、装修、拆除、修缮等，详见《政府采购品目分类目录》(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 “服务”是指除货物和工程以外的其他政府采购对象，详见《政府采购品目分类目录》(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2.8</w:t>
      </w:r>
      <w:r>
        <w:rPr>
          <w:rFonts w:hint="eastAsia" w:ascii="宋体" w:hAnsi="宋体"/>
          <w:color w:val="auto"/>
          <w:sz w:val="21"/>
          <w:szCs w:val="21"/>
          <w:highlight w:val="none"/>
        </w:rPr>
        <w:t xml:space="preserve"> “节能产品”或者“环保产品”是指财政部发布的《节能产品政府采购清单》或者《环境标志产品政府采购清单》的产品，“两型产品”是指湖南省财政厅发布的</w:t>
      </w:r>
      <w:r>
        <w:rPr>
          <w:rFonts w:ascii="宋体" w:hAnsi="宋体"/>
          <w:color w:val="auto"/>
          <w:sz w:val="21"/>
          <w:szCs w:val="21"/>
          <w:highlight w:val="none"/>
        </w:rPr>
        <w:t>《湖南省两型产品政府采购目录》</w:t>
      </w:r>
      <w:r>
        <w:rPr>
          <w:rFonts w:hint="eastAsia" w:ascii="宋体" w:hAnsi="宋体"/>
          <w:color w:val="auto"/>
          <w:sz w:val="21"/>
          <w:szCs w:val="21"/>
          <w:highlight w:val="none"/>
        </w:rPr>
        <w:t>或《长沙市两型产品目录》的产品。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2.9</w:t>
      </w:r>
      <w:r>
        <w:rPr>
          <w:rFonts w:hint="eastAsia" w:ascii="宋体" w:hAnsi="宋体" w:cs="宋体"/>
          <w:color w:val="auto"/>
          <w:kern w:val="0"/>
          <w:sz w:val="21"/>
          <w:szCs w:val="21"/>
          <w:highlight w:val="none"/>
        </w:rPr>
        <w:t xml:space="preserve"> “进口产品”是指通过中国海关报关验放进入中国境内且产自关境外的产品，详见《</w:t>
      </w:r>
      <w:r>
        <w:rPr>
          <w:rFonts w:ascii="宋体" w:hAnsi="宋体" w:cs="宋体"/>
          <w:color w:val="auto"/>
          <w:kern w:val="0"/>
          <w:sz w:val="21"/>
          <w:szCs w:val="21"/>
          <w:highlight w:val="none"/>
        </w:rPr>
        <w:t>关于政府采购进口产品管理有关问题的通知</w:t>
      </w:r>
      <w:r>
        <w:rPr>
          <w:rFonts w:hint="eastAsia" w:ascii="宋体" w:hAnsi="宋体" w:cs="宋体"/>
          <w:color w:val="auto"/>
          <w:kern w:val="0"/>
          <w:sz w:val="21"/>
          <w:szCs w:val="21"/>
          <w:highlight w:val="none"/>
        </w:rPr>
        <w:t>》(财库[2007]119号)。</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3.供应商的资格要求</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 供应商应当符合</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中规定的资格条件要求。</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3.2供应商</w:t>
      </w:r>
      <w:r>
        <w:rPr>
          <w:rFonts w:hint="eastAsia" w:hAnsi="宋体"/>
          <w:color w:val="auto"/>
          <w:sz w:val="21"/>
          <w:szCs w:val="21"/>
          <w:highlight w:val="none"/>
        </w:rPr>
        <w:t>为联合体形式的</w:t>
      </w:r>
      <w:r>
        <w:rPr>
          <w:rFonts w:hint="eastAsia" w:ascii="宋体" w:hAnsi="宋体"/>
          <w:color w:val="auto"/>
          <w:sz w:val="21"/>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3.3 供应商不得存在下列情形之一：</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（l）与采购人、采购代理机构存在</w:t>
      </w:r>
      <w:r>
        <w:rPr>
          <w:rFonts w:hint="eastAsia" w:ascii="宋体" w:hAnsi="宋体"/>
          <w:bCs/>
          <w:color w:val="auto"/>
          <w:sz w:val="21"/>
          <w:szCs w:val="21"/>
          <w:highlight w:val="none"/>
        </w:rPr>
        <w:t>隶属关系或者其他利害关系</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bCs/>
          <w:color w:val="auto"/>
          <w:sz w:val="21"/>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auto"/>
          <w:sz w:val="21"/>
          <w:szCs w:val="21"/>
          <w:highlight w:val="none"/>
        </w:rPr>
        <w:t>财政部门认定的其他重大违法记录。</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4.参与磋商的费用 </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 无论磋商的结果如何，供应商应自行承担所有与竞争性磋商采购活动有关的全部费用。</w:t>
      </w:r>
    </w:p>
    <w:p>
      <w:pPr>
        <w:pStyle w:val="22"/>
        <w:adjustRightInd w:val="0"/>
        <w:snapToGrid w:val="0"/>
        <w:spacing w:line="360" w:lineRule="auto"/>
        <w:rPr>
          <w:rFonts w:hint="eastAsia"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5.1供应商代表为供应商法定代表人的，应持有法定代表人身份证明。供应商代表不是供应商法定代表人的，应持有法定代表人授权书，并附法定代表人身份证明。</w:t>
      </w:r>
    </w:p>
    <w:p>
      <w:pPr>
        <w:pStyle w:val="22"/>
        <w:adjustRightInd w:val="0"/>
        <w:snapToGrid w:val="0"/>
        <w:spacing w:line="360" w:lineRule="auto"/>
        <w:rPr>
          <w:rFonts w:hint="eastAsia" w:hAnsi="宋体"/>
          <w:b/>
          <w:color w:val="auto"/>
          <w:highlight w:val="none"/>
        </w:rPr>
      </w:pPr>
      <w:r>
        <w:rPr>
          <w:rFonts w:hint="eastAsia" w:hAnsi="宋体"/>
          <w:b/>
          <w:color w:val="auto"/>
          <w:highlight w:val="none"/>
        </w:rPr>
        <w:t>6．联合体形式</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6.1除</w:t>
      </w:r>
      <w:r>
        <w:rPr>
          <w:rFonts w:hint="eastAsia" w:hAnsi="宋体"/>
          <w:b/>
          <w:color w:val="auto"/>
          <w:highlight w:val="none"/>
        </w:rPr>
        <w:t>磋商须知前附表</w:t>
      </w:r>
      <w:r>
        <w:rPr>
          <w:rFonts w:hint="eastAsia" w:hAnsi="宋体"/>
          <w:color w:val="auto"/>
          <w:highlight w:val="none"/>
        </w:rPr>
        <w:t>中另有规定，本次磋商采购不接受为联合体形式的供应商。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6.2供应商</w:t>
      </w:r>
      <w:r>
        <w:rPr>
          <w:rFonts w:hint="eastAsia" w:hAnsi="宋体"/>
          <w:color w:val="auto"/>
          <w:sz w:val="21"/>
          <w:szCs w:val="21"/>
          <w:highlight w:val="none"/>
        </w:rPr>
        <w:t>为联合体形式的</w:t>
      </w:r>
      <w:r>
        <w:rPr>
          <w:rFonts w:hint="eastAsia" w:ascii="宋体" w:hAnsi="宋体"/>
          <w:color w:val="auto"/>
          <w:sz w:val="21"/>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（2）联合体各方均应当符合本章第3.1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规定的供应商基本资格条件；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中另有规定，联合体各方中至少有一方应当符合本章第3.1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规定的供应商特定资格条件；</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olor w:val="auto"/>
          <w:sz w:val="21"/>
          <w:szCs w:val="21"/>
          <w:highlight w:val="none"/>
        </w:rPr>
        <w:t>（4）</w:t>
      </w:r>
      <w:r>
        <w:rPr>
          <w:rFonts w:hint="eastAsia" w:ascii="宋体" w:hAnsi="宋体" w:cs="宋体"/>
          <w:color w:val="auto"/>
          <w:kern w:val="0"/>
          <w:sz w:val="21"/>
          <w:szCs w:val="21"/>
          <w:highlight w:val="none"/>
          <w:lang w:val="zh-CN"/>
        </w:rPr>
        <w:t>联合体各方不得再单独或与其他供应商组成新的联合体参加同一项目的采购活动。</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7.现场勘察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7.1供应商应按</w:t>
      </w:r>
      <w:r>
        <w:rPr>
          <w:rFonts w:hint="eastAsia" w:hAnsi="宋体"/>
          <w:b/>
          <w:color w:val="auto"/>
          <w:sz w:val="21"/>
          <w:szCs w:val="21"/>
          <w:highlight w:val="none"/>
        </w:rPr>
        <w:t>磋商须知前附表</w:t>
      </w:r>
      <w:r>
        <w:rPr>
          <w:rFonts w:hint="eastAsia" w:hAnsi="宋体"/>
          <w:color w:val="auto"/>
          <w:sz w:val="21"/>
          <w:szCs w:val="21"/>
          <w:highlight w:val="none"/>
        </w:rPr>
        <w:t>中规定</w:t>
      </w:r>
      <w:r>
        <w:rPr>
          <w:rFonts w:hint="eastAsia" w:ascii="宋体" w:hAnsi="宋体"/>
          <w:color w:val="auto"/>
          <w:sz w:val="21"/>
          <w:szCs w:val="21"/>
          <w:highlight w:val="none"/>
        </w:rPr>
        <w:t>对采购项目现场和周围环境的现场考察。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color w:val="auto"/>
          <w:sz w:val="21"/>
          <w:szCs w:val="21"/>
          <w:highlight w:val="none"/>
        </w:rPr>
      </w:pPr>
      <w:r>
        <w:rPr>
          <w:rFonts w:hint="eastAsia" w:ascii="宋体" w:hAnsi="宋体"/>
          <w:color w:val="auto"/>
          <w:sz w:val="21"/>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8.采购进口产品</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olor w:val="auto"/>
          <w:sz w:val="21"/>
          <w:szCs w:val="21"/>
          <w:highlight w:val="none"/>
        </w:rPr>
        <w:t>8.1除</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另有规定外，本项目</w:t>
      </w:r>
      <w:r>
        <w:rPr>
          <w:rFonts w:hint="eastAsia" w:ascii="宋体" w:hAnsi="宋体" w:cs="宋体"/>
          <w:color w:val="auto"/>
          <w:kern w:val="0"/>
          <w:sz w:val="21"/>
          <w:szCs w:val="21"/>
          <w:highlight w:val="none"/>
        </w:rPr>
        <w:t>拒绝进口产品参加</w:t>
      </w:r>
      <w:r>
        <w:rPr>
          <w:rFonts w:hint="eastAsia" w:ascii="宋体" w:hAnsi="宋体"/>
          <w:color w:val="auto"/>
          <w:sz w:val="21"/>
          <w:szCs w:val="21"/>
          <w:highlight w:val="none"/>
        </w:rPr>
        <w:t>竞争性磋商采购活动</w:t>
      </w:r>
      <w:r>
        <w:rPr>
          <w:rFonts w:hint="eastAsia" w:ascii="宋体" w:hAnsi="宋体" w:cs="宋体"/>
          <w:color w:val="auto"/>
          <w:kern w:val="0"/>
          <w:sz w:val="21"/>
          <w:szCs w:val="21"/>
          <w:highlight w:val="none"/>
        </w:rPr>
        <w:t>。</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8.2</w:t>
      </w:r>
      <w:r>
        <w:rPr>
          <w:rFonts w:hint="eastAsia" w:ascii="宋体" w:hAnsi="宋体"/>
          <w:color w:val="auto"/>
          <w:sz w:val="21"/>
          <w:szCs w:val="21"/>
          <w:highlight w:val="none"/>
        </w:rPr>
        <w:t>本章第7.1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ascii="宋体" w:hAnsi="宋体" w:cs="宋体"/>
          <w:color w:val="auto"/>
          <w:kern w:val="0"/>
          <w:sz w:val="21"/>
          <w:szCs w:val="21"/>
          <w:highlight w:val="none"/>
        </w:rPr>
        <w:t>同意购买进口产品的</w:t>
      </w:r>
      <w:r>
        <w:rPr>
          <w:rFonts w:hint="eastAsia" w:ascii="宋体" w:hAnsi="宋体" w:cs="宋体"/>
          <w:color w:val="auto"/>
          <w:kern w:val="0"/>
          <w:sz w:val="21"/>
          <w:szCs w:val="21"/>
          <w:highlight w:val="none"/>
        </w:rPr>
        <w:t>，</w:t>
      </w:r>
      <w:r>
        <w:rPr>
          <w:rFonts w:hint="eastAsia" w:ascii="宋体" w:hAnsi="宋体"/>
          <w:color w:val="auto"/>
          <w:sz w:val="21"/>
          <w:szCs w:val="21"/>
          <w:highlight w:val="none"/>
        </w:rPr>
        <w:t>本项目</w:t>
      </w:r>
      <w:r>
        <w:rPr>
          <w:rFonts w:hint="eastAsia" w:ascii="宋体" w:hAnsi="宋体" w:cs="宋体"/>
          <w:color w:val="auto"/>
          <w:kern w:val="0"/>
          <w:sz w:val="21"/>
          <w:szCs w:val="21"/>
          <w:highlight w:val="none"/>
          <w:lang w:val="zh-CN"/>
        </w:rPr>
        <w:t>采购活动</w:t>
      </w:r>
      <w:r>
        <w:rPr>
          <w:rFonts w:hint="eastAsia" w:ascii="宋体" w:hAnsi="宋体" w:cs="宋体"/>
          <w:color w:val="auto"/>
          <w:kern w:val="0"/>
          <w:sz w:val="21"/>
          <w:szCs w:val="21"/>
          <w:highlight w:val="none"/>
        </w:rPr>
        <w:t>不</w:t>
      </w:r>
      <w:r>
        <w:rPr>
          <w:rFonts w:ascii="宋体" w:hAnsi="宋体" w:cs="宋体"/>
          <w:color w:val="auto"/>
          <w:kern w:val="0"/>
          <w:sz w:val="21"/>
          <w:szCs w:val="21"/>
          <w:highlight w:val="none"/>
        </w:rPr>
        <w:t>限制满足</w:t>
      </w:r>
      <w:r>
        <w:rPr>
          <w:rFonts w:hint="eastAsia" w:ascii="宋体" w:hAnsi="宋体"/>
          <w:color w:val="auto"/>
          <w:sz w:val="21"/>
          <w:szCs w:val="21"/>
          <w:highlight w:val="none"/>
        </w:rPr>
        <w:t>磋商文件要求</w:t>
      </w:r>
      <w:r>
        <w:rPr>
          <w:rFonts w:ascii="宋体" w:hAnsi="宋体" w:cs="宋体"/>
          <w:color w:val="auto"/>
          <w:kern w:val="0"/>
          <w:sz w:val="21"/>
          <w:szCs w:val="21"/>
          <w:highlight w:val="none"/>
        </w:rPr>
        <w:t>的国内产品参与</w:t>
      </w:r>
      <w:r>
        <w:rPr>
          <w:rFonts w:hint="eastAsia" w:ascii="宋体" w:hAnsi="宋体"/>
          <w:color w:val="auto"/>
          <w:sz w:val="21"/>
          <w:szCs w:val="21"/>
          <w:highlight w:val="none"/>
        </w:rPr>
        <w:t>竞争性磋商</w:t>
      </w:r>
      <w:r>
        <w:rPr>
          <w:rFonts w:ascii="宋体" w:hAnsi="宋体" w:cs="宋体"/>
          <w:color w:val="auto"/>
          <w:kern w:val="0"/>
          <w:sz w:val="21"/>
          <w:szCs w:val="21"/>
          <w:highlight w:val="none"/>
        </w:rPr>
        <w:t>。</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bCs/>
          <w:color w:val="auto"/>
          <w:sz w:val="21"/>
          <w:szCs w:val="21"/>
          <w:highlight w:val="none"/>
        </w:rPr>
        <w:t>9.</w:t>
      </w:r>
      <w:r>
        <w:rPr>
          <w:rFonts w:hint="eastAsia" w:ascii="宋体" w:hAnsi="宋体"/>
          <w:b/>
          <w:color w:val="auto"/>
          <w:sz w:val="21"/>
          <w:szCs w:val="21"/>
          <w:highlight w:val="none"/>
        </w:rPr>
        <w:t xml:space="preserve"> 政府采购政策支持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color w:val="auto"/>
          <w:kern w:val="0"/>
          <w:sz w:val="21"/>
          <w:szCs w:val="21"/>
          <w:highlight w:val="none"/>
        </w:rPr>
        <w:t>磋商文件前附表。</w:t>
      </w:r>
    </w:p>
    <w:p>
      <w:pPr>
        <w:pStyle w:val="22"/>
        <w:adjustRightInd w:val="0"/>
        <w:snapToGrid w:val="0"/>
        <w:spacing w:line="360" w:lineRule="auto"/>
        <w:ind w:firstLine="420" w:firstLineChars="200"/>
        <w:rPr>
          <w:rFonts w:hint="eastAsia"/>
          <w:color w:val="auto"/>
          <w:highlight w:val="none"/>
        </w:rPr>
      </w:pPr>
      <w:r>
        <w:rPr>
          <w:rFonts w:hint="eastAsia" w:hAnsi="宋体" w:cs="宋体"/>
          <w:color w:val="auto"/>
          <w:kern w:val="0"/>
          <w:highlight w:val="none"/>
        </w:rPr>
        <w:t>9.2对列入财政部、国家发展改革委发布的《节能产品政府采购清单》的“非强制采购节能产品”，财政部、环境保护部发布的《环境标志产品政府采购清单》的“环境标志产品”，湖南省财政2厅、湖南省科学技术厅、湖南省长株潭“两型社会”试验区建设管理委员会发布的《湖南省两型产品政府采购目录》</w:t>
      </w:r>
      <w:r>
        <w:rPr>
          <w:rFonts w:hint="eastAsia" w:hAnsi="宋体"/>
          <w:color w:val="auto"/>
          <w:highlight w:val="none"/>
        </w:rPr>
        <w:t>或《长沙市两型产品目录》</w:t>
      </w:r>
      <w:r>
        <w:rPr>
          <w:rFonts w:hint="eastAsia" w:hAnsi="宋体" w:cs="宋体"/>
          <w:color w:val="auto"/>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color w:val="auto"/>
          <w:kern w:val="0"/>
          <w:highlight w:val="none"/>
        </w:rPr>
        <w:t>磋商文件前附表。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9.5符合本章第9.1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第9.2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规定的，应提供相关证明资料。</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9.6供应商有融资、担保需求的，具体办理流程可向</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所列金融机构和担保机构询问。</w:t>
      </w:r>
    </w:p>
    <w:p>
      <w:pPr>
        <w:pStyle w:val="4"/>
        <w:jc w:val="left"/>
        <w:rPr>
          <w:rFonts w:hint="eastAsia"/>
          <w:color w:val="auto"/>
          <w:sz w:val="21"/>
          <w:szCs w:val="21"/>
          <w:highlight w:val="none"/>
        </w:rPr>
      </w:pPr>
      <w:r>
        <w:rPr>
          <w:rFonts w:hint="eastAsia"/>
          <w:color w:val="auto"/>
          <w:sz w:val="21"/>
          <w:szCs w:val="21"/>
          <w:highlight w:val="none"/>
        </w:rPr>
        <w:t>二、磋商文件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10．磋商文件的组成</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10.1 磋商文件由下列文件组成：</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第一章 磋商邀请</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第二章 磋商须知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第三章 采购合同格式条款</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第四章 采购需求</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第五章 响应文件组成</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color w:val="auto"/>
          <w:highlight w:val="none"/>
        </w:rPr>
        <w:t>10.2</w:t>
      </w:r>
      <w:r>
        <w:rPr>
          <w:rFonts w:hint="eastAsia" w:hAnsi="宋体" w:cs="宋体"/>
          <w:color w:val="auto"/>
          <w:kern w:val="0"/>
          <w:highlight w:val="none"/>
        </w:rPr>
        <w:t>磋商小组根据与供应商磋商情况可能实质性变动的内容，包括采购需求中的技术、服务要求以及合同条款，</w:t>
      </w:r>
      <w:r>
        <w:rPr>
          <w:rFonts w:hint="eastAsia"/>
          <w:color w:val="auto"/>
          <w:highlight w:val="none"/>
        </w:rPr>
        <w:t>在</w:t>
      </w:r>
      <w:r>
        <w:rPr>
          <w:rFonts w:hint="eastAsia"/>
          <w:b/>
          <w:color w:val="auto"/>
          <w:highlight w:val="none"/>
        </w:rPr>
        <w:t>磋商须知前附表</w:t>
      </w:r>
      <w:r>
        <w:rPr>
          <w:rFonts w:hint="eastAsia"/>
          <w:color w:val="auto"/>
          <w:highlight w:val="none"/>
        </w:rPr>
        <w:t>中明确。</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10.3供应商应仔细阅读</w:t>
      </w:r>
      <w:r>
        <w:rPr>
          <w:rFonts w:hint="eastAsia" w:ascii="宋体" w:hAnsi="宋体"/>
          <w:bCs/>
          <w:color w:val="auto"/>
          <w:sz w:val="21"/>
          <w:szCs w:val="21"/>
          <w:highlight w:val="none"/>
        </w:rPr>
        <w:t>磋商</w:t>
      </w:r>
      <w:r>
        <w:rPr>
          <w:rFonts w:hint="eastAsia" w:ascii="宋体" w:hAnsi="宋体"/>
          <w:color w:val="auto"/>
          <w:sz w:val="21"/>
          <w:szCs w:val="21"/>
          <w:highlight w:val="none"/>
        </w:rPr>
        <w:t>文件的全部内容，按照</w:t>
      </w:r>
      <w:r>
        <w:rPr>
          <w:rFonts w:hint="eastAsia" w:ascii="宋体" w:hAnsi="宋体"/>
          <w:bCs/>
          <w:color w:val="auto"/>
          <w:sz w:val="21"/>
          <w:szCs w:val="21"/>
          <w:highlight w:val="none"/>
        </w:rPr>
        <w:t>磋商</w:t>
      </w:r>
      <w:r>
        <w:rPr>
          <w:rFonts w:hint="eastAsia" w:ascii="宋体" w:hAnsi="宋体"/>
          <w:color w:val="auto"/>
          <w:sz w:val="21"/>
          <w:szCs w:val="21"/>
          <w:highlight w:val="none"/>
        </w:rPr>
        <w:t>文件要求编制</w:t>
      </w:r>
      <w:r>
        <w:rPr>
          <w:rFonts w:hint="eastAsia"/>
          <w:color w:val="auto"/>
          <w:sz w:val="21"/>
          <w:szCs w:val="21"/>
          <w:highlight w:val="none"/>
        </w:rPr>
        <w:t>响应</w:t>
      </w:r>
      <w:r>
        <w:rPr>
          <w:rFonts w:hint="eastAsia" w:ascii="宋体" w:hAnsi="宋体"/>
          <w:color w:val="auto"/>
          <w:sz w:val="21"/>
          <w:szCs w:val="21"/>
          <w:highlight w:val="none"/>
        </w:rPr>
        <w:t>文件。任何对</w:t>
      </w:r>
      <w:r>
        <w:rPr>
          <w:rFonts w:hint="eastAsia" w:ascii="宋体" w:hAnsi="宋体"/>
          <w:bCs/>
          <w:color w:val="auto"/>
          <w:sz w:val="21"/>
          <w:szCs w:val="21"/>
          <w:highlight w:val="none"/>
        </w:rPr>
        <w:t>磋商</w:t>
      </w:r>
      <w:r>
        <w:rPr>
          <w:rFonts w:hint="eastAsia" w:ascii="宋体" w:hAnsi="宋体"/>
          <w:color w:val="auto"/>
          <w:sz w:val="21"/>
          <w:szCs w:val="21"/>
          <w:highlight w:val="none"/>
        </w:rPr>
        <w:t>文件的忽略或误解不能作为</w:t>
      </w:r>
      <w:r>
        <w:rPr>
          <w:rFonts w:hint="eastAsia"/>
          <w:color w:val="auto"/>
          <w:sz w:val="21"/>
          <w:szCs w:val="21"/>
          <w:highlight w:val="none"/>
        </w:rPr>
        <w:t>响应</w:t>
      </w:r>
      <w:r>
        <w:rPr>
          <w:rFonts w:hint="eastAsia" w:ascii="宋体" w:hAnsi="宋体"/>
          <w:color w:val="auto"/>
          <w:sz w:val="21"/>
          <w:szCs w:val="21"/>
          <w:highlight w:val="none"/>
        </w:rPr>
        <w:t>文件存在缺陷或瑕疵的理由，其风险由供应商承担。</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w:t>
      </w:r>
      <w:r>
        <w:rPr>
          <w:rFonts w:hint="eastAsia"/>
          <w:b/>
          <w:color w:val="auto"/>
          <w:sz w:val="21"/>
          <w:szCs w:val="21"/>
          <w:highlight w:val="none"/>
        </w:rPr>
        <w:t xml:space="preserve"> </w:t>
      </w:r>
      <w:r>
        <w:rPr>
          <w:rFonts w:hint="eastAsia" w:ascii="宋体" w:hAnsi="宋体"/>
          <w:b/>
          <w:color w:val="auto"/>
          <w:sz w:val="21"/>
          <w:szCs w:val="21"/>
          <w:highlight w:val="none"/>
        </w:rPr>
        <w:t>磋商文件的提供期限</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11.1磋商文件的提供期限自开始发出之日起不得少于五个工作日。具体提供期限见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11.2供应商应持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规定的资料领取或购买磋商文件。</w:t>
      </w:r>
    </w:p>
    <w:p>
      <w:pPr>
        <w:pStyle w:val="22"/>
        <w:adjustRightInd w:val="0"/>
        <w:snapToGrid w:val="0"/>
        <w:spacing w:line="360" w:lineRule="auto"/>
        <w:rPr>
          <w:rFonts w:hint="eastAsia" w:hAnsi="宋体"/>
          <w:color w:val="auto"/>
          <w:highlight w:val="none"/>
        </w:rPr>
      </w:pPr>
      <w:r>
        <w:rPr>
          <w:rFonts w:hint="eastAsia" w:hAnsi="宋体"/>
          <w:b/>
          <w:color w:val="auto"/>
          <w:highlight w:val="none"/>
        </w:rPr>
        <w:t>12.</w:t>
      </w:r>
      <w:r>
        <w:rPr>
          <w:rFonts w:hint="eastAsia" w:hAnsi="宋体" w:cs="宋体"/>
          <w:b/>
          <w:color w:val="auto"/>
          <w:kern w:val="0"/>
          <w:highlight w:val="none"/>
        </w:rPr>
        <w:t>提交首次响应文件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12.1</w:t>
      </w:r>
      <w:r>
        <w:rPr>
          <w:rFonts w:hint="eastAsia" w:hAnsi="宋体" w:cs="宋体"/>
          <w:color w:val="auto"/>
          <w:kern w:val="0"/>
          <w:highlight w:val="none"/>
        </w:rPr>
        <w:t>供应商提交首次响应文件截止</w:t>
      </w:r>
      <w:r>
        <w:rPr>
          <w:rFonts w:hint="eastAsia" w:hAnsi="宋体"/>
          <w:color w:val="auto"/>
          <w:highlight w:val="none"/>
        </w:rPr>
        <w:t>时间见</w:t>
      </w:r>
      <w:r>
        <w:rPr>
          <w:rFonts w:hint="eastAsia" w:hAnsi="宋体"/>
          <w:b/>
          <w:color w:val="auto"/>
          <w:highlight w:val="none"/>
        </w:rPr>
        <w:t>磋商须知前附表</w:t>
      </w:r>
      <w:r>
        <w:rPr>
          <w:rFonts w:hint="eastAsia" w:hAnsi="宋体"/>
          <w:color w:val="auto"/>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13.磋商文件的澄清</w:t>
      </w:r>
      <w:r>
        <w:rPr>
          <w:rFonts w:hint="eastAsia" w:ascii="宋体" w:hAnsi="宋体"/>
          <w:b/>
          <w:color w:val="auto"/>
          <w:kern w:val="0"/>
          <w:sz w:val="21"/>
          <w:szCs w:val="21"/>
          <w:highlight w:val="none"/>
          <w:lang w:val="zh-CN"/>
        </w:rPr>
        <w:t>或者</w:t>
      </w:r>
      <w:r>
        <w:rPr>
          <w:rFonts w:hint="eastAsia" w:ascii="宋体" w:hAnsi="宋体"/>
          <w:b/>
          <w:bCs/>
          <w:color w:val="auto"/>
          <w:sz w:val="21"/>
          <w:szCs w:val="21"/>
          <w:highlight w:val="none"/>
        </w:rPr>
        <w:t>修改</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13.1在</w:t>
      </w:r>
      <w:r>
        <w:rPr>
          <w:rFonts w:hint="eastAsia" w:ascii="宋体" w:hAnsi="宋体" w:cs="宋体"/>
          <w:color w:val="auto"/>
          <w:kern w:val="0"/>
          <w:sz w:val="21"/>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13.2</w:t>
      </w:r>
      <w:r>
        <w:rPr>
          <w:rFonts w:hint="eastAsia" w:ascii="宋体" w:hAnsi="宋体" w:cs="宋体"/>
          <w:color w:val="auto"/>
          <w:kern w:val="0"/>
          <w:sz w:val="21"/>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2"/>
        <w:adjustRightInd w:val="0"/>
        <w:snapToGrid w:val="0"/>
        <w:spacing w:line="360" w:lineRule="auto"/>
        <w:ind w:firstLine="420" w:firstLineChars="200"/>
        <w:rPr>
          <w:rFonts w:hint="eastAsia"/>
          <w:color w:val="auto"/>
          <w:highlight w:val="none"/>
        </w:rPr>
      </w:pPr>
      <w:r>
        <w:rPr>
          <w:rFonts w:hint="eastAsia"/>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pStyle w:val="4"/>
        <w:jc w:val="left"/>
        <w:rPr>
          <w:rFonts w:hint="eastAsia"/>
          <w:color w:val="auto"/>
          <w:sz w:val="21"/>
          <w:szCs w:val="21"/>
          <w:highlight w:val="none"/>
        </w:rPr>
      </w:pPr>
      <w:r>
        <w:rPr>
          <w:rFonts w:hint="eastAsia"/>
          <w:color w:val="auto"/>
          <w:sz w:val="21"/>
          <w:szCs w:val="21"/>
          <w:highlight w:val="none"/>
        </w:rPr>
        <w:t>三、响应文件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14.一般要求</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 xml:space="preserve">14.2 </w:t>
      </w:r>
      <w:r>
        <w:rPr>
          <w:rFonts w:hint="eastAsia" w:ascii="宋体" w:hAnsi="宋体"/>
          <w:color w:val="auto"/>
          <w:sz w:val="21"/>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2"/>
        <w:adjustRightInd w:val="0"/>
        <w:snapToGrid w:val="0"/>
        <w:spacing w:line="360" w:lineRule="auto"/>
        <w:ind w:firstLine="420" w:firstLineChars="200"/>
        <w:rPr>
          <w:rFonts w:hint="eastAsia" w:hAnsi="宋体"/>
          <w:color w:val="auto"/>
          <w:highlight w:val="none"/>
        </w:rPr>
      </w:pPr>
      <w:r>
        <w:rPr>
          <w:rFonts w:hint="eastAsia" w:hAnsi="宋体"/>
          <w:bCs/>
          <w:color w:val="auto"/>
          <w:highlight w:val="none"/>
        </w:rPr>
        <w:t xml:space="preserve">14.3 </w:t>
      </w:r>
      <w:r>
        <w:rPr>
          <w:rFonts w:hint="eastAsia" w:hAnsi="宋体"/>
          <w:color w:val="auto"/>
          <w:highlight w:val="none"/>
        </w:rPr>
        <w:t>计量单位应使用我国法定计量单位，未列明时应默认为我国法定计量单位。</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14.5 供应商应按磋商文件中提供的响应文件格式填写。</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15.</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的组成</w:t>
      </w:r>
    </w:p>
    <w:p>
      <w:pPr>
        <w:rPr>
          <w:rFonts w:hint="eastAsia" w:ascii="宋体" w:hAnsi="宋体"/>
          <w:color w:val="auto"/>
          <w:sz w:val="21"/>
          <w:szCs w:val="21"/>
          <w:highlight w:val="none"/>
        </w:rPr>
      </w:pPr>
      <w:r>
        <w:rPr>
          <w:rFonts w:hint="eastAsia" w:ascii="宋体" w:hAnsi="宋体"/>
          <w:color w:val="auto"/>
          <w:sz w:val="21"/>
          <w:szCs w:val="21"/>
          <w:highlight w:val="none"/>
        </w:rPr>
        <w:t>15.1</w:t>
      </w:r>
      <w:r>
        <w:rPr>
          <w:rFonts w:hint="eastAsia" w:hAnsi="宋体"/>
          <w:color w:val="auto"/>
          <w:sz w:val="21"/>
          <w:szCs w:val="21"/>
          <w:highlight w:val="none"/>
        </w:rPr>
        <w:t xml:space="preserve"> 响应文件包括下列内容：</w:t>
      </w:r>
      <w:r>
        <w:rPr>
          <w:rFonts w:hint="eastAsia" w:ascii="宋体" w:hAnsi="宋体"/>
          <w:color w:val="auto"/>
          <w:sz w:val="21"/>
          <w:szCs w:val="21"/>
          <w:highlight w:val="none"/>
        </w:rPr>
        <w:t xml:space="preserve"> </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（1）磋商响应声明</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（2）保证金</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（3）供应商的资格证明文件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（4）货物或服务方案说明</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（5）技术/商务响应与偏离表</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（6）提供享受政府采购政策的证明材料和清单表</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（7）项目业绩汇总表</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（8）经销或代理或为货物提供售后服务的证明材料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（9）报价一览表及报价文件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（10）供应商认为需提供的其他资料</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（11）最后报价</w:t>
      </w:r>
    </w:p>
    <w:p>
      <w:pPr>
        <w:adjustRightInd w:val="0"/>
        <w:snapToGrid w:val="0"/>
        <w:spacing w:line="360" w:lineRule="auto"/>
        <w:ind w:firstLine="420" w:firstLineChars="200"/>
        <w:rPr>
          <w:rFonts w:hint="eastAsia" w:hAnsi="宋体"/>
          <w:color w:val="auto"/>
          <w:sz w:val="21"/>
          <w:szCs w:val="21"/>
          <w:highlight w:val="none"/>
        </w:rPr>
      </w:pPr>
      <w:r>
        <w:rPr>
          <w:rFonts w:hint="eastAsia" w:ascii="宋体" w:hAnsi="宋体"/>
          <w:color w:val="auto"/>
          <w:sz w:val="21"/>
          <w:szCs w:val="21"/>
          <w:highlight w:val="none"/>
        </w:rPr>
        <w:t>15.2在磋商过程中，供应商根据</w:t>
      </w:r>
      <w:r>
        <w:rPr>
          <w:rFonts w:hint="eastAsia" w:ascii="宋体" w:hAnsi="宋体" w:cs="宋体"/>
          <w:color w:val="auto"/>
          <w:kern w:val="0"/>
          <w:sz w:val="21"/>
          <w:szCs w:val="21"/>
          <w:highlight w:val="none"/>
        </w:rPr>
        <w:t>磋商小组</w:t>
      </w:r>
      <w:r>
        <w:rPr>
          <w:rFonts w:hint="eastAsia" w:ascii="宋体" w:hAnsi="宋体"/>
          <w:bCs/>
          <w:color w:val="auto"/>
          <w:sz w:val="21"/>
          <w:szCs w:val="21"/>
          <w:highlight w:val="none"/>
        </w:rPr>
        <w:t>书面形式要求</w:t>
      </w:r>
      <w:r>
        <w:rPr>
          <w:rFonts w:hint="eastAsia" w:ascii="宋体" w:hAnsi="宋体" w:cs="宋体"/>
          <w:color w:val="auto"/>
          <w:kern w:val="0"/>
          <w:sz w:val="21"/>
          <w:szCs w:val="21"/>
          <w:highlight w:val="none"/>
        </w:rPr>
        <w:t>提交的</w:t>
      </w:r>
      <w:r>
        <w:rPr>
          <w:rFonts w:hint="eastAsia" w:hAnsi="宋体"/>
          <w:color w:val="auto"/>
          <w:sz w:val="21"/>
          <w:szCs w:val="21"/>
          <w:highlight w:val="none"/>
        </w:rPr>
        <w:t>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w:t>
      </w:r>
      <w:r>
        <w:rPr>
          <w:rFonts w:hint="eastAsia" w:hAnsi="宋体"/>
          <w:color w:val="auto"/>
          <w:sz w:val="21"/>
          <w:szCs w:val="21"/>
          <w:highlight w:val="none"/>
        </w:rPr>
        <w:t>最后报价)是</w:t>
      </w:r>
      <w:r>
        <w:rPr>
          <w:rFonts w:hint="eastAsia" w:ascii="宋体" w:hAnsi="宋体"/>
          <w:color w:val="auto"/>
          <w:sz w:val="21"/>
          <w:szCs w:val="21"/>
          <w:highlight w:val="none"/>
        </w:rPr>
        <w:t>响应文件</w:t>
      </w:r>
      <w:r>
        <w:rPr>
          <w:rFonts w:hint="eastAsia" w:hAnsi="宋体"/>
          <w:color w:val="auto"/>
          <w:sz w:val="21"/>
          <w:szCs w:val="21"/>
          <w:highlight w:val="none"/>
        </w:rPr>
        <w:t>的有效组成部分。</w:t>
      </w:r>
    </w:p>
    <w:p>
      <w:pPr>
        <w:adjustRightInd w:val="0"/>
        <w:snapToGrid w:val="0"/>
        <w:spacing w:line="360" w:lineRule="auto"/>
        <w:ind w:firstLine="420" w:firstLineChars="200"/>
        <w:rPr>
          <w:rFonts w:hint="eastAsia" w:hAnsi="宋体"/>
          <w:b/>
          <w:color w:val="auto"/>
          <w:sz w:val="21"/>
          <w:szCs w:val="21"/>
          <w:highlight w:val="none"/>
        </w:rPr>
      </w:pPr>
      <w:r>
        <w:rPr>
          <w:rFonts w:hint="eastAsia" w:ascii="宋体" w:hAnsi="宋体"/>
          <w:color w:val="auto"/>
          <w:sz w:val="21"/>
          <w:szCs w:val="21"/>
          <w:highlight w:val="none"/>
        </w:rPr>
        <w:t>15.3</w:t>
      </w:r>
      <w:r>
        <w:rPr>
          <w:rFonts w:hint="eastAsia" w:ascii="宋体" w:hAnsi="宋体" w:cs="宋体"/>
          <w:color w:val="auto"/>
          <w:kern w:val="0"/>
          <w:sz w:val="21"/>
          <w:szCs w:val="21"/>
          <w:highlight w:val="none"/>
        </w:rPr>
        <w:t>磋商文件规定可能发生实质性变动的，供应商应当在</w:t>
      </w:r>
      <w:r>
        <w:rPr>
          <w:rFonts w:hint="eastAsia" w:hAnsi="宋体"/>
          <w:color w:val="auto"/>
          <w:sz w:val="21"/>
          <w:szCs w:val="21"/>
          <w:highlight w:val="none"/>
        </w:rPr>
        <w:t>《技术/商务响应与偏离表》中对应内容注明。</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15.4根据《政府采购法》第四十二条的规定，供应商无论成交与否，其响应文件不予退还。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16.报价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16.1供应商应当根据磋商文件要求和范围，以</w:t>
      </w:r>
      <w:r>
        <w:rPr>
          <w:rFonts w:hint="eastAsia" w:ascii="宋体" w:hAnsi="宋体"/>
          <w:bCs/>
          <w:color w:val="auto"/>
          <w:sz w:val="21"/>
          <w:szCs w:val="21"/>
          <w:highlight w:val="none"/>
        </w:rPr>
        <w:t>人民币</w:t>
      </w:r>
      <w:r>
        <w:rPr>
          <w:rFonts w:hint="eastAsia" w:ascii="宋体" w:hAnsi="宋体"/>
          <w:color w:val="auto"/>
          <w:sz w:val="21"/>
          <w:szCs w:val="21"/>
          <w:highlight w:val="none"/>
        </w:rPr>
        <w:t>报价，以元为单位，保留小数点后两位。</w:t>
      </w:r>
    </w:p>
    <w:p>
      <w:pPr>
        <w:pStyle w:val="150"/>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highlight w:val="none"/>
        </w:rPr>
        <w:t>16.2供应商应按第五章 响应文件组成格式填写。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16.4</w:t>
      </w:r>
      <w:r>
        <w:rPr>
          <w:rFonts w:hint="eastAsia" w:hAnsi="宋体" w:cs="宋体"/>
          <w:color w:val="auto"/>
          <w:kern w:val="0"/>
          <w:highlight w:val="none"/>
          <w:lang w:val="zh-CN"/>
        </w:rPr>
        <w:t>供应商</w:t>
      </w:r>
      <w:r>
        <w:rPr>
          <w:rFonts w:hint="eastAsia" w:hAnsi="宋体"/>
          <w:color w:val="auto"/>
          <w:highlight w:val="none"/>
        </w:rPr>
        <w:t>的报价不得超过采购项目预算，采购项目预算或其计算方法见</w:t>
      </w:r>
      <w:r>
        <w:rPr>
          <w:rFonts w:hint="eastAsia" w:hAnsi="宋体"/>
          <w:b/>
          <w:color w:val="auto"/>
          <w:highlight w:val="none"/>
        </w:rPr>
        <w:t>磋商须知前附表</w:t>
      </w:r>
      <w:r>
        <w:rPr>
          <w:rFonts w:hint="eastAsia" w:hAnsi="宋体"/>
          <w:color w:val="auto"/>
          <w:highlight w:val="none"/>
        </w:rPr>
        <w:t>。</w:t>
      </w:r>
    </w:p>
    <w:p>
      <w:pPr>
        <w:pStyle w:val="22"/>
        <w:adjustRightInd w:val="0"/>
        <w:snapToGrid w:val="0"/>
        <w:spacing w:line="360" w:lineRule="auto"/>
        <w:rPr>
          <w:rFonts w:hint="eastAsia"/>
          <w:b/>
          <w:color w:val="auto"/>
          <w:highlight w:val="none"/>
        </w:rPr>
      </w:pPr>
      <w:r>
        <w:rPr>
          <w:rFonts w:hint="eastAsia"/>
          <w:b/>
          <w:color w:val="auto"/>
          <w:highlight w:val="none"/>
        </w:rPr>
        <w:t>17.供应商符合磋商文件规定的证明文件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17.3 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18．样品提供</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 xml:space="preserve">18.1 </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w:t>
      </w:r>
      <w:r>
        <w:rPr>
          <w:rFonts w:hint="eastAsia" w:ascii="宋体" w:hAnsi="宋体"/>
          <w:bCs/>
          <w:color w:val="auto"/>
          <w:sz w:val="21"/>
          <w:szCs w:val="21"/>
          <w:highlight w:val="none"/>
        </w:rPr>
        <w:t>供应商</w:t>
      </w:r>
      <w:r>
        <w:rPr>
          <w:rFonts w:hint="eastAsia" w:ascii="宋体" w:hAnsi="宋体"/>
          <w:color w:val="auto"/>
          <w:sz w:val="21"/>
          <w:szCs w:val="21"/>
          <w:highlight w:val="none"/>
        </w:rPr>
        <w:t>在磋商时提供样品的，</w:t>
      </w:r>
      <w:r>
        <w:rPr>
          <w:rFonts w:hint="eastAsia" w:ascii="宋体" w:hAnsi="宋体"/>
          <w:bCs/>
          <w:color w:val="auto"/>
          <w:sz w:val="21"/>
          <w:szCs w:val="21"/>
          <w:highlight w:val="none"/>
        </w:rPr>
        <w:t>供应商</w:t>
      </w:r>
      <w:r>
        <w:rPr>
          <w:rFonts w:ascii="宋体" w:hAnsi="宋体"/>
          <w:color w:val="auto"/>
          <w:sz w:val="21"/>
          <w:szCs w:val="21"/>
          <w:highlight w:val="none"/>
        </w:rPr>
        <w:t>有以下情形之一的</w:t>
      </w:r>
      <w:r>
        <w:rPr>
          <w:rFonts w:hint="eastAsia" w:ascii="宋体" w:hAnsi="宋体"/>
          <w:color w:val="auto"/>
          <w:sz w:val="21"/>
          <w:szCs w:val="21"/>
          <w:highlight w:val="none"/>
        </w:rPr>
        <w:t>，在评审时将其视为无效响应。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（1）未在</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规定的提交时间、地点提交</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Cs/>
          <w:color w:val="auto"/>
          <w:sz w:val="21"/>
          <w:szCs w:val="21"/>
          <w:highlight w:val="none"/>
        </w:rPr>
        <w:t>供应商</w:t>
      </w:r>
      <w:r>
        <w:rPr>
          <w:rFonts w:hint="eastAsia" w:ascii="宋体" w:hAnsi="宋体"/>
          <w:color w:val="auto"/>
          <w:sz w:val="21"/>
          <w:szCs w:val="21"/>
          <w:highlight w:val="none"/>
        </w:rPr>
        <w:t>提供的样品与响应文件中提供样品的型号、规格不一致</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19.</w:t>
      </w:r>
      <w:r>
        <w:rPr>
          <w:rFonts w:hint="eastAsia"/>
          <w:color w:val="auto"/>
          <w:sz w:val="21"/>
          <w:szCs w:val="21"/>
          <w:highlight w:val="none"/>
        </w:rPr>
        <w:t xml:space="preserve"> </w:t>
      </w:r>
      <w:r>
        <w:rPr>
          <w:rFonts w:hint="eastAsia" w:ascii="宋体" w:hAnsi="宋体"/>
          <w:b/>
          <w:bCs/>
          <w:color w:val="auto"/>
          <w:sz w:val="21"/>
          <w:szCs w:val="21"/>
          <w:highlight w:val="none"/>
        </w:rPr>
        <w:t>磋商保证金</w:t>
      </w:r>
    </w:p>
    <w:p>
      <w:pPr>
        <w:pStyle w:val="22"/>
        <w:adjustRightInd w:val="0"/>
        <w:snapToGrid w:val="0"/>
        <w:spacing w:line="360" w:lineRule="auto"/>
        <w:ind w:firstLine="420" w:firstLineChars="200"/>
        <w:rPr>
          <w:rFonts w:hint="eastAsia" w:hAnsi="宋体"/>
          <w:bCs/>
          <w:color w:val="auto"/>
          <w:highlight w:val="none"/>
        </w:rPr>
      </w:pPr>
      <w:r>
        <w:rPr>
          <w:rFonts w:hint="eastAsia" w:hAnsi="宋体"/>
          <w:color w:val="auto"/>
          <w:highlight w:val="none"/>
        </w:rPr>
        <w:t>19.1</w:t>
      </w:r>
      <w:r>
        <w:rPr>
          <w:rFonts w:hint="eastAsia" w:hAnsi="宋体"/>
          <w:b/>
          <w:color w:val="auto"/>
          <w:highlight w:val="none"/>
        </w:rPr>
        <w:t>磋商须知前附表</w:t>
      </w:r>
      <w:r>
        <w:rPr>
          <w:rFonts w:hint="eastAsia" w:hAnsi="宋体"/>
          <w:color w:val="auto"/>
          <w:highlight w:val="none"/>
        </w:rPr>
        <w:t>规定交纳磋商</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磋商须知前附表</w:t>
      </w:r>
      <w:r>
        <w:rPr>
          <w:rFonts w:hint="eastAsia" w:hAnsi="宋体"/>
          <w:color w:val="auto"/>
          <w:highlight w:val="none"/>
        </w:rPr>
        <w:t>规定的磋商</w:t>
      </w:r>
      <w:r>
        <w:rPr>
          <w:rFonts w:hint="eastAsia" w:hAnsi="宋体"/>
          <w:bCs/>
          <w:color w:val="auto"/>
          <w:highlight w:val="none"/>
        </w:rPr>
        <w:t>保证金形式交纳，不得以现金方式交纳</w:t>
      </w:r>
      <w:r>
        <w:rPr>
          <w:rFonts w:hint="eastAsia" w:hAnsi="宋体"/>
          <w:color w:val="auto"/>
          <w:highlight w:val="none"/>
        </w:rPr>
        <w:t>，在</w:t>
      </w:r>
      <w:r>
        <w:rPr>
          <w:rFonts w:hint="eastAsia" w:hAnsi="宋体" w:cs="宋体"/>
          <w:color w:val="auto"/>
          <w:kern w:val="0"/>
          <w:highlight w:val="none"/>
        </w:rPr>
        <w:t>提交首次响应文件截止时间</w:t>
      </w:r>
      <w:r>
        <w:rPr>
          <w:rFonts w:hint="eastAsia" w:hAnsi="宋体"/>
          <w:color w:val="auto"/>
          <w:highlight w:val="none"/>
        </w:rPr>
        <w:t>前，</w:t>
      </w:r>
      <w:r>
        <w:rPr>
          <w:rFonts w:hint="eastAsia" w:hAnsi="宋体"/>
          <w:bCs/>
          <w:color w:val="auto"/>
          <w:highlight w:val="none"/>
        </w:rPr>
        <w:t>向采购代理机构交纳不超过</w:t>
      </w:r>
      <w:r>
        <w:rPr>
          <w:rFonts w:hint="eastAsia" w:hAnsi="宋体" w:cs="宋体"/>
          <w:color w:val="auto"/>
          <w:kern w:val="0"/>
          <w:highlight w:val="none"/>
          <w:lang w:val="zh-CN"/>
        </w:rPr>
        <w:t>采购项目预算2﹪</w:t>
      </w:r>
      <w:r>
        <w:rPr>
          <w:rFonts w:hint="eastAsia" w:hAnsi="宋体"/>
          <w:bCs/>
          <w:color w:val="auto"/>
          <w:highlight w:val="none"/>
        </w:rPr>
        <w:t>的磋商保证金(数额采用四舍五入，计算至元)</w:t>
      </w:r>
      <w:r>
        <w:rPr>
          <w:rFonts w:hint="eastAsia" w:hAnsi="宋体"/>
          <w:color w:val="auto"/>
          <w:highlight w:val="none"/>
        </w:rPr>
        <w:t>。磋商</w:t>
      </w:r>
      <w:r>
        <w:rPr>
          <w:rFonts w:hint="eastAsia" w:hAnsi="宋体"/>
          <w:bCs/>
          <w:color w:val="auto"/>
          <w:highlight w:val="none"/>
        </w:rPr>
        <w:t>保证金有效期应当与</w:t>
      </w:r>
      <w:r>
        <w:rPr>
          <w:rFonts w:hint="eastAsia" w:hAnsi="宋体"/>
          <w:color w:val="auto"/>
          <w:highlight w:val="none"/>
        </w:rPr>
        <w:t>本章第20.1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19.2</w:t>
      </w:r>
      <w:r>
        <w:rPr>
          <w:rFonts w:hint="eastAsia" w:ascii="宋体" w:hAnsi="宋体" w:cs="宋体"/>
          <w:color w:val="auto"/>
          <w:kern w:val="0"/>
          <w:sz w:val="21"/>
          <w:szCs w:val="21"/>
          <w:highlight w:val="none"/>
          <w:lang w:val="zh-CN"/>
        </w:rPr>
        <w:t>供应商为联合体的，可以由联合体中的一方或者共同交纳磋商保证金，其交纳的磋商保证金，对联合体各方均具有约束力。</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19.3供应商未按照磋商文件要求提交磋商保证金的，响应无效。</w:t>
      </w:r>
    </w:p>
    <w:p>
      <w:pPr>
        <w:pStyle w:val="22"/>
        <w:tabs>
          <w:tab w:val="left" w:pos="6300"/>
        </w:tabs>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22"/>
        <w:adjustRightInd w:val="0"/>
        <w:snapToGrid w:val="0"/>
        <w:spacing w:line="360" w:lineRule="auto"/>
        <w:ind w:firstLine="420" w:firstLineChars="200"/>
        <w:rPr>
          <w:rFonts w:hint="eastAsia"/>
          <w:color w:val="auto"/>
          <w:kern w:val="0"/>
          <w:highlight w:val="none"/>
        </w:rPr>
      </w:pPr>
      <w:r>
        <w:rPr>
          <w:rFonts w:hint="eastAsia"/>
          <w:color w:val="auto"/>
          <w:highlight w:val="none"/>
        </w:rPr>
        <w:t xml:space="preserve">19.5 </w:t>
      </w:r>
      <w:r>
        <w:rPr>
          <w:rFonts w:hint="eastAsia"/>
          <w:color w:val="auto"/>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hint="eastAsia"/>
          <w:color w:val="auto"/>
          <w:kern w:val="0"/>
          <w:sz w:val="21"/>
          <w:szCs w:val="21"/>
          <w:highlight w:val="none"/>
        </w:rPr>
      </w:pPr>
      <w:r>
        <w:rPr>
          <w:rFonts w:hint="eastAsia"/>
          <w:color w:val="auto"/>
          <w:kern w:val="0"/>
          <w:sz w:val="21"/>
          <w:szCs w:val="21"/>
          <w:highlight w:val="none"/>
        </w:rPr>
        <w:t>（2）供应商在响应文件中提供虚假资料的；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color w:val="auto"/>
          <w:kern w:val="0"/>
          <w:sz w:val="21"/>
          <w:szCs w:val="21"/>
          <w:highlight w:val="none"/>
        </w:rPr>
        <w:t>（3）</w:t>
      </w:r>
      <w:r>
        <w:rPr>
          <w:rFonts w:hint="eastAsia"/>
          <w:color w:val="auto"/>
          <w:sz w:val="21"/>
          <w:szCs w:val="21"/>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（5）供应商与采购人、其他供应商或者采购代理机构恶意串通的；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（6）磋商文件规定的其他情形。</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20.</w:t>
      </w:r>
      <w:r>
        <w:rPr>
          <w:rFonts w:hint="eastAsia" w:ascii="宋体" w:hAnsi="宋体"/>
          <w:color w:val="auto"/>
          <w:sz w:val="21"/>
          <w:szCs w:val="21"/>
          <w:highlight w:val="none"/>
        </w:rPr>
        <w:t xml:space="preserve"> </w:t>
      </w:r>
      <w:r>
        <w:rPr>
          <w:rFonts w:hint="eastAsia" w:hAnsi="宋体"/>
          <w:b/>
          <w:color w:val="auto"/>
          <w:sz w:val="21"/>
          <w:szCs w:val="21"/>
          <w:highlight w:val="none"/>
        </w:rPr>
        <w:t>响应文件</w:t>
      </w:r>
      <w:r>
        <w:rPr>
          <w:rFonts w:hint="eastAsia" w:ascii="宋体" w:hAnsi="宋体"/>
          <w:b/>
          <w:color w:val="auto"/>
          <w:sz w:val="21"/>
          <w:szCs w:val="21"/>
          <w:highlight w:val="none"/>
        </w:rPr>
        <w:t>有效期</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20.1响应文件有效期见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，在此期间响应文件对供应商具有法律约束力，</w:t>
      </w:r>
      <w:r>
        <w:rPr>
          <w:rFonts w:hint="eastAsia" w:ascii="宋体" w:hAnsi="宋体" w:cs="Arial"/>
          <w:color w:val="auto"/>
          <w:sz w:val="21"/>
          <w:szCs w:val="21"/>
          <w:highlight w:val="none"/>
        </w:rPr>
        <w:t>从</w:t>
      </w:r>
      <w:r>
        <w:rPr>
          <w:rFonts w:hint="eastAsia" w:ascii="宋体" w:hAnsi="宋体" w:cs="宋体"/>
          <w:color w:val="auto"/>
          <w:kern w:val="0"/>
          <w:sz w:val="21"/>
          <w:szCs w:val="21"/>
          <w:highlight w:val="none"/>
        </w:rPr>
        <w:t>提交首次响应文件截止时间</w:t>
      </w:r>
      <w:r>
        <w:rPr>
          <w:rFonts w:hint="eastAsia" w:hAnsi="宋体"/>
          <w:color w:val="auto"/>
          <w:sz w:val="21"/>
          <w:szCs w:val="21"/>
          <w:highlight w:val="none"/>
        </w:rPr>
        <w:t>之日</w:t>
      </w:r>
      <w:r>
        <w:rPr>
          <w:rFonts w:hint="eastAsia" w:hAnsi="宋体" w:cs="Arial"/>
          <w:color w:val="auto"/>
          <w:sz w:val="21"/>
          <w:szCs w:val="21"/>
          <w:highlight w:val="none"/>
        </w:rPr>
        <w:t>起计算。</w:t>
      </w:r>
      <w:r>
        <w:rPr>
          <w:rFonts w:hint="eastAsia" w:hAnsi="宋体"/>
          <w:color w:val="auto"/>
          <w:sz w:val="21"/>
          <w:szCs w:val="21"/>
          <w:highlight w:val="none"/>
        </w:rPr>
        <w:t>响应文件有效期不足的将被视为无效响应。</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21.响应文件的签署及规定</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21.1响应文件的正本和副本应装订成册，正本一份，副本份数见</w:t>
      </w:r>
      <w:r>
        <w:rPr>
          <w:rFonts w:hint="eastAsia" w:hAnsi="宋体"/>
          <w:b/>
          <w:color w:val="auto"/>
          <w:highlight w:val="none"/>
        </w:rPr>
        <w:t>磋商须知前附表</w:t>
      </w:r>
      <w:r>
        <w:rPr>
          <w:rFonts w:hint="eastAsia" w:hAnsi="宋体"/>
          <w:color w:val="auto"/>
          <w:highlight w:val="none"/>
        </w:rPr>
        <w:t>。正本和副本的封面上应标记“正本”或“副本”的字样，当正本和副本有差异时，以正本为准。</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21.3 在磋商过程中，供应商按磋商文件规定和磋商小组要求</w:t>
      </w:r>
      <w:r>
        <w:rPr>
          <w:rFonts w:hint="eastAsia" w:hAnsi="宋体" w:cs="宋体"/>
          <w:color w:val="auto"/>
          <w:kern w:val="0"/>
          <w:highlight w:val="none"/>
        </w:rPr>
        <w:t>提交的</w:t>
      </w:r>
      <w:r>
        <w:rPr>
          <w:rFonts w:hint="eastAsia" w:hAnsi="宋体"/>
          <w:color w:val="auto"/>
          <w:highlight w:val="none"/>
        </w:rPr>
        <w:t>最后报价(或者</w:t>
      </w:r>
      <w:r>
        <w:rPr>
          <w:rFonts w:hint="eastAsia" w:hAnsi="宋体"/>
          <w:bCs/>
          <w:color w:val="auto"/>
          <w:highlight w:val="none"/>
        </w:rPr>
        <w:t>重</w:t>
      </w:r>
      <w:r>
        <w:rPr>
          <w:rFonts w:hint="eastAsia" w:hAnsi="宋体" w:cs="宋体"/>
          <w:color w:val="auto"/>
          <w:kern w:val="0"/>
          <w:highlight w:val="none"/>
        </w:rPr>
        <w:t>新提交的响应文件和</w:t>
      </w:r>
      <w:r>
        <w:rPr>
          <w:rFonts w:hint="eastAsia" w:hAnsi="宋体"/>
          <w:color w:val="auto"/>
          <w:highlight w:val="none"/>
        </w:rPr>
        <w:t>最后报价)，一式两份，可打印或用不退色墨水书写，但需经法定代表人或其委托代理人签字，</w:t>
      </w:r>
      <w:r>
        <w:rPr>
          <w:rFonts w:hint="eastAsia" w:hAnsi="宋体" w:cs="宋体"/>
          <w:color w:val="auto"/>
          <w:kern w:val="0"/>
          <w:highlight w:val="none"/>
        </w:rPr>
        <w:t>或者加盖供应商单位章</w:t>
      </w:r>
      <w:r>
        <w:rPr>
          <w:rFonts w:hint="eastAsia" w:hAnsi="宋体"/>
          <w:color w:val="auto"/>
          <w:highlight w:val="none"/>
        </w:rPr>
        <w:t>。否则，将导致响应文件无效。</w:t>
      </w:r>
    </w:p>
    <w:p>
      <w:pPr>
        <w:pStyle w:val="4"/>
        <w:jc w:val="left"/>
        <w:rPr>
          <w:rFonts w:hint="eastAsia"/>
          <w:color w:val="auto"/>
          <w:sz w:val="21"/>
          <w:szCs w:val="21"/>
          <w:highlight w:val="none"/>
        </w:rPr>
      </w:pPr>
      <w:r>
        <w:rPr>
          <w:rFonts w:hint="eastAsia"/>
          <w:color w:val="auto"/>
          <w:sz w:val="21"/>
          <w:szCs w:val="21"/>
          <w:highlight w:val="none"/>
        </w:rPr>
        <w:t>四、响应文件的递交</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22.</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的密封和标记</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22.2响应文件封套上应写明的内容见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22.3响应文件如果未按上述规定密封和加写标记，采购人或采购代理机构将拒绝接收。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23.响应文件的</w:t>
      </w:r>
      <w:r>
        <w:rPr>
          <w:rFonts w:hint="eastAsia" w:ascii="宋体" w:hAnsi="宋体" w:cs="宋体"/>
          <w:b/>
          <w:color w:val="auto"/>
          <w:kern w:val="0"/>
          <w:sz w:val="21"/>
          <w:szCs w:val="21"/>
          <w:highlight w:val="none"/>
          <w:lang w:val="zh-CN"/>
        </w:rPr>
        <w:t>补充、修改或者撤回</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23.1</w:t>
      </w:r>
      <w:r>
        <w:rPr>
          <w:rFonts w:hint="eastAsia" w:hAnsi="宋体" w:cs="宋体"/>
          <w:color w:val="auto"/>
          <w:kern w:val="0"/>
          <w:highlight w:val="none"/>
        </w:rPr>
        <w:t>供应商在提交首次响应文件截止时间前，可以对所提交的首次响应文件进行补充、修改或者撤回，并书面通知采购人、采购代理机构。</w:t>
      </w:r>
      <w:r>
        <w:rPr>
          <w:rFonts w:hint="eastAsia" w:hAnsi="宋体"/>
          <w:color w:val="auto"/>
          <w:highlight w:val="none"/>
        </w:rPr>
        <w:t>该通知应有供应商法定代表人或其委托代理人签字。</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24.响应文件的递交与接收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24.1 供应商应在</w:t>
      </w:r>
      <w:r>
        <w:rPr>
          <w:rFonts w:hint="eastAsia" w:ascii="宋体" w:hAnsi="宋体" w:cs="宋体"/>
          <w:color w:val="auto"/>
          <w:kern w:val="0"/>
          <w:sz w:val="21"/>
          <w:szCs w:val="21"/>
          <w:highlight w:val="none"/>
        </w:rPr>
        <w:t>提交首次响应文件截止时间</w:t>
      </w:r>
      <w:r>
        <w:rPr>
          <w:rFonts w:hint="eastAsia" w:ascii="宋体" w:hAnsi="宋体"/>
          <w:color w:val="auto"/>
          <w:sz w:val="21"/>
          <w:szCs w:val="21"/>
          <w:highlight w:val="none"/>
        </w:rPr>
        <w:t>前，将响应文件送</w:t>
      </w:r>
      <w:r>
        <w:rPr>
          <w:rFonts w:hint="eastAsia" w:ascii="宋体" w:hAnsi="宋体" w:cs="Arial"/>
          <w:color w:val="auto"/>
          <w:sz w:val="21"/>
          <w:szCs w:val="21"/>
          <w:highlight w:val="none"/>
        </w:rPr>
        <w:t>达</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中指定的地点。</w:t>
      </w:r>
      <w:r>
        <w:rPr>
          <w:rFonts w:hint="eastAsia" w:hAnsi="宋体" w:cs="宋体"/>
          <w:color w:val="auto"/>
          <w:kern w:val="0"/>
          <w:sz w:val="21"/>
          <w:szCs w:val="21"/>
          <w:highlight w:val="none"/>
        </w:rPr>
        <w:t>在截止时间后送达的响应文件，采购人、采购代理机构或者磋商小组应当拒收。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24.2</w:t>
      </w:r>
      <w:r>
        <w:rPr>
          <w:rFonts w:hint="eastAsia" w:hAnsi="宋体" w:cs="宋体"/>
          <w:color w:val="auto"/>
          <w:kern w:val="0"/>
          <w:highlight w:val="none"/>
        </w:rPr>
        <w:t>在提交首次响应文件截止时间后，</w:t>
      </w:r>
      <w:r>
        <w:rPr>
          <w:rFonts w:hint="eastAsia" w:hAnsi="宋体"/>
          <w:color w:val="auto"/>
          <w:highlight w:val="none"/>
        </w:rPr>
        <w:t>由</w:t>
      </w:r>
      <w:r>
        <w:rPr>
          <w:rFonts w:hint="eastAsia" w:hAnsi="宋体"/>
          <w:bCs/>
          <w:color w:val="auto"/>
          <w:highlight w:val="none"/>
        </w:rPr>
        <w:t>供应商代表</w:t>
      </w:r>
      <w:r>
        <w:rPr>
          <w:rFonts w:hint="eastAsia" w:hAnsi="宋体"/>
          <w:color w:val="auto"/>
          <w:highlight w:val="none"/>
        </w:rPr>
        <w:t>当场查验</w:t>
      </w:r>
      <w:r>
        <w:rPr>
          <w:rFonts w:hint="eastAsia" w:hAnsi="宋体"/>
          <w:bCs/>
          <w:color w:val="auto"/>
          <w:highlight w:val="none"/>
        </w:rPr>
        <w:t>响应文件</w:t>
      </w:r>
      <w:r>
        <w:rPr>
          <w:rFonts w:hint="eastAsia" w:hAnsi="宋体"/>
          <w:color w:val="auto"/>
          <w:highlight w:val="none"/>
        </w:rPr>
        <w:t>的密封状况，采购人或</w:t>
      </w:r>
      <w:r>
        <w:rPr>
          <w:rFonts w:hint="eastAsia" w:hAnsi="宋体"/>
          <w:bCs/>
          <w:color w:val="auto"/>
          <w:highlight w:val="none"/>
        </w:rPr>
        <w:t>采购代理机构</w:t>
      </w:r>
      <w:r>
        <w:rPr>
          <w:rFonts w:hint="eastAsia" w:hAnsi="宋体"/>
          <w:color w:val="auto"/>
          <w:highlight w:val="none"/>
        </w:rPr>
        <w:t>不当场拆封</w:t>
      </w:r>
      <w:r>
        <w:rPr>
          <w:rFonts w:hint="eastAsia" w:hAnsi="宋体"/>
          <w:bCs/>
          <w:color w:val="auto"/>
          <w:highlight w:val="none"/>
        </w:rPr>
        <w:t>响应文件</w:t>
      </w:r>
      <w:r>
        <w:rPr>
          <w:rFonts w:hint="eastAsia" w:hAnsi="宋体"/>
          <w:color w:val="auto"/>
          <w:highlight w:val="none"/>
        </w:rPr>
        <w:t>。</w:t>
      </w:r>
    </w:p>
    <w:p>
      <w:pPr>
        <w:pStyle w:val="4"/>
        <w:jc w:val="left"/>
        <w:rPr>
          <w:rFonts w:hint="eastAsia"/>
          <w:color w:val="auto"/>
          <w:sz w:val="21"/>
          <w:szCs w:val="21"/>
          <w:highlight w:val="none"/>
        </w:rPr>
      </w:pPr>
      <w:r>
        <w:rPr>
          <w:rFonts w:hint="eastAsia"/>
          <w:color w:val="auto"/>
          <w:sz w:val="21"/>
          <w:szCs w:val="21"/>
          <w:highlight w:val="none"/>
        </w:rPr>
        <w:t>五、响应文件的磋商与评审</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25.磋商程序</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25.1磋商程序：响应文件审查、磋商（包括澄清）、响应文件评审、</w:t>
      </w:r>
      <w:r>
        <w:rPr>
          <w:rFonts w:hint="eastAsia" w:ascii="宋体" w:hAnsi="宋体"/>
          <w:bCs/>
          <w:color w:val="auto"/>
          <w:sz w:val="21"/>
          <w:szCs w:val="21"/>
          <w:highlight w:val="none"/>
        </w:rPr>
        <w:t>提出成交供应商。其中，</w:t>
      </w:r>
      <w:r>
        <w:rPr>
          <w:rFonts w:hint="eastAsia" w:ascii="宋体" w:hAnsi="宋体" w:cs="宋体"/>
          <w:color w:val="auto"/>
          <w:kern w:val="0"/>
          <w:sz w:val="21"/>
          <w:szCs w:val="21"/>
          <w:highlight w:val="none"/>
        </w:rPr>
        <w:t>磋商按</w:t>
      </w:r>
      <w:r>
        <w:rPr>
          <w:rFonts w:hint="eastAsia" w:ascii="宋体" w:hAnsi="宋体"/>
          <w:color w:val="auto"/>
          <w:sz w:val="21"/>
          <w:szCs w:val="21"/>
          <w:highlight w:val="none"/>
        </w:rPr>
        <w:t>本章</w:t>
      </w:r>
      <w:r>
        <w:rPr>
          <w:rFonts w:hint="eastAsia" w:hAnsi="宋体"/>
          <w:color w:val="auto"/>
          <w:sz w:val="21"/>
          <w:szCs w:val="21"/>
          <w:highlight w:val="none"/>
        </w:rPr>
        <w:t>第</w:t>
      </w:r>
      <w:r>
        <w:rPr>
          <w:rFonts w:hint="eastAsia" w:ascii="宋体" w:hAnsi="宋体"/>
          <w:color w:val="auto"/>
          <w:sz w:val="21"/>
          <w:szCs w:val="21"/>
          <w:highlight w:val="none"/>
        </w:rPr>
        <w:t>30.1</w:t>
      </w:r>
      <w:r>
        <w:rPr>
          <w:rFonts w:hint="eastAsia" w:ascii="宋体" w:hAnsi="宋体" w:cs="宋体"/>
          <w:color w:val="auto"/>
          <w:kern w:val="0"/>
          <w:sz w:val="21"/>
          <w:szCs w:val="21"/>
          <w:highlight w:val="none"/>
          <w:lang w:val="zh-CN"/>
        </w:rPr>
        <w:t>款或者</w:t>
      </w:r>
      <w:r>
        <w:rPr>
          <w:rFonts w:hint="eastAsia" w:ascii="宋体" w:hAnsi="宋体"/>
          <w:color w:val="auto"/>
          <w:sz w:val="21"/>
          <w:szCs w:val="21"/>
          <w:highlight w:val="none"/>
        </w:rPr>
        <w:t>第30.2</w:t>
      </w:r>
      <w:r>
        <w:rPr>
          <w:rFonts w:hint="eastAsia" w:ascii="宋体" w:hAnsi="宋体" w:cs="宋体"/>
          <w:color w:val="auto"/>
          <w:kern w:val="0"/>
          <w:sz w:val="21"/>
          <w:szCs w:val="21"/>
          <w:highlight w:val="none"/>
          <w:lang w:val="zh-CN"/>
        </w:rPr>
        <w:t>款</w:t>
      </w:r>
      <w:r>
        <w:rPr>
          <w:rFonts w:hint="eastAsia" w:hAnsi="宋体"/>
          <w:color w:val="auto"/>
          <w:sz w:val="21"/>
          <w:szCs w:val="21"/>
          <w:highlight w:val="none"/>
        </w:rPr>
        <w:t>情形</w:t>
      </w:r>
      <w:r>
        <w:rPr>
          <w:rFonts w:hint="eastAsia" w:ascii="宋体" w:hAnsi="宋体"/>
          <w:bCs/>
          <w:color w:val="auto"/>
          <w:sz w:val="21"/>
          <w:szCs w:val="21"/>
          <w:highlight w:val="none"/>
        </w:rPr>
        <w:t>进行。</w:t>
      </w:r>
    </w:p>
    <w:p>
      <w:pPr>
        <w:widowControl/>
        <w:adjustRightInd w:val="0"/>
        <w:snapToGrid w:val="0"/>
        <w:spacing w:line="360" w:lineRule="auto"/>
        <w:rPr>
          <w:rFonts w:hint="eastAsia" w:ascii="宋体" w:hAnsi="宋体"/>
          <w:b/>
          <w:color w:val="auto"/>
          <w:sz w:val="21"/>
          <w:szCs w:val="21"/>
          <w:highlight w:val="none"/>
        </w:rPr>
      </w:pPr>
      <w:r>
        <w:rPr>
          <w:rFonts w:hint="eastAsia" w:ascii="宋体" w:hAnsi="宋体" w:cs="宋体"/>
          <w:b/>
          <w:color w:val="auto"/>
          <w:kern w:val="0"/>
          <w:sz w:val="21"/>
          <w:szCs w:val="21"/>
          <w:highlight w:val="none"/>
        </w:rPr>
        <w:t>26.</w:t>
      </w:r>
      <w:r>
        <w:rPr>
          <w:rFonts w:hint="eastAsia"/>
          <w:color w:val="auto"/>
          <w:sz w:val="21"/>
          <w:szCs w:val="21"/>
          <w:highlight w:val="none"/>
        </w:rPr>
        <w:t xml:space="preserve"> </w:t>
      </w:r>
      <w:r>
        <w:rPr>
          <w:rFonts w:hint="eastAsia" w:ascii="宋体" w:hAnsi="宋体" w:cs="宋体"/>
          <w:b/>
          <w:color w:val="auto"/>
          <w:kern w:val="0"/>
          <w:sz w:val="21"/>
          <w:szCs w:val="21"/>
          <w:highlight w:val="none"/>
        </w:rPr>
        <w:t>响应文件审查</w:t>
      </w:r>
      <w:r>
        <w:rPr>
          <w:rFonts w:hint="eastAsia" w:ascii="宋体" w:hAnsi="宋体"/>
          <w:b/>
          <w:color w:val="auto"/>
          <w:sz w:val="21"/>
          <w:szCs w:val="21"/>
          <w:highlight w:val="none"/>
        </w:rPr>
        <w:t xml:space="preserve"> </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26.1 资格性审查：根据本章第3.1项规定的供应商资格条件要求，对响应文件的资格证明等进行审查，以确定供应商是否具备磋商资格条件。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2"/>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27.实质性响应</w:t>
      </w:r>
    </w:p>
    <w:p>
      <w:pPr>
        <w:pStyle w:val="22"/>
        <w:adjustRightInd w:val="0"/>
        <w:snapToGrid w:val="0"/>
        <w:spacing w:line="360" w:lineRule="auto"/>
        <w:ind w:firstLine="420" w:firstLineChars="200"/>
        <w:rPr>
          <w:rFonts w:hint="eastAsia" w:hAnsi="宋体" w:cs="Arial"/>
          <w:color w:val="auto"/>
          <w:kern w:val="0"/>
          <w:highlight w:val="none"/>
          <w:u w:val="single"/>
        </w:rPr>
      </w:pPr>
      <w:r>
        <w:rPr>
          <w:rFonts w:hint="eastAsia" w:hAnsi="宋体" w:cs="宋体"/>
          <w:color w:val="auto"/>
          <w:kern w:val="0"/>
          <w:highlight w:val="none"/>
        </w:rPr>
        <w:t>27.1</w:t>
      </w:r>
      <w:r>
        <w:rPr>
          <w:rFonts w:hint="eastAsia" w:hAnsi="宋体"/>
          <w:color w:val="auto"/>
          <w:highlight w:val="none"/>
        </w:rPr>
        <w:t>实质性响应是指响应文件(包括首次响应文件、重新提交的响应文件)与磋商文件要求的所有条款、条件和规格相符，没有偏离。偏离</w:t>
      </w:r>
      <w:r>
        <w:rPr>
          <w:rFonts w:hint="eastAsia"/>
          <w:color w:val="auto"/>
          <w:highlight w:val="none"/>
        </w:rPr>
        <w:t>指不满足、或不响应</w:t>
      </w:r>
      <w:r>
        <w:rPr>
          <w:rFonts w:hint="eastAsia" w:hAnsi="宋体"/>
          <w:color w:val="auto"/>
          <w:highlight w:val="none"/>
        </w:rPr>
        <w:t>磋商文件</w:t>
      </w:r>
      <w:r>
        <w:rPr>
          <w:rFonts w:hint="eastAsia"/>
          <w:color w:val="auto"/>
          <w:highlight w:val="none"/>
        </w:rPr>
        <w:t>的要求。</w:t>
      </w:r>
    </w:p>
    <w:p>
      <w:pPr>
        <w:tabs>
          <w:tab w:val="left" w:pos="0"/>
          <w:tab w:val="left" w:pos="7560"/>
          <w:tab w:val="left" w:pos="7740"/>
          <w:tab w:val="left" w:pos="7920"/>
        </w:tabs>
        <w:adjustRightInd w:val="0"/>
        <w:snapToGrid w:val="0"/>
        <w:spacing w:line="360" w:lineRule="auto"/>
        <w:ind w:right="31" w:rightChars="11"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27.2响应文件是否实质性响应磋商文件要求由磋商小组依据磋商文件规定认定。</w:t>
      </w:r>
      <w:r>
        <w:rPr>
          <w:rFonts w:hint="eastAsia" w:ascii="宋体" w:hAnsi="宋体" w:cs="宋体"/>
          <w:color w:val="auto"/>
          <w:kern w:val="0"/>
          <w:sz w:val="21"/>
          <w:szCs w:val="21"/>
          <w:highlight w:val="none"/>
        </w:rPr>
        <w:t>磋商小组</w:t>
      </w:r>
      <w:r>
        <w:rPr>
          <w:rFonts w:hint="eastAsia" w:ascii="宋体" w:hAnsi="宋体"/>
          <w:color w:val="auto"/>
          <w:sz w:val="21"/>
          <w:szCs w:val="21"/>
          <w:highlight w:val="none"/>
        </w:rPr>
        <w:t>决定响应文件的响应性只根据响应文件本身的真实无误的内容，而不依据外部的证据。</w:t>
      </w:r>
    </w:p>
    <w:p>
      <w:pPr>
        <w:pStyle w:val="22"/>
        <w:adjustRightInd w:val="0"/>
        <w:snapToGrid w:val="0"/>
        <w:spacing w:line="360" w:lineRule="auto"/>
        <w:rPr>
          <w:rFonts w:hint="eastAsia" w:cs="宋体"/>
          <w:b/>
          <w:color w:val="auto"/>
          <w:kern w:val="0"/>
          <w:highlight w:val="none"/>
        </w:rPr>
      </w:pPr>
      <w:r>
        <w:rPr>
          <w:rFonts w:hint="eastAsia" w:cs="宋体"/>
          <w:b/>
          <w:color w:val="auto"/>
          <w:kern w:val="0"/>
          <w:highlight w:val="none"/>
        </w:rPr>
        <w:t xml:space="preserve">28.无效响应 </w:t>
      </w:r>
    </w:p>
    <w:p>
      <w:pPr>
        <w:pStyle w:val="22"/>
        <w:adjustRightInd w:val="0"/>
        <w:snapToGrid w:val="0"/>
        <w:spacing w:line="360" w:lineRule="auto"/>
        <w:ind w:firstLine="411" w:firstLineChars="196"/>
        <w:rPr>
          <w:rFonts w:hint="eastAsia" w:hAnsi="宋体" w:cs="宋体"/>
          <w:b/>
          <w:color w:val="auto"/>
          <w:kern w:val="0"/>
          <w:highlight w:val="none"/>
        </w:rPr>
      </w:pPr>
      <w:r>
        <w:rPr>
          <w:rFonts w:hint="eastAsia" w:cs="宋体"/>
          <w:color w:val="auto"/>
          <w:kern w:val="0"/>
          <w:highlight w:val="none"/>
        </w:rPr>
        <w:t>28.1</w:t>
      </w:r>
      <w:r>
        <w:rPr>
          <w:rFonts w:hint="eastAsia"/>
          <w:color w:val="auto"/>
          <w:highlight w:val="none"/>
        </w:rPr>
        <w:t>磋商小组在对资格性和符合性进行审查时，有下列情况之一的，属无效响应，</w:t>
      </w:r>
      <w:r>
        <w:rPr>
          <w:rFonts w:hint="eastAsia" w:cs="宋体"/>
          <w:color w:val="auto"/>
          <w:kern w:val="0"/>
          <w:highlight w:val="none"/>
        </w:rPr>
        <w:t>磋商小组应当告知有关供应商</w:t>
      </w:r>
      <w:r>
        <w:rPr>
          <w:rFonts w:hint="eastAsia"/>
          <w:color w:val="auto"/>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（2）联合体不符合本章第3.2款规定的；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（4）响应文件未按照磋商文件要求签署、盖章的；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（5）报价超过采购项目预算的；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（6）响应文件有效期不足的；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（7）响应文件不符合法律、规章、规范性文件和磋商文件规定及要求的。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29.澄清</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29.2 最后报价计算错误修正的原则：最后报价</w:t>
      </w:r>
      <w:r>
        <w:rPr>
          <w:rFonts w:hint="eastAsia" w:ascii="宋体" w:hAnsi="宋体" w:cs="Arial"/>
          <w:color w:val="auto"/>
          <w:kern w:val="0"/>
          <w:sz w:val="21"/>
          <w:szCs w:val="21"/>
          <w:highlight w:val="none"/>
        </w:rPr>
        <w:t>的大写金额和小写金额不一致的，以大写金额为准。</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30.磋商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rPr>
        <w:t>30.1</w:t>
      </w:r>
      <w:r>
        <w:rPr>
          <w:rFonts w:hint="eastAsia" w:ascii="宋体" w:hAnsi="宋体"/>
          <w:color w:val="auto"/>
          <w:sz w:val="21"/>
          <w:szCs w:val="21"/>
          <w:highlight w:val="none"/>
        </w:rPr>
        <w:t>本章第10.2项</w:t>
      </w:r>
      <w:r>
        <w:rPr>
          <w:rFonts w:hint="eastAsia" w:ascii="宋体" w:hAnsi="宋体" w:cs="宋体"/>
          <w:color w:val="auto"/>
          <w:kern w:val="0"/>
          <w:sz w:val="21"/>
          <w:szCs w:val="21"/>
          <w:highlight w:val="none"/>
        </w:rPr>
        <w:t>未明确磋商文件实质性变动内容的，或者磋商文件明确了可能发生实质性变动内容，但在磋商过程中，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（2）磋商文件明确可能发生实质性变动，但在磋商过程中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30.2</w:t>
      </w:r>
      <w:r>
        <w:rPr>
          <w:rFonts w:hint="eastAsia" w:ascii="宋体" w:hAnsi="宋体"/>
          <w:color w:val="auto"/>
          <w:sz w:val="21"/>
          <w:szCs w:val="21"/>
          <w:highlight w:val="none"/>
        </w:rPr>
        <w:t>本章第10.2</w:t>
      </w:r>
      <w:r>
        <w:rPr>
          <w:rFonts w:hint="eastAsia" w:ascii="宋体" w:hAnsi="宋体" w:cs="宋体"/>
          <w:color w:val="auto"/>
          <w:kern w:val="0"/>
          <w:sz w:val="21"/>
          <w:szCs w:val="21"/>
          <w:highlight w:val="none"/>
          <w:lang w:val="zh-CN"/>
        </w:rPr>
        <w:t>款</w:t>
      </w:r>
      <w:r>
        <w:rPr>
          <w:rFonts w:hint="eastAsia" w:ascii="宋体" w:hAnsi="宋体" w:cs="宋体"/>
          <w:color w:val="auto"/>
          <w:kern w:val="0"/>
          <w:sz w:val="21"/>
          <w:szCs w:val="21"/>
          <w:highlight w:val="none"/>
        </w:rPr>
        <w:t>明确磋商文件实质性变动内容的，</w:t>
      </w:r>
      <w:r>
        <w:rPr>
          <w:rFonts w:hint="eastAsia" w:ascii="宋体" w:hAnsi="宋体"/>
          <w:bCs/>
          <w:color w:val="auto"/>
          <w:sz w:val="21"/>
          <w:szCs w:val="21"/>
          <w:highlight w:val="none"/>
        </w:rPr>
        <w:t>磋商小组</w:t>
      </w:r>
      <w:r>
        <w:rPr>
          <w:rFonts w:hint="eastAsia" w:ascii="宋体" w:hAnsi="宋体" w:cs="宋体"/>
          <w:color w:val="auto"/>
          <w:kern w:val="0"/>
          <w:sz w:val="21"/>
          <w:szCs w:val="21"/>
          <w:highlight w:val="none"/>
        </w:rPr>
        <w:t>可以组织多轮磋商。</w:t>
      </w:r>
      <w:r>
        <w:rPr>
          <w:rFonts w:hint="eastAsia" w:ascii="宋体" w:hAnsi="宋体"/>
          <w:bCs/>
          <w:color w:val="auto"/>
          <w:sz w:val="21"/>
          <w:szCs w:val="21"/>
          <w:highlight w:val="none"/>
        </w:rPr>
        <w:t>在每一轮磋商中，磋商小组</w:t>
      </w:r>
      <w:r>
        <w:rPr>
          <w:rFonts w:hint="eastAsia" w:ascii="宋体" w:hAnsi="宋体" w:cs="宋体"/>
          <w:color w:val="auto"/>
          <w:kern w:val="0"/>
          <w:sz w:val="21"/>
          <w:szCs w:val="21"/>
          <w:highlight w:val="none"/>
        </w:rPr>
        <w:t>可以</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磋商文件规定和磋商情况，</w:t>
      </w:r>
      <w:r>
        <w:rPr>
          <w:rFonts w:hint="eastAsia" w:ascii="宋体" w:hAnsi="宋体"/>
          <w:bCs/>
          <w:color w:val="auto"/>
          <w:sz w:val="21"/>
          <w:szCs w:val="21"/>
          <w:highlight w:val="none"/>
        </w:rPr>
        <w:t>对磋商文件的</w:t>
      </w:r>
      <w:r>
        <w:rPr>
          <w:rFonts w:hint="eastAsia" w:ascii="宋体" w:hAnsi="宋体" w:cs="宋体"/>
          <w:color w:val="auto"/>
          <w:kern w:val="0"/>
          <w:sz w:val="21"/>
          <w:szCs w:val="21"/>
          <w:highlight w:val="none"/>
        </w:rPr>
        <w:t>采购需求中的技术、服务要求以及合同草案条款</w:t>
      </w:r>
      <w:r>
        <w:rPr>
          <w:rFonts w:hint="eastAsia" w:ascii="宋体" w:hAnsi="宋体"/>
          <w:bCs/>
          <w:color w:val="auto"/>
          <w:sz w:val="21"/>
          <w:szCs w:val="21"/>
          <w:highlight w:val="none"/>
        </w:rPr>
        <w:t>作实质性变动(磋商文件的实质性变动内容为磋商文件的组成部分)，并以书面形式要求</w:t>
      </w:r>
      <w:r>
        <w:rPr>
          <w:rFonts w:hint="eastAsia" w:ascii="宋体" w:hAnsi="宋体" w:cs="宋体"/>
          <w:color w:val="auto"/>
          <w:kern w:val="0"/>
          <w:sz w:val="21"/>
          <w:szCs w:val="21"/>
          <w:highlight w:val="none"/>
        </w:rPr>
        <w:t>响应文件审查合格</w:t>
      </w:r>
      <w:r>
        <w:rPr>
          <w:rFonts w:hint="eastAsia" w:ascii="宋体" w:hAnsi="宋体"/>
          <w:bCs/>
          <w:color w:val="auto"/>
          <w:sz w:val="21"/>
          <w:szCs w:val="21"/>
          <w:highlight w:val="none"/>
        </w:rPr>
        <w:t>的供应商，在规定的</w:t>
      </w:r>
      <w:r>
        <w:rPr>
          <w:rFonts w:hint="eastAsia" w:ascii="宋体" w:hAnsi="宋体" w:cs="宋体"/>
          <w:color w:val="auto"/>
          <w:kern w:val="0"/>
          <w:sz w:val="21"/>
          <w:szCs w:val="21"/>
          <w:highlight w:val="none"/>
        </w:rPr>
        <w:t>截止时间前</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新提交响应文件</w:t>
      </w:r>
      <w:r>
        <w:rPr>
          <w:rFonts w:hint="eastAsia" w:ascii="宋体" w:hAnsi="宋体"/>
          <w:bCs/>
          <w:color w:val="auto"/>
          <w:sz w:val="21"/>
          <w:szCs w:val="21"/>
          <w:highlight w:val="none"/>
        </w:rPr>
        <w:t>。</w:t>
      </w:r>
      <w:r>
        <w:rPr>
          <w:rFonts w:hint="eastAsia" w:ascii="宋体" w:hAnsi="宋体" w:cs="宋体"/>
          <w:color w:val="auto"/>
          <w:kern w:val="0"/>
          <w:sz w:val="21"/>
          <w:szCs w:val="21"/>
          <w:highlight w:val="none"/>
        </w:rPr>
        <w:t>磋商小组应当</w:t>
      </w:r>
      <w:r>
        <w:rPr>
          <w:rFonts w:hint="eastAsia" w:ascii="宋体" w:hAnsi="宋体"/>
          <w:color w:val="auto"/>
          <w:sz w:val="21"/>
          <w:szCs w:val="21"/>
          <w:highlight w:val="none"/>
        </w:rPr>
        <w:t>根据本章第26.2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bCs/>
          <w:color w:val="auto"/>
          <w:sz w:val="21"/>
          <w:szCs w:val="21"/>
          <w:highlight w:val="none"/>
        </w:rPr>
        <w:t>30.3</w:t>
      </w:r>
      <w:r>
        <w:rPr>
          <w:rFonts w:hint="eastAsia" w:ascii="宋体" w:hAnsi="宋体"/>
          <w:color w:val="auto"/>
          <w:sz w:val="21"/>
          <w:szCs w:val="21"/>
          <w:highlight w:val="none"/>
        </w:rPr>
        <w:t xml:space="preserve"> </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w:t>
      </w:r>
      <w:r>
        <w:rPr>
          <w:rFonts w:hint="eastAsia" w:ascii="宋体" w:hAnsi="宋体"/>
          <w:color w:val="auto"/>
          <w:sz w:val="21"/>
          <w:szCs w:val="21"/>
          <w:highlight w:val="none"/>
        </w:rPr>
        <w:t>或者最后报价应按</w:t>
      </w:r>
      <w:r>
        <w:rPr>
          <w:rFonts w:hint="eastAsia" w:ascii="宋体" w:hAnsi="宋体" w:cs="宋体"/>
          <w:color w:val="auto"/>
          <w:kern w:val="0"/>
          <w:sz w:val="21"/>
          <w:szCs w:val="21"/>
          <w:highlight w:val="none"/>
        </w:rPr>
        <w:t>本章第</w:t>
      </w:r>
      <w:r>
        <w:rPr>
          <w:rFonts w:hint="eastAsia" w:ascii="宋体" w:hAnsi="宋体"/>
          <w:color w:val="auto"/>
          <w:sz w:val="21"/>
          <w:szCs w:val="21"/>
          <w:highlight w:val="none"/>
        </w:rPr>
        <w:t>21.3</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由其法定代表人或其委托代理人签字或者加盖供应商单位章，在规定时间内密封递交给磋商小组</w:t>
      </w:r>
      <w:r>
        <w:rPr>
          <w:rFonts w:hint="eastAsia" w:ascii="宋体" w:hAnsi="宋体"/>
          <w:bCs/>
          <w:color w:val="auto"/>
          <w:sz w:val="21"/>
          <w:szCs w:val="21"/>
          <w:highlight w:val="none"/>
        </w:rPr>
        <w:t>。</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w:t>
      </w:r>
      <w:r>
        <w:rPr>
          <w:rFonts w:hint="eastAsia" w:ascii="宋体" w:hAnsi="宋体" w:cs="宋体"/>
          <w:color w:val="auto"/>
          <w:kern w:val="0"/>
          <w:sz w:val="21"/>
          <w:szCs w:val="21"/>
          <w:highlight w:val="none"/>
          <w:lang w:val="zh-CN"/>
        </w:rPr>
        <w:t>供应商的</w:t>
      </w:r>
      <w:r>
        <w:rPr>
          <w:rFonts w:hint="eastAsia" w:ascii="宋体" w:hAnsi="宋体"/>
          <w:bCs/>
          <w:color w:val="auto"/>
          <w:sz w:val="21"/>
          <w:szCs w:val="21"/>
          <w:highlight w:val="none"/>
        </w:rPr>
        <w:t>最</w:t>
      </w:r>
      <w:r>
        <w:rPr>
          <w:rFonts w:hint="eastAsia" w:ascii="宋体" w:hAnsi="宋体" w:cs="宋体"/>
          <w:color w:val="auto"/>
          <w:kern w:val="0"/>
          <w:sz w:val="21"/>
          <w:szCs w:val="21"/>
          <w:highlight w:val="none"/>
          <w:lang w:val="zh-CN"/>
        </w:rPr>
        <w:t>后</w:t>
      </w:r>
      <w:r>
        <w:rPr>
          <w:rFonts w:hint="eastAsia" w:ascii="宋体" w:hAnsi="宋体"/>
          <w:bCs/>
          <w:color w:val="auto"/>
          <w:sz w:val="21"/>
          <w:szCs w:val="21"/>
          <w:highlight w:val="none"/>
        </w:rPr>
        <w:t>报价及</w:t>
      </w:r>
      <w:r>
        <w:rPr>
          <w:rFonts w:hint="eastAsia" w:ascii="宋体" w:hAnsi="宋体" w:cs="宋体"/>
          <w:color w:val="auto"/>
          <w:kern w:val="0"/>
          <w:sz w:val="21"/>
          <w:szCs w:val="21"/>
          <w:highlight w:val="none"/>
        </w:rPr>
        <w:t>政府采购政策规定的价格扣除情况，磋商小组应召集所有参加最后报价的供应商当场开封</w:t>
      </w:r>
      <w:r>
        <w:rPr>
          <w:rFonts w:hint="eastAsia" w:ascii="宋体" w:hAnsi="宋体"/>
          <w:bCs/>
          <w:color w:val="auto"/>
          <w:sz w:val="21"/>
          <w:szCs w:val="21"/>
          <w:highlight w:val="none"/>
        </w:rPr>
        <w:t>公布，并由供应商代表签字确认。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30.5提交首次响应文件的供应商，在提交最后报价之前，可以根据磋商情况退出磋商，并书面通知采购代理机构或者磋商小组。</w:t>
      </w:r>
      <w:r>
        <w:rPr>
          <w:rFonts w:hint="eastAsia" w:ascii="宋体" w:hAnsi="宋体"/>
          <w:color w:val="auto"/>
          <w:sz w:val="21"/>
          <w:szCs w:val="21"/>
          <w:highlight w:val="none"/>
        </w:rPr>
        <w:t>该通知由供应商法定代表人或其委托代理人签字。</w:t>
      </w:r>
      <w:r>
        <w:rPr>
          <w:rFonts w:hint="eastAsia" w:ascii="宋体" w:hAnsi="宋体" w:cs="宋体"/>
          <w:color w:val="auto"/>
          <w:kern w:val="0"/>
          <w:sz w:val="21"/>
          <w:szCs w:val="21"/>
          <w:highlight w:val="none"/>
        </w:rPr>
        <w:t>采购代理机构按本章第</w:t>
      </w:r>
      <w:r>
        <w:rPr>
          <w:rFonts w:hint="eastAsia" w:ascii="宋体" w:hAnsi="宋体"/>
          <w:color w:val="auto"/>
          <w:sz w:val="21"/>
          <w:szCs w:val="21"/>
          <w:highlight w:val="none"/>
        </w:rPr>
        <w:t>19.4</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退还退出磋商的供应商的磋商保证金。</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bCs/>
          <w:color w:val="auto"/>
          <w:sz w:val="21"/>
          <w:szCs w:val="21"/>
          <w:highlight w:val="none"/>
        </w:rPr>
        <w:t>30.6</w:t>
      </w:r>
      <w:r>
        <w:rPr>
          <w:rFonts w:hint="eastAsia" w:ascii="宋体" w:hAnsi="宋体" w:cs="宋体"/>
          <w:color w:val="auto"/>
          <w:kern w:val="0"/>
          <w:sz w:val="21"/>
          <w:szCs w:val="21"/>
          <w:highlight w:val="none"/>
        </w:rPr>
        <w:t>提交首次响应文件的供应商，未按磋商文件规定及磋商小组要求提交最后报价(或者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新提交的响应文件和最后报价)，且又未按本章第</w:t>
      </w:r>
      <w:r>
        <w:rPr>
          <w:rFonts w:hint="eastAsia" w:ascii="宋体" w:hAnsi="宋体"/>
          <w:color w:val="auto"/>
          <w:sz w:val="21"/>
          <w:szCs w:val="21"/>
          <w:highlight w:val="none"/>
        </w:rPr>
        <w:t>30.5</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退出磋商的，供应商的磋商保证金不予退还。</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31.响应文件评审</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 w:val="21"/>
          <w:szCs w:val="21"/>
          <w:highlight w:val="none"/>
        </w:rPr>
        <w:t>磋商须知前附表。</w:t>
      </w:r>
    </w:p>
    <w:p>
      <w:pPr>
        <w:widowControl/>
        <w:adjustRightInd w:val="0"/>
        <w:snapToGrid w:val="0"/>
        <w:spacing w:before="156" w:beforeLines="50" w:line="360" w:lineRule="auto"/>
        <w:ind w:firstLine="420" w:firstLineChars="20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31.3</w:t>
      </w:r>
      <w:r>
        <w:rPr>
          <w:rFonts w:hint="eastAsia" w:ascii="宋体" w:hAnsi="宋体"/>
          <w:color w:val="auto"/>
          <w:sz w:val="21"/>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bCs/>
          <w:color w:val="auto"/>
          <w:sz w:val="21"/>
          <w:szCs w:val="21"/>
          <w:highlight w:val="none"/>
        </w:rPr>
        <w:t>31.5</w:t>
      </w:r>
      <w:r>
        <w:rPr>
          <w:rFonts w:hint="eastAsia" w:ascii="宋体" w:hAnsi="宋体"/>
          <w:color w:val="auto"/>
          <w:sz w:val="21"/>
          <w:szCs w:val="21"/>
          <w:highlight w:val="none"/>
        </w:rPr>
        <w:t>涉及政府采购政策优惠对供应商分值进行调整的，</w:t>
      </w:r>
      <w:r>
        <w:rPr>
          <w:rFonts w:hint="eastAsia" w:ascii="宋体" w:hAnsi="宋体"/>
          <w:bCs/>
          <w:color w:val="auto"/>
          <w:sz w:val="21"/>
          <w:szCs w:val="21"/>
          <w:highlight w:val="none"/>
        </w:rPr>
        <w:t>按</w:t>
      </w:r>
      <w:r>
        <w:rPr>
          <w:rFonts w:hint="eastAsia" w:ascii="宋体" w:hAnsi="宋体"/>
          <w:b/>
          <w:color w:val="auto"/>
          <w:sz w:val="21"/>
          <w:szCs w:val="21"/>
          <w:highlight w:val="none"/>
        </w:rPr>
        <w:t>磋商须知前附表</w:t>
      </w:r>
      <w:r>
        <w:rPr>
          <w:rFonts w:hint="eastAsia" w:ascii="宋体" w:hAnsi="宋体"/>
          <w:bCs/>
          <w:color w:val="auto"/>
          <w:sz w:val="21"/>
          <w:szCs w:val="21"/>
          <w:highlight w:val="none"/>
        </w:rPr>
        <w:t>规定</w:t>
      </w:r>
      <w:r>
        <w:rPr>
          <w:rFonts w:hint="eastAsia" w:ascii="宋体" w:hAnsi="宋体"/>
          <w:color w:val="auto"/>
          <w:sz w:val="21"/>
          <w:szCs w:val="21"/>
          <w:highlight w:val="none"/>
        </w:rPr>
        <w:t>调整供应商的技术、商务、价格</w:t>
      </w:r>
      <w:r>
        <w:rPr>
          <w:rFonts w:hint="eastAsia" w:ascii="宋体" w:hAnsi="宋体" w:cs="宋体"/>
          <w:color w:val="auto"/>
          <w:kern w:val="0"/>
          <w:sz w:val="21"/>
          <w:szCs w:val="21"/>
          <w:highlight w:val="none"/>
        </w:rPr>
        <w:t>得分或总得分</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31.6涉及多处或部分获得政府采购政策优惠的，其多处或部分享受政府采购优惠政策的计算方法见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相关规定。</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s="宋体"/>
          <w:color w:val="auto"/>
          <w:kern w:val="0"/>
          <w:sz w:val="21"/>
          <w:szCs w:val="21"/>
          <w:highlight w:val="none"/>
        </w:rPr>
        <w:t>31.7</w:t>
      </w:r>
      <w:r>
        <w:rPr>
          <w:rFonts w:hint="eastAsia" w:ascii="宋体" w:hAnsi="宋体"/>
          <w:color w:val="auto"/>
          <w:sz w:val="21"/>
          <w:szCs w:val="21"/>
          <w:highlight w:val="none"/>
        </w:rPr>
        <w:t>评审时，磋商小组各成员应当独立对每个供应商的</w:t>
      </w:r>
      <w:r>
        <w:rPr>
          <w:rFonts w:hint="eastAsia" w:ascii="宋体" w:hAnsi="宋体"/>
          <w:bCs/>
          <w:color w:val="auto"/>
          <w:sz w:val="21"/>
          <w:szCs w:val="21"/>
          <w:highlight w:val="none"/>
        </w:rPr>
        <w:t>响应文件</w:t>
      </w:r>
      <w:r>
        <w:rPr>
          <w:rFonts w:hint="eastAsia" w:ascii="宋体" w:hAnsi="宋体"/>
          <w:color w:val="auto"/>
          <w:sz w:val="21"/>
          <w:szCs w:val="21"/>
          <w:highlight w:val="none"/>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b/>
          <w:bCs/>
          <w:color w:val="auto"/>
          <w:sz w:val="21"/>
          <w:szCs w:val="21"/>
          <w:highlight w:val="none"/>
        </w:rPr>
        <w:t>32</w:t>
      </w:r>
      <w:r>
        <w:rPr>
          <w:rFonts w:hint="eastAsia" w:ascii="宋体" w:hAnsi="宋体" w:cs="宋体"/>
          <w:b/>
          <w:color w:val="auto"/>
          <w:kern w:val="0"/>
          <w:sz w:val="21"/>
          <w:szCs w:val="21"/>
          <w:highlight w:val="none"/>
        </w:rPr>
        <w:t>.</w:t>
      </w:r>
      <w:r>
        <w:rPr>
          <w:rFonts w:hint="eastAsia" w:ascii="宋体" w:hAnsi="宋体"/>
          <w:b/>
          <w:bCs/>
          <w:color w:val="auto"/>
          <w:sz w:val="21"/>
          <w:szCs w:val="21"/>
          <w:highlight w:val="none"/>
        </w:rPr>
        <w:t>提出成交供应商</w:t>
      </w:r>
    </w:p>
    <w:p>
      <w:pPr>
        <w:widowControl/>
        <w:spacing w:line="420" w:lineRule="atLeas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32.1</w:t>
      </w:r>
      <w:r>
        <w:rPr>
          <w:rFonts w:hint="eastAsia" w:ascii="宋体" w:hAnsi="宋体"/>
          <w:bCs/>
          <w:color w:val="auto"/>
          <w:sz w:val="21"/>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 w:val="21"/>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auto"/>
          <w:sz w:val="21"/>
          <w:szCs w:val="21"/>
          <w:highlight w:val="none"/>
        </w:rPr>
        <w:t>可以推荐2家成交候选供应商。</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33.确定成交供应商</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2"/>
        <w:adjustRightInd w:val="0"/>
        <w:snapToGrid w:val="0"/>
        <w:spacing w:line="360" w:lineRule="auto"/>
        <w:ind w:left="632" w:hanging="632" w:hangingChars="300"/>
        <w:rPr>
          <w:rFonts w:hint="eastAsia" w:hAnsi="宋体"/>
          <w:b/>
          <w:color w:val="auto"/>
          <w:highlight w:val="none"/>
        </w:rPr>
      </w:pPr>
      <w:r>
        <w:rPr>
          <w:rFonts w:hint="eastAsia" w:hAnsi="宋体"/>
          <w:b/>
          <w:color w:val="auto"/>
          <w:highlight w:val="none"/>
        </w:rPr>
        <w:t>34.磋商终止</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bCs/>
          <w:color w:val="auto"/>
          <w:sz w:val="21"/>
          <w:szCs w:val="21"/>
          <w:highlight w:val="none"/>
        </w:rPr>
        <w:t>34.1</w:t>
      </w:r>
      <w:r>
        <w:rPr>
          <w:rFonts w:hint="eastAsia" w:ascii="宋体" w:hAnsi="宋体" w:cs="宋体"/>
          <w:color w:val="auto"/>
          <w:kern w:val="0"/>
          <w:sz w:val="21"/>
          <w:szCs w:val="21"/>
          <w:highlight w:val="none"/>
        </w:rPr>
        <w:t>出现下列情形之一的，采购人或者采购代理机构应当终止竞争性磋商采购活动，</w:t>
      </w:r>
      <w:r>
        <w:rPr>
          <w:rFonts w:hint="eastAsia" w:ascii="宋体" w:hAnsi="宋体"/>
          <w:color w:val="auto"/>
          <w:sz w:val="21"/>
          <w:szCs w:val="21"/>
          <w:highlight w:val="none"/>
        </w:rPr>
        <w:t>在本章第37.1款指定的媒体上</w:t>
      </w:r>
      <w:r>
        <w:rPr>
          <w:rFonts w:hint="eastAsia" w:ascii="宋体" w:hAnsi="宋体" w:cs="宋体"/>
          <w:color w:val="auto"/>
          <w:kern w:val="0"/>
          <w:sz w:val="21"/>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（2）出现影响采购公正的违法、违规行为的；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w:t>
      </w:r>
      <w:r>
        <w:rPr>
          <w:rFonts w:hint="eastAsia" w:ascii="宋体" w:hAnsi="宋体"/>
          <w:bCs/>
          <w:color w:val="auto"/>
          <w:sz w:val="21"/>
          <w:szCs w:val="21"/>
          <w:highlight w:val="none"/>
        </w:rPr>
        <w:t>除《政府采购竞争性磋商采购方式管理暂行办法》(财库〔2014〕214号)</w:t>
      </w:r>
      <w:r>
        <w:rPr>
          <w:rFonts w:hint="eastAsia" w:ascii="宋体" w:hAnsi="宋体" w:cs="宋体"/>
          <w:color w:val="auto"/>
          <w:kern w:val="0"/>
          <w:sz w:val="21"/>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auto"/>
          <w:sz w:val="21"/>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（4）因重大变故，采购任务取消的。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35．重新评审</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36.保密及串通行为</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36.2</w:t>
      </w:r>
      <w:r>
        <w:rPr>
          <w:rFonts w:hint="eastAsia" w:ascii="宋体" w:hAnsi="宋体" w:cs="宋体"/>
          <w:color w:val="auto"/>
          <w:kern w:val="0"/>
          <w:sz w:val="21"/>
          <w:szCs w:val="21"/>
          <w:highlight w:val="none"/>
        </w:rPr>
        <w:t>供应商</w:t>
      </w:r>
      <w:r>
        <w:rPr>
          <w:rFonts w:hint="eastAsia" w:ascii="宋体" w:hAnsi="宋体"/>
          <w:color w:val="auto"/>
          <w:sz w:val="21"/>
          <w:szCs w:val="21"/>
          <w:highlight w:val="none"/>
        </w:rPr>
        <w:t>不得与</w:t>
      </w:r>
      <w:r>
        <w:rPr>
          <w:rFonts w:hint="eastAsia" w:ascii="宋体" w:hAnsi="宋体" w:cs="宋体"/>
          <w:color w:val="auto"/>
          <w:kern w:val="0"/>
          <w:sz w:val="21"/>
          <w:szCs w:val="21"/>
          <w:highlight w:val="none"/>
        </w:rPr>
        <w:t>采购人、采购代理机构、其他供应商恶意</w:t>
      </w:r>
      <w:r>
        <w:rPr>
          <w:rFonts w:hint="eastAsia" w:ascii="宋体" w:hAnsi="宋体"/>
          <w:color w:val="auto"/>
          <w:sz w:val="21"/>
          <w:szCs w:val="21"/>
          <w:highlight w:val="none"/>
        </w:rPr>
        <w:t>串通；不得向</w:t>
      </w:r>
      <w:r>
        <w:rPr>
          <w:rFonts w:hint="eastAsia" w:ascii="宋体" w:hAnsi="宋体" w:cs="宋体"/>
          <w:color w:val="auto"/>
          <w:kern w:val="0"/>
          <w:sz w:val="21"/>
          <w:szCs w:val="21"/>
          <w:highlight w:val="none"/>
        </w:rPr>
        <w:t>采购人、采购代理机构</w:t>
      </w:r>
      <w:r>
        <w:rPr>
          <w:rFonts w:hint="eastAsia" w:ascii="宋体" w:hAnsi="宋体"/>
          <w:color w:val="auto"/>
          <w:sz w:val="21"/>
          <w:szCs w:val="21"/>
          <w:highlight w:val="none"/>
        </w:rPr>
        <w:t>或者磋商小组成员行贿或者提供其他不正当利益；不得提供虚假资料谋取成交；不得以任何方式干扰、影响采购工作。</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s="Arial"/>
          <w:color w:val="auto"/>
          <w:sz w:val="21"/>
          <w:szCs w:val="21"/>
          <w:highlight w:val="none"/>
        </w:rPr>
        <w:t>36.3</w:t>
      </w:r>
      <w:r>
        <w:rPr>
          <w:rFonts w:hint="eastAsia"/>
          <w:color w:val="auto"/>
          <w:sz w:val="21"/>
          <w:szCs w:val="21"/>
          <w:highlight w:val="none"/>
          <w:lang w:val="zh-CN"/>
        </w:rPr>
        <w:t>有下列情形之一的，属于恶意串通，对供应商依照政府采购法第七十七条第一款的规定追究法律责任：</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（一）供应商直接或者间接从采购人或者采购代理机构处获得其他供应商的相关情况并修改其投标文件或者响应文件；</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（二）供应商按照采购人或者采购代理机构的授意撤换、修改投标文件或者响应文件；</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（三）供应商之间协商报价、技术方案等投标文件或者响应文件的实质性内容；</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（四）属于同一集团、协会、商会等组织成员的供应商按照该组织要求协同参加政府采购活动；</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（五）供应商之间事先约定由某一特定供应商中标、成交；</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（六）供应商之间商定部分供应商放弃参加政府采购活动或者放弃中标、成交；</w:t>
      </w:r>
    </w:p>
    <w:p>
      <w:pPr>
        <w:pStyle w:val="36"/>
        <w:adjustRightInd w:val="0"/>
        <w:snapToGrid w:val="0"/>
        <w:spacing w:before="0" w:beforeAutospacing="0" w:after="0" w:afterAutospacing="0" w:line="360" w:lineRule="auto"/>
        <w:ind w:firstLine="420" w:firstLineChars="200"/>
        <w:rPr>
          <w:color w:val="auto"/>
          <w:sz w:val="21"/>
          <w:szCs w:val="21"/>
          <w:highlight w:val="none"/>
          <w:lang w:val="zh-CN"/>
        </w:rPr>
      </w:pPr>
      <w:r>
        <w:rPr>
          <w:rFonts w:hint="eastAsia"/>
          <w:color w:val="auto"/>
          <w:sz w:val="21"/>
          <w:szCs w:val="21"/>
          <w:highlight w:val="none"/>
          <w:lang w:val="zh-CN"/>
        </w:rPr>
        <w:t>（七）供应商与采购人或者采购代理机构之间、供应商相互之间，为谋求特定供应商中标、成交或者排斥其他供应商的其他串通行为。</w:t>
      </w:r>
    </w:p>
    <w:p>
      <w:pPr>
        <w:pStyle w:val="4"/>
        <w:jc w:val="left"/>
        <w:rPr>
          <w:rFonts w:hint="eastAsia"/>
          <w:color w:val="auto"/>
          <w:sz w:val="21"/>
          <w:szCs w:val="21"/>
          <w:highlight w:val="none"/>
        </w:rPr>
      </w:pPr>
      <w:r>
        <w:rPr>
          <w:rFonts w:hint="eastAsia"/>
          <w:color w:val="auto"/>
          <w:sz w:val="21"/>
          <w:szCs w:val="21"/>
          <w:highlight w:val="none"/>
        </w:rPr>
        <w:t>六、成交结果信息公布与授予合同</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37.成交信息的公布</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37.1成交供应商确定后2个工作日内，成交结果信息将在</w:t>
      </w:r>
      <w:r>
        <w:rPr>
          <w:rFonts w:hint="eastAsia" w:hAnsi="宋体"/>
          <w:b/>
          <w:color w:val="auto"/>
          <w:highlight w:val="none"/>
        </w:rPr>
        <w:t>磋商须知前附表</w:t>
      </w:r>
      <w:r>
        <w:rPr>
          <w:rFonts w:hint="eastAsia" w:hAnsi="宋体"/>
          <w:color w:val="auto"/>
          <w:highlight w:val="none"/>
        </w:rPr>
        <w:t>指定的媒体上公布。</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38.询问及质疑</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39.成交通知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39.1成交供应商确定后，采购人或采购代理机构将以书面形式向成交供应商发出成交通知书。成交通知书对采购人和成交供应商具有同等法律效力。</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 xml:space="preserve">39.3 </w:t>
      </w:r>
      <w:r>
        <w:rPr>
          <w:rFonts w:hint="eastAsia" w:ascii="宋体" w:hAnsi="宋体"/>
          <w:color w:val="auto"/>
          <w:sz w:val="21"/>
          <w:szCs w:val="21"/>
          <w:highlight w:val="none"/>
        </w:rPr>
        <w:t>成交供应商在收到采购代理机构的成交通知书后10日内，应按照</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的规定，向采购人提交履约担保。联合体成交的，履约担保由联合体各方或联合体中牵头人的名义提交。</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39.4 成交供应商</w:t>
      </w:r>
      <w:r>
        <w:rPr>
          <w:rFonts w:hint="eastAsia" w:hAnsi="宋体"/>
          <w:color w:val="auto"/>
          <w:spacing w:val="4"/>
          <w:highlight w:val="none"/>
        </w:rPr>
        <w:t>没有按照本章第39.3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40.签订合同</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40.1成交供应商应当在成交通知书发出之日起30日内与采购人签订政府采购合同。</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40.2磋商文件、成交供应商的响应文件等均为签订政府采购合同的依据。</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40.3 成交供应商应当按照合同约定履行义务。成交供应商不得向他人转让成交项目，也不得将成交项目分包后分别向他人转让。</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40.4 成交供应商有下列情形之一的，责令限期改正，情节严重的，列入不良行为记录名单，在1至3年内禁止参加政府采购活动，并予以通报：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（一）成交后无正当理由不与采购人签订合同的；</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（二）未按照采购文件确定的事项签订政府采购合同，或者与采购人另行订立背离合同实质性内容的协议的；</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（三）拒绝履行合同义务的；</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hAnsi="宋体"/>
          <w:color w:val="auto"/>
          <w:highlight w:val="none"/>
        </w:rPr>
        <w:t>（四）</w:t>
      </w:r>
      <w:r>
        <w:rPr>
          <w:rFonts w:hint="eastAsia" w:hAnsi="宋体" w:cs="宋体"/>
          <w:color w:val="auto"/>
          <w:kern w:val="0"/>
          <w:highlight w:val="none"/>
        </w:rPr>
        <w:t>违反法律、规章、规范性文件规定的。</w:t>
      </w:r>
    </w:p>
    <w:p>
      <w:pPr>
        <w:pStyle w:val="4"/>
        <w:jc w:val="left"/>
        <w:rPr>
          <w:rFonts w:hint="eastAsia"/>
          <w:color w:val="auto"/>
          <w:sz w:val="21"/>
          <w:szCs w:val="21"/>
          <w:highlight w:val="none"/>
        </w:rPr>
      </w:pPr>
      <w:r>
        <w:rPr>
          <w:rFonts w:hint="eastAsia"/>
          <w:color w:val="auto"/>
          <w:sz w:val="21"/>
          <w:szCs w:val="21"/>
          <w:highlight w:val="none"/>
        </w:rPr>
        <w:t>七、其他规定</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41.1采购代理机构应按</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hAnsi="宋体"/>
          <w:b/>
          <w:color w:val="auto"/>
          <w:sz w:val="21"/>
          <w:szCs w:val="21"/>
          <w:highlight w:val="none"/>
        </w:rPr>
      </w:pPr>
      <w:r>
        <w:rPr>
          <w:rFonts w:hint="eastAsia" w:ascii="宋体" w:hAnsi="宋体"/>
          <w:b/>
          <w:color w:val="auto"/>
          <w:sz w:val="21"/>
          <w:szCs w:val="21"/>
          <w:highlight w:val="none"/>
        </w:rPr>
        <w:t>42.</w:t>
      </w:r>
      <w:r>
        <w:rPr>
          <w:rFonts w:hint="eastAsia" w:hAnsi="宋体"/>
          <w:b/>
          <w:color w:val="auto"/>
          <w:sz w:val="21"/>
          <w:szCs w:val="21"/>
          <w:highlight w:val="none"/>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42.1磋商文件</w:t>
      </w:r>
      <w:r>
        <w:rPr>
          <w:rFonts w:hint="eastAsia" w:hAnsi="宋体"/>
          <w:color w:val="auto"/>
          <w:sz w:val="21"/>
          <w:szCs w:val="21"/>
          <w:highlight w:val="none"/>
        </w:rPr>
        <w:t>的其他规定</w:t>
      </w:r>
      <w:r>
        <w:rPr>
          <w:rFonts w:hint="eastAsia" w:ascii="宋体" w:hAnsi="宋体"/>
          <w:color w:val="auto"/>
          <w:sz w:val="21"/>
          <w:szCs w:val="21"/>
          <w:highlight w:val="none"/>
        </w:rPr>
        <w:t>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before="156" w:beforeLines="50" w:line="360" w:lineRule="auto"/>
        <w:jc w:val="center"/>
        <w:rPr>
          <w:rFonts w:hint="eastAsia" w:ascii="黑体" w:eastAsia="黑体"/>
          <w:b/>
          <w:color w:val="auto"/>
          <w:sz w:val="21"/>
          <w:szCs w:val="21"/>
          <w:highlight w:val="none"/>
        </w:rPr>
      </w:pPr>
    </w:p>
    <w:p>
      <w:pPr>
        <w:spacing w:line="360" w:lineRule="auto"/>
        <w:ind w:right="600"/>
        <w:jc w:val="center"/>
        <w:rPr>
          <w:rFonts w:hint="eastAsia" w:ascii="宋体" w:hAnsi="宋体" w:cs="宋体"/>
          <w:b/>
          <w:color w:val="auto"/>
          <w:szCs w:val="28"/>
          <w:highlight w:val="none"/>
        </w:rPr>
      </w:pPr>
      <w:r>
        <w:rPr>
          <w:rFonts w:hint="eastAsia" w:ascii="宋体" w:hAnsi="宋体" w:cs="宋体"/>
          <w:b/>
          <w:color w:val="auto"/>
          <w:szCs w:val="28"/>
          <w:highlight w:val="none"/>
        </w:rPr>
        <w:br w:type="page"/>
      </w:r>
      <w:r>
        <w:rPr>
          <w:rFonts w:hint="eastAsia" w:ascii="宋体" w:hAnsi="宋体" w:cs="宋体"/>
          <w:b/>
          <w:color w:val="auto"/>
          <w:szCs w:val="28"/>
          <w:highlight w:val="none"/>
        </w:rPr>
        <w:t>第三章  采购合同</w:t>
      </w:r>
    </w:p>
    <w:p>
      <w:pPr>
        <w:tabs>
          <w:tab w:val="left" w:pos="540"/>
          <w:tab w:val="left" w:pos="4860"/>
        </w:tabs>
        <w:adjustRightInd w:val="0"/>
        <w:snapToGrid w:val="0"/>
        <w:spacing w:before="156" w:beforeLines="50" w:after="156" w:afterLines="50" w:line="360" w:lineRule="auto"/>
        <w:rPr>
          <w:rFonts w:ascii="宋体"/>
          <w:color w:val="auto"/>
          <w:sz w:val="30"/>
          <w:szCs w:val="30"/>
          <w:highlight w:val="none"/>
          <w:u w:val="single"/>
        </w:rPr>
      </w:pPr>
      <w:r>
        <w:rPr>
          <w:rFonts w:hint="eastAsia" w:ascii="宋体" w:hAnsi="宋体"/>
          <w:color w:val="auto"/>
          <w:sz w:val="30"/>
          <w:szCs w:val="30"/>
          <w:highlight w:val="none"/>
        </w:rPr>
        <w:t>合同签订地：</w:t>
      </w:r>
      <w:r>
        <w:rPr>
          <w:rFonts w:hint="eastAsia" w:ascii="宋体" w:hAnsi="宋体"/>
          <w:color w:val="auto"/>
          <w:sz w:val="30"/>
          <w:szCs w:val="30"/>
          <w:highlight w:val="none"/>
          <w:u w:val="single"/>
        </w:rPr>
        <w:t xml:space="preserve"> 长沙市岳麓区 </w:t>
      </w:r>
      <w:r>
        <w:rPr>
          <w:rFonts w:hint="eastAsia" w:ascii="宋体" w:hAnsi="宋体"/>
          <w:color w:val="auto"/>
          <w:sz w:val="30"/>
          <w:szCs w:val="30"/>
          <w:highlight w:val="none"/>
        </w:rPr>
        <w:t xml:space="preserve">    合同编号：</w:t>
      </w:r>
      <w:r>
        <w:rPr>
          <w:rFonts w:hint="eastAsia" w:ascii="宋体" w:hAnsi="宋体"/>
          <w:color w:val="auto"/>
          <w:sz w:val="30"/>
          <w:szCs w:val="30"/>
          <w:highlight w:val="none"/>
          <w:u w:val="single"/>
        </w:rPr>
        <w:t xml:space="preserve">           </w:t>
      </w:r>
    </w:p>
    <w:p>
      <w:pPr>
        <w:adjustRightInd w:val="0"/>
        <w:snapToGrid w:val="0"/>
        <w:spacing w:before="156" w:beforeLines="50" w:after="156" w:afterLines="50" w:line="360" w:lineRule="auto"/>
        <w:rPr>
          <w:rFonts w:ascii="宋体"/>
          <w:b/>
          <w:color w:val="auto"/>
          <w:sz w:val="52"/>
          <w:szCs w:val="52"/>
          <w:highlight w:val="none"/>
        </w:rPr>
      </w:pPr>
      <w:r>
        <w:rPr>
          <w:rFonts w:ascii="宋体" w:hAnsi="宋体"/>
          <w:color w:val="auto"/>
          <w:highlight w:val="none"/>
        </w:rPr>
        <w:t xml:space="preserve"> </w:t>
      </w:r>
      <w:r>
        <w:rPr>
          <w:rFonts w:ascii="宋体" w:hAnsi="宋体"/>
          <w:b/>
          <w:color w:val="auto"/>
          <w:sz w:val="52"/>
          <w:szCs w:val="52"/>
          <w:highlight w:val="none"/>
        </w:rPr>
        <w:t xml:space="preserve"> </w:t>
      </w:r>
    </w:p>
    <w:p>
      <w:pPr>
        <w:adjustRightInd w:val="0"/>
        <w:snapToGrid w:val="0"/>
        <w:spacing w:before="156" w:beforeLines="50" w:after="156" w:afterLines="50" w:line="360" w:lineRule="auto"/>
        <w:rPr>
          <w:rFonts w:hint="eastAsia" w:ascii="宋体" w:hAnsi="宋体"/>
          <w:b/>
          <w:bCs/>
          <w:color w:val="auto"/>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eastAsia"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保洁服务合同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黑体"/>
          <w:color w:val="auto"/>
          <w:sz w:val="30"/>
          <w:szCs w:val="30"/>
          <w:highlight w:val="none"/>
          <w:lang w:eastAsia="zh-CN"/>
        </w:rPr>
      </w:pPr>
      <w:r>
        <w:rPr>
          <w:rFonts w:hint="eastAsia" w:ascii="黑体" w:hAnsi="黑体" w:eastAsia="黑体" w:cs="黑体"/>
          <w:b/>
          <w:bCs/>
          <w:color w:val="auto"/>
          <w:sz w:val="30"/>
          <w:szCs w:val="30"/>
          <w:highlight w:val="none"/>
          <w:lang w:eastAsia="zh-CN"/>
        </w:rPr>
        <w:t>（本合同仅供参考，最终以甲乙双方签订的合同为准）</w:t>
      </w: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jc w:val="center"/>
        <w:rPr>
          <w:rFonts w:ascii="宋体"/>
          <w:b/>
          <w:color w:val="auto"/>
          <w:sz w:val="30"/>
          <w:highlight w:val="none"/>
        </w:rPr>
      </w:pPr>
    </w:p>
    <w:p>
      <w:pPr>
        <w:adjustRightInd w:val="0"/>
        <w:snapToGrid w:val="0"/>
        <w:spacing w:before="156" w:beforeLines="50" w:after="156" w:afterLines="50" w:line="360" w:lineRule="auto"/>
        <w:ind w:firstLine="1807" w:firstLineChars="600"/>
        <w:rPr>
          <w:rFonts w:hint="eastAsia" w:ascii="宋体" w:hAnsi="宋体"/>
          <w:b/>
          <w:color w:val="auto"/>
          <w:sz w:val="30"/>
          <w:highlight w:val="none"/>
          <w:u w:val="single"/>
        </w:rPr>
      </w:pPr>
      <w:r>
        <w:rPr>
          <w:rFonts w:hint="eastAsia" w:ascii="宋体" w:hAnsi="宋体"/>
          <w:b/>
          <w:color w:val="auto"/>
          <w:sz w:val="30"/>
          <w:highlight w:val="none"/>
        </w:rPr>
        <w:t>项目名称:</w:t>
      </w:r>
      <w:r>
        <w:rPr>
          <w:rFonts w:hint="eastAsia" w:ascii="宋体" w:hAnsi="宋体"/>
          <w:b/>
          <w:color w:val="auto"/>
          <w:sz w:val="30"/>
          <w:highlight w:val="none"/>
          <w:u w:val="single"/>
        </w:rPr>
        <w:t xml:space="preserve">                      </w:t>
      </w:r>
    </w:p>
    <w:p>
      <w:pPr>
        <w:adjustRightInd w:val="0"/>
        <w:snapToGrid w:val="0"/>
        <w:spacing w:before="156" w:beforeLines="50" w:after="156" w:afterLines="50" w:line="360" w:lineRule="auto"/>
        <w:ind w:firstLine="1807" w:firstLineChars="600"/>
        <w:jc w:val="left"/>
        <w:rPr>
          <w:rFonts w:hint="eastAsia" w:ascii="宋体" w:hAnsi="宋体"/>
          <w:b/>
          <w:color w:val="auto"/>
          <w:sz w:val="30"/>
          <w:highlight w:val="none"/>
          <w:u w:val="single"/>
          <w:lang w:eastAsia="zh-CN"/>
        </w:rPr>
      </w:pPr>
      <w:r>
        <w:rPr>
          <w:rFonts w:ascii="宋体"/>
          <w:b/>
          <w:color w:val="auto"/>
          <w:sz w:val="30"/>
          <w:highlight w:val="none"/>
        </w:rPr>
        <w:t>项目地点</w:t>
      </w:r>
      <w:r>
        <w:rPr>
          <w:rFonts w:hint="eastAsia" w:ascii="宋体"/>
          <w:b/>
          <w:color w:val="auto"/>
          <w:sz w:val="30"/>
          <w:highlight w:val="none"/>
        </w:rPr>
        <w:t>:</w:t>
      </w:r>
      <w:r>
        <w:rPr>
          <w:rFonts w:hint="eastAsia" w:ascii="宋体" w:hAnsi="宋体"/>
          <w:b/>
          <w:color w:val="auto"/>
          <w:sz w:val="30"/>
          <w:highlight w:val="none"/>
          <w:u w:val="single"/>
          <w:lang w:eastAsia="zh-CN"/>
        </w:rPr>
        <w:t>湖南长沙市岳麓区学士路336号湖南省检验</w:t>
      </w:r>
    </w:p>
    <w:p>
      <w:pPr>
        <w:adjustRightInd w:val="0"/>
        <w:snapToGrid w:val="0"/>
        <w:spacing w:before="156" w:beforeLines="50" w:after="156" w:afterLines="50" w:line="360" w:lineRule="auto"/>
        <w:ind w:firstLine="3313" w:firstLineChars="1100"/>
        <w:jc w:val="left"/>
        <w:rPr>
          <w:rFonts w:hint="eastAsia" w:ascii="宋体" w:hAnsi="宋体"/>
          <w:color w:val="auto"/>
          <w:sz w:val="48"/>
          <w:szCs w:val="48"/>
          <w:highlight w:val="none"/>
        </w:rPr>
      </w:pPr>
      <w:r>
        <w:rPr>
          <w:rFonts w:hint="eastAsia" w:ascii="宋体" w:hAnsi="宋体"/>
          <w:b/>
          <w:color w:val="auto"/>
          <w:sz w:val="30"/>
          <w:highlight w:val="none"/>
          <w:u w:val="single"/>
          <w:lang w:eastAsia="zh-CN"/>
        </w:rPr>
        <w:t>检测特色产业园A1栋23楼</w:t>
      </w:r>
    </w:p>
    <w:p>
      <w:pPr>
        <w:adjustRightInd w:val="0"/>
        <w:snapToGrid w:val="0"/>
        <w:spacing w:before="156" w:beforeLines="50" w:after="156" w:afterLines="50" w:line="360" w:lineRule="auto"/>
        <w:rPr>
          <w:rFonts w:ascii="宋体" w:hAnsi="宋体"/>
          <w:color w:val="auto"/>
          <w:sz w:val="48"/>
          <w:szCs w:val="48"/>
          <w:highlight w:val="none"/>
        </w:rPr>
      </w:pPr>
    </w:p>
    <w:p>
      <w:pPr>
        <w:adjustRightInd w:val="0"/>
        <w:snapToGrid w:val="0"/>
        <w:spacing w:before="156" w:beforeLines="50" w:after="156" w:afterLines="50" w:line="360" w:lineRule="auto"/>
        <w:jc w:val="center"/>
        <w:rPr>
          <w:rFonts w:ascii="宋体" w:hAnsi="宋体" w:cs="宋体"/>
          <w:color w:val="auto"/>
          <w:szCs w:val="28"/>
          <w:highlight w:val="none"/>
        </w:rPr>
      </w:pPr>
      <w:r>
        <w:rPr>
          <w:rFonts w:hint="eastAsia" w:ascii="宋体" w:hAnsi="宋体" w:cs="宋体"/>
          <w:color w:val="auto"/>
          <w:szCs w:val="28"/>
          <w:highlight w:val="none"/>
        </w:rPr>
        <w:t>20</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年</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月</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日</w:t>
      </w:r>
    </w:p>
    <w:p>
      <w:pPr>
        <w:adjustRightInd w:val="0"/>
        <w:snapToGrid w:val="0"/>
        <w:spacing w:before="156" w:beforeLines="50" w:after="156" w:afterLines="50" w:line="360" w:lineRule="auto"/>
        <w:rPr>
          <w:rFonts w:ascii="宋体" w:hAnsi="宋体" w:cs="宋体"/>
          <w:color w:val="auto"/>
          <w:szCs w:val="28"/>
          <w:highlight w:val="none"/>
        </w:rPr>
      </w:pPr>
    </w:p>
    <w:p>
      <w:pPr>
        <w:pStyle w:val="3"/>
        <w:adjustRightInd w:val="0"/>
        <w:snapToGrid w:val="0"/>
        <w:rPr>
          <w:color w:val="auto"/>
          <w:spacing w:val="11"/>
          <w:highlight w:val="none"/>
        </w:rPr>
      </w:pPr>
      <w:r>
        <w:rPr>
          <w:color w:val="auto"/>
          <w:spacing w:val="11"/>
          <w:highlight w:val="none"/>
        </w:rPr>
        <w:br w:type="page"/>
      </w:r>
      <w:r>
        <w:rPr>
          <w:rFonts w:hint="eastAsia"/>
          <w:color w:val="auto"/>
          <w:spacing w:val="11"/>
          <w:highlight w:val="none"/>
        </w:rPr>
        <w:t>保洁服务合同</w:t>
      </w:r>
    </w:p>
    <w:p>
      <w:pPr>
        <w:keepNext/>
        <w:keepLines/>
        <w:widowControl/>
        <w:adjustRightInd w:val="0"/>
        <w:snapToGrid w:val="0"/>
        <w:spacing w:line="360" w:lineRule="auto"/>
        <w:ind w:firstLine="604" w:firstLineChars="200"/>
        <w:rPr>
          <w:bCs/>
          <w:color w:val="auto"/>
          <w:spacing w:val="11"/>
          <w:highlight w:val="none"/>
        </w:rPr>
      </w:pP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委托人（甲方）：</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 xml:space="preserve">联系电话： </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乙方(受托人)：</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公司地址：</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联系电话：</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法定代表人：</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 xml:space="preserve">本合同经双方友好协商，本着平等互利、双方自愿的原则，就乙方向甲方提供日常保洁服务，协商如下：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第一条 服务项目</w:t>
      </w:r>
    </w:p>
    <w:p>
      <w:pPr>
        <w:adjustRightInd w:val="0"/>
        <w:snapToGrid w:val="0"/>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名    称：</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项目类别：</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坐落位置：</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占地面积：</w:t>
      </w:r>
      <w:r>
        <w:rPr>
          <w:rFonts w:hint="eastAsia" w:asciiTheme="minorEastAsia" w:hAnsiTheme="minorEastAsia" w:eastAsiaTheme="minorEastAsia" w:cstheme="minorEastAsia"/>
          <w:color w:val="auto"/>
          <w:kern w:val="0"/>
          <w:sz w:val="21"/>
          <w:szCs w:val="21"/>
          <w:highlight w:val="none"/>
          <w:u w:val="single"/>
        </w:rPr>
        <w:t xml:space="preserve">                                   </w:t>
      </w:r>
    </w:p>
    <w:p>
      <w:pPr>
        <w:numPr>
          <w:ilvl w:val="0"/>
          <w:numId w:val="3"/>
        </w:numPr>
        <w:spacing w:line="360" w:lineRule="auto"/>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保洁服务内容</w:t>
      </w:r>
    </w:p>
    <w:p>
      <w:pPr>
        <w:widowControl/>
        <w:spacing w:line="360" w:lineRule="auto"/>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1.机关办公楼项目规划红线范围内所有的日常保洁服务，具体包括</w:t>
      </w:r>
      <w:r>
        <w:rPr>
          <w:rFonts w:hint="eastAsia" w:asciiTheme="minorEastAsia" w:hAnsiTheme="minorEastAsia" w:eastAsiaTheme="minorEastAsia" w:cstheme="minorEastAsia"/>
          <w:bCs/>
          <w:color w:val="auto"/>
          <w:spacing w:val="11"/>
          <w:sz w:val="21"/>
          <w:szCs w:val="21"/>
          <w:highlight w:val="none"/>
          <w:u w:val="single"/>
        </w:rPr>
        <w:t>园区道路、配套建筑、及楼宇办公区、会议室、大堂、茶水间、楼层公共区域、地下车库及所有外围广场、公共洗手间、天台、天沟、公共设备设施及绿化带的清洁卫生，垃圾的收集、清运，排水沟、雨水井疏通清理等</w:t>
      </w:r>
      <w:r>
        <w:rPr>
          <w:rFonts w:hint="eastAsia" w:asciiTheme="minorEastAsia" w:hAnsiTheme="minorEastAsia" w:eastAsiaTheme="minorEastAsia" w:cstheme="minorEastAsia"/>
          <w:bCs/>
          <w:color w:val="auto"/>
          <w:spacing w:val="11"/>
          <w:sz w:val="21"/>
          <w:szCs w:val="21"/>
          <w:highlight w:val="none"/>
        </w:rPr>
        <w:t>。</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2.重大接待参观等活动及临时紧急保洁服务。</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第三条  人员配置</w:t>
      </w:r>
    </w:p>
    <w:p>
      <w:pPr>
        <w:wordWrap w:val="0"/>
        <w:adjustRightInd w:val="0"/>
        <w:snapToGrid w:val="0"/>
        <w:spacing w:line="560" w:lineRule="exact"/>
        <w:ind w:left="629" w:leftChars="187" w:hanging="105" w:hangingChars="5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szCs w:val="21"/>
          <w:highlight w:val="none"/>
        </w:rPr>
        <w:t>乙方按照甲方要求和岗位设置，暂定派驻现场保洁服务人数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人，其中包括管理人员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人。乙方指定保洁服务项目负责人：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，联系方式：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，管理人员同时提供保洁服务，服务费用与其他保洁人员相同。根据项目实际情况，届时需增加或减少现场保洁服务人数以甲方实际书面通知为准。</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11"/>
          <w:sz w:val="21"/>
          <w:szCs w:val="21"/>
          <w:highlight w:val="none"/>
        </w:rPr>
        <w:t>第四条  考核标准</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1.甲方对乙方执行百分制月度考核标准，考评总分为</w:t>
      </w:r>
      <w:r>
        <w:rPr>
          <w:rFonts w:hint="eastAsia" w:asciiTheme="minorEastAsia" w:hAnsiTheme="minorEastAsia" w:eastAsiaTheme="minorEastAsia" w:cstheme="minorEastAsia"/>
          <w:color w:val="auto"/>
          <w:sz w:val="21"/>
          <w:szCs w:val="21"/>
          <w:highlight w:val="none"/>
          <w:u w:val="single"/>
        </w:rPr>
        <w:t>100</w:t>
      </w:r>
      <w:r>
        <w:rPr>
          <w:rFonts w:hint="eastAsia" w:asciiTheme="minorEastAsia" w:hAnsiTheme="minorEastAsia" w:eastAsiaTheme="minorEastAsia" w:cstheme="minorEastAsia"/>
          <w:color w:val="auto"/>
          <w:sz w:val="21"/>
          <w:szCs w:val="21"/>
          <w:highlight w:val="none"/>
        </w:rPr>
        <w:t>分。月度考核结果为合同月度付款依据。</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2.甲方对乙方月度考核标准详见附件一：外包服务合同服务质量及人员考核标准（保洁类）。</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3.甲方对乙方的考核实行日、周、月检查相结合方式进行考核，标准依据甲方《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保洁工作考核标准》（见附件二）执行，日、周、月检查根据标准进行累计扣分并每月统计，作为月度考核的依据；周、月检查由甲方现场管理人员参加。</w:t>
      </w:r>
    </w:p>
    <w:p>
      <w:pPr>
        <w:spacing w:line="520" w:lineRule="exact"/>
        <w:ind w:firstLine="420"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szCs w:val="21"/>
          <w:highlight w:val="none"/>
        </w:rPr>
        <w:t>4.乙方信赖甲方的考核评价工作，同意无条件接受甲方的最终考评结果。</w:t>
      </w:r>
      <w:r>
        <w:rPr>
          <w:rFonts w:hint="eastAsia" w:asciiTheme="minorEastAsia" w:hAnsiTheme="minorEastAsia" w:eastAsiaTheme="minorEastAsia" w:cstheme="minorEastAsia"/>
          <w:bCs/>
          <w:color w:val="auto"/>
          <w:spacing w:val="11"/>
          <w:sz w:val="21"/>
          <w:szCs w:val="21"/>
          <w:highlight w:val="none"/>
        </w:rPr>
        <w:t>　</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5.保洁人员每月工作天数为26天，每日工作时间为8小时，应接待等特殊情况需增加工作时长的，乙方应予以配合并不再加收额外费用。</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第五条　合同履行期限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本合同有效期限为</w:t>
      </w:r>
      <w:r>
        <w:rPr>
          <w:rFonts w:hint="eastAsia" w:asciiTheme="minorEastAsia" w:hAnsiTheme="minorEastAsia" w:eastAsiaTheme="minorEastAsia" w:cstheme="minorEastAsia"/>
          <w:bCs/>
          <w:color w:val="auto"/>
          <w:spacing w:val="11"/>
          <w:sz w:val="21"/>
          <w:szCs w:val="21"/>
          <w:highlight w:val="none"/>
          <w:u w:val="single"/>
        </w:rPr>
        <w:t xml:space="preserve"> 壹 </w:t>
      </w:r>
      <w:r>
        <w:rPr>
          <w:rFonts w:hint="eastAsia" w:asciiTheme="minorEastAsia" w:hAnsiTheme="minorEastAsia" w:eastAsiaTheme="minorEastAsia" w:cstheme="minorEastAsia"/>
          <w:bCs/>
          <w:color w:val="auto"/>
          <w:spacing w:val="11"/>
          <w:sz w:val="21"/>
          <w:szCs w:val="21"/>
          <w:highlight w:val="none"/>
        </w:rPr>
        <w:t>年，从</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年</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月</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日起至</w:t>
      </w:r>
    </w:p>
    <w:p>
      <w:pPr>
        <w:keepNext/>
        <w:keepLines/>
        <w:widowControl/>
        <w:adjustRightInd w:val="0"/>
        <w:snapToGrid w:val="0"/>
        <w:spacing w:line="520" w:lineRule="exac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年</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月</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日止。</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第六条  保洁服务费用、结算及付款方式</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1.服务费用：</w:t>
      </w:r>
    </w:p>
    <w:p>
      <w:pPr>
        <w:spacing w:line="520" w:lineRule="exact"/>
        <w:ind w:firstLine="464" w:firstLineChars="200"/>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bCs/>
          <w:color w:val="auto"/>
          <w:spacing w:val="11"/>
          <w:sz w:val="21"/>
          <w:szCs w:val="21"/>
          <w:highlight w:val="none"/>
        </w:rPr>
        <w:t>服务费用标准为：</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元/月/</w:t>
      </w:r>
      <w:r>
        <w:rPr>
          <w:rFonts w:hint="eastAsia" w:asciiTheme="minorEastAsia" w:hAnsiTheme="minorEastAsia" w:eastAsiaTheme="minorEastAsia" w:cstheme="minorEastAsia"/>
          <w:color w:val="auto"/>
          <w:sz w:val="21"/>
          <w:szCs w:val="21"/>
          <w:highlight w:val="none"/>
        </w:rPr>
        <w:t>人，合同预估总金额（含增值税）为人民币¥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元（保洁服务人数按</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人估计）,大写：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。最终价格已实际到岗人数及考核评定等级为准。</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该费用包括但不限于履行本合同所有服务内容所需的人员工资、工作服装、服务工具、耗材（设备，厕所内的纸巾、洗手液由甲方自行购买）以及税费（税率为6%）、利润、管理成本等费用。除非甲乙双方另有明确约定，甲方无需再向乙方或第三方支付任何其他费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2.结算方式：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（1）每月以实际到岗保洁人数以及考核评定进行费用结算。</w:t>
      </w:r>
    </w:p>
    <w:p>
      <w:pPr>
        <w:spacing w:line="360" w:lineRule="auto"/>
        <w:ind w:firstLine="48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szCs w:val="21"/>
          <w:highlight w:val="none"/>
        </w:rPr>
        <w:t>（2）保洁服务费以月为单位结算支付，非整月的月份以实际天数与当月天数比例核算（当月天数按30天减去4天休假的26天计算，时间不足5天的，不结算服务费）。</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（3）乙方按标准收取保洁服务费用，并按本合同约定的服务内容和质量提供服务，盈余或亏损均由乙方享有或承担；乙方不得以亏损为由要求甲方增加费用、降低服务标准或减少服务人员。</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（4）合同生效后，甲方根据《外包服务合同服务质量及人员考核标准（保洁类）》《</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项目保洁工作考核标准》向乙方出具《保洁月度考核报告》，确定每月最终合同结算金额。</w:t>
      </w:r>
    </w:p>
    <w:p>
      <w:pPr>
        <w:pStyle w:val="2"/>
        <w:keepNext w:val="0"/>
        <w:keepLines w:val="0"/>
        <w:pageBreakBefore w:val="0"/>
        <w:widowControl w:val="0"/>
        <w:kinsoku/>
        <w:wordWrap/>
        <w:overflowPunct/>
        <w:topLinePunct w:val="0"/>
        <w:autoSpaceDE/>
        <w:autoSpaceDN/>
        <w:bidi w:val="0"/>
        <w:adjustRightInd/>
        <w:snapToGrid/>
        <w:ind w:firstLine="464"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Cs/>
          <w:color w:val="auto"/>
          <w:spacing w:val="11"/>
          <w:sz w:val="21"/>
          <w:szCs w:val="21"/>
          <w:highlight w:val="none"/>
          <w:lang w:eastAsia="zh-CN"/>
        </w:rPr>
        <w:t>（</w:t>
      </w:r>
      <w:r>
        <w:rPr>
          <w:rFonts w:hint="eastAsia" w:asciiTheme="minorEastAsia" w:hAnsiTheme="minorEastAsia" w:eastAsiaTheme="minorEastAsia" w:cstheme="minorEastAsia"/>
          <w:bCs/>
          <w:color w:val="auto"/>
          <w:spacing w:val="11"/>
          <w:sz w:val="21"/>
          <w:szCs w:val="21"/>
          <w:highlight w:val="none"/>
          <w:lang w:val="en-US" w:eastAsia="zh-CN"/>
        </w:rPr>
        <w:t>5</w:t>
      </w:r>
      <w:r>
        <w:rPr>
          <w:rFonts w:hint="eastAsia" w:asciiTheme="minorEastAsia" w:hAnsiTheme="minorEastAsia" w:eastAsiaTheme="minorEastAsia" w:cstheme="minorEastAsia"/>
          <w:bCs/>
          <w:color w:val="auto"/>
          <w:spacing w:val="11"/>
          <w:sz w:val="21"/>
          <w:szCs w:val="21"/>
          <w:highlight w:val="none"/>
          <w:lang w:eastAsia="zh-CN"/>
        </w:rPr>
        <w:t>）外包服务费用根据实际到岗人数，由项目服务中心每月根据服务质量考核标准，综合评估后按月支付。考核标准详见第三点，“项目具体实施要求”。</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3.付款方式</w:t>
      </w:r>
    </w:p>
    <w:p>
      <w:pPr>
        <w:spacing w:line="520" w:lineRule="exact"/>
        <w:ind w:firstLine="630" w:firstLineChars="3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highlight w:val="none"/>
        </w:rPr>
        <w:t>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Theme="minorEastAsia" w:hAnsiTheme="minorEastAsia" w:eastAsiaTheme="minorEastAsia" w:cstheme="minorEastAsia"/>
          <w:bCs/>
          <w:color w:val="auto"/>
          <w:spacing w:val="11"/>
          <w:sz w:val="21"/>
          <w:szCs w:val="21"/>
          <w:highlight w:val="none"/>
        </w:rPr>
        <w:t>；因乙方自身原因逾期提供发票或票面信息错误导致付款延期的，所有责任由乙方自行承担。</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乙方账户信息</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开户行：</w:t>
      </w:r>
      <w:r>
        <w:rPr>
          <w:rFonts w:hint="eastAsia" w:asciiTheme="minorEastAsia" w:hAnsiTheme="minorEastAsia" w:eastAsiaTheme="minorEastAsia" w:cstheme="minorEastAsia"/>
          <w:bCs/>
          <w:color w:val="auto"/>
          <w:spacing w:val="11"/>
          <w:sz w:val="21"/>
          <w:szCs w:val="21"/>
          <w:highlight w:val="none"/>
          <w:u w:val="singl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账户名：</w:t>
      </w:r>
      <w:r>
        <w:rPr>
          <w:rFonts w:hint="eastAsia" w:asciiTheme="minorEastAsia" w:hAnsiTheme="minorEastAsia" w:eastAsiaTheme="minorEastAsia" w:cstheme="minorEastAsia"/>
          <w:bCs/>
          <w:color w:val="auto"/>
          <w:spacing w:val="11"/>
          <w:sz w:val="21"/>
          <w:szCs w:val="21"/>
          <w:highlight w:val="none"/>
          <w:u w:val="singl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账  号：</w:t>
      </w:r>
      <w:r>
        <w:rPr>
          <w:rFonts w:hint="eastAsia" w:asciiTheme="minorEastAsia" w:hAnsiTheme="minorEastAsia" w:eastAsiaTheme="minorEastAsia" w:cstheme="minorEastAsia"/>
          <w:bCs/>
          <w:color w:val="auto"/>
          <w:spacing w:val="11"/>
          <w:sz w:val="21"/>
          <w:szCs w:val="21"/>
          <w:highlight w:val="none"/>
          <w:u w:val="singl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如有变更，乙方应立即书面通知甲方，否则，由乙方自行承担全部责任。</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第七条 双方的权利和义务</w:t>
      </w:r>
    </w:p>
    <w:p>
      <w:pPr>
        <w:adjustRightInd w:val="0"/>
        <w:snapToGrid w:val="0"/>
        <w:spacing w:line="520" w:lineRule="exact"/>
        <w:ind w:firstLine="466" w:firstLineChars="200"/>
        <w:rPr>
          <w:rFonts w:hint="eastAsia" w:asciiTheme="minorEastAsia" w:hAnsiTheme="minorEastAsia" w:eastAsiaTheme="minorEastAsia" w:cstheme="minorEastAsia"/>
          <w:b/>
          <w:color w:val="auto"/>
          <w:spacing w:val="11"/>
          <w:sz w:val="21"/>
          <w:szCs w:val="21"/>
          <w:highlight w:val="none"/>
        </w:rPr>
      </w:pPr>
      <w:r>
        <w:rPr>
          <w:rFonts w:hint="eastAsia" w:asciiTheme="minorEastAsia" w:hAnsiTheme="minorEastAsia" w:eastAsiaTheme="minorEastAsia" w:cstheme="minorEastAsia"/>
          <w:b/>
          <w:color w:val="auto"/>
          <w:spacing w:val="11"/>
          <w:sz w:val="21"/>
          <w:szCs w:val="21"/>
          <w:highlight w:val="none"/>
        </w:rPr>
        <w:t>1.甲方的权利和义务</w:t>
      </w:r>
    </w:p>
    <w:p>
      <w:pPr>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（1）甲方有权监督乙方保洁服务工作，审定乙方的年、月度工作计划与方案。</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（2）甲方有权根据本合同再行制定保洁服务工作的考核细则等相关制度，乙方应当自觉遵守（如有）。</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（3）甲方有权对乙方的保洁服务工作进行现场检查与考评，对服务质量不达标的，有权要求乙方在规定期限内进行整改。甲方有权按《</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项目保洁工作考核标准》的规定扣除服务费用，并要求乙方对因服务质量不达标给甲方造成的损失进行赔偿。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（4）甲方有权对乙方服务工作进行督导，对于乙方不履行、不正确履行、不完全履行合同义务等行为，甲方有权要求乙方立即更正，并采取其他补救措施。</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（5）遇重大活动或紧急事件时，甲方对乙方保洁人员有直接调度权，乙方应根据甲方要求积极配合，且乙方保洁人员应服从甲方现场管理人员的调度。</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（6）乙方应保证按合同要求安排保洁人员进驻甲方现场，甲方有权随时检查乙方保洁人员的在岗情况与岗位配置情况，对缺岗和擅自调整岗位配置情况按</w:t>
      </w:r>
      <w:r>
        <w:rPr>
          <w:rFonts w:hint="eastAsia" w:asciiTheme="minorEastAsia" w:hAnsiTheme="minorEastAsia" w:eastAsiaTheme="minorEastAsia" w:cstheme="minorEastAsia"/>
          <w:bCs/>
          <w:color w:val="auto"/>
          <w:spacing w:val="11"/>
          <w:sz w:val="21"/>
          <w:szCs w:val="21"/>
          <w:highlight w:val="none"/>
          <w:u w:val="single"/>
        </w:rPr>
        <w:t>100</w:t>
      </w:r>
      <w:r>
        <w:rPr>
          <w:rFonts w:hint="eastAsia" w:asciiTheme="minorEastAsia" w:hAnsiTheme="minorEastAsia" w:eastAsiaTheme="minorEastAsia" w:cstheme="minorEastAsia"/>
          <w:bCs/>
          <w:color w:val="auto"/>
          <w:spacing w:val="11"/>
          <w:sz w:val="21"/>
          <w:szCs w:val="21"/>
          <w:highlight w:val="none"/>
        </w:rPr>
        <w:t>元/人/班次进行扣款（直接在每月考核后的服务费用中扣除）。</w:t>
      </w:r>
      <w:r>
        <w:rPr>
          <w:rFonts w:hint="eastAsia" w:asciiTheme="minorEastAsia" w:hAnsiTheme="minorEastAsia" w:eastAsiaTheme="minorEastAsia" w:cstheme="minorEastAsia"/>
          <w:color w:val="auto"/>
          <w:sz w:val="21"/>
          <w:szCs w:val="21"/>
          <w:highlight w:val="none"/>
        </w:rPr>
        <w:t>因乙方人员缺岗和擅自调整岗位等原因造成甲方损失和重大影响的，甲方可随时终止合同并要求乙方赔偿损失。</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（7）甲方对不符合现场需求的工作人员提出更换要求，乙方应无条件执行。</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（8）</w:t>
      </w:r>
      <w:r>
        <w:rPr>
          <w:rFonts w:hint="eastAsia" w:asciiTheme="minorEastAsia" w:hAnsiTheme="minorEastAsia" w:eastAsiaTheme="minorEastAsia" w:cstheme="minorEastAsia"/>
          <w:color w:val="auto"/>
          <w:sz w:val="21"/>
          <w:szCs w:val="21"/>
          <w:highlight w:val="none"/>
        </w:rPr>
        <w:t>甲方对乙方为甲方提供保洁服务相关的重要岗位的设置、人员录用及管理等决策有直接参与权与否决权。</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（9）甲方有权要求乙方遵守甲方制定的管理措施、监督标准等，以确保乙方按照合同及其它议定的要求操作。</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（10）甲方有权监督和考核乙方用水用电的情况，制定节能环保相关要求和规定，乙方同意按甲方要求执行。</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（11）甲方负责协调本项目业主/客户与乙方的关系。</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（12）法律、法规及政策规定的由甲方承担的其他责任。</w:t>
      </w:r>
    </w:p>
    <w:p>
      <w:pPr>
        <w:spacing w:line="520" w:lineRule="exact"/>
        <w:ind w:firstLine="466" w:firstLineChars="200"/>
        <w:jc w:val="left"/>
        <w:rPr>
          <w:rFonts w:hint="eastAsia" w:asciiTheme="minorEastAsia" w:hAnsiTheme="minorEastAsia" w:eastAsiaTheme="minorEastAsia" w:cstheme="minorEastAsia"/>
          <w:b/>
          <w:color w:val="auto"/>
          <w:spacing w:val="11"/>
          <w:sz w:val="21"/>
          <w:szCs w:val="21"/>
          <w:highlight w:val="none"/>
        </w:rPr>
      </w:pPr>
      <w:r>
        <w:rPr>
          <w:rFonts w:hint="eastAsia" w:asciiTheme="minorEastAsia" w:hAnsiTheme="minorEastAsia" w:eastAsiaTheme="minorEastAsia" w:cstheme="minorEastAsia"/>
          <w:b/>
          <w:color w:val="auto"/>
          <w:spacing w:val="11"/>
          <w:sz w:val="21"/>
          <w:szCs w:val="21"/>
          <w:highlight w:val="none"/>
        </w:rPr>
        <w:t>2.乙方的权利和义务</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（1）根据有关法律法规及本合同的约定，制订年度、月度工作计划与方案，经甲方审定后按要求提供保洁服务。</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（2）每年</w:t>
      </w:r>
      <w:r>
        <w:rPr>
          <w:rFonts w:hint="eastAsia" w:asciiTheme="minorEastAsia" w:hAnsiTheme="minorEastAsia" w:eastAsiaTheme="minorEastAsia" w:cstheme="minorEastAsia"/>
          <w:bCs/>
          <w:color w:val="auto"/>
          <w:spacing w:val="11"/>
          <w:sz w:val="21"/>
          <w:szCs w:val="21"/>
          <w:highlight w:val="none"/>
          <w:u w:val="single"/>
        </w:rPr>
        <w:t xml:space="preserve"> 6 </w:t>
      </w:r>
      <w:r>
        <w:rPr>
          <w:rFonts w:hint="eastAsia" w:asciiTheme="minorEastAsia" w:hAnsiTheme="minorEastAsia" w:eastAsiaTheme="minorEastAsia" w:cstheme="minorEastAsia"/>
          <w:bCs/>
          <w:color w:val="auto"/>
          <w:spacing w:val="11"/>
          <w:sz w:val="21"/>
          <w:szCs w:val="21"/>
          <w:highlight w:val="none"/>
        </w:rPr>
        <w:t>月</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日前、每月</w:t>
      </w:r>
      <w:r>
        <w:rPr>
          <w:rFonts w:hint="eastAsia" w:asciiTheme="minorEastAsia" w:hAnsiTheme="minorEastAsia" w:eastAsiaTheme="minorEastAsia" w:cstheme="minorEastAsia"/>
          <w:bCs/>
          <w:color w:val="auto"/>
          <w:spacing w:val="11"/>
          <w:sz w:val="21"/>
          <w:szCs w:val="21"/>
          <w:highlight w:val="none"/>
          <w:u w:val="single"/>
        </w:rPr>
        <w:t xml:space="preserve"> 25 </w:t>
      </w:r>
      <w:r>
        <w:rPr>
          <w:rFonts w:hint="eastAsia" w:asciiTheme="minorEastAsia" w:hAnsiTheme="minorEastAsia" w:eastAsiaTheme="minorEastAsia" w:cstheme="minorEastAsia"/>
          <w:bCs/>
          <w:color w:val="auto"/>
          <w:spacing w:val="11"/>
          <w:sz w:val="21"/>
          <w:szCs w:val="21"/>
          <w:highlight w:val="none"/>
        </w:rPr>
        <w:t>日前提供本项目下年/月工作计划、培训计划以及本年/月工作总结给甲方审定。</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（3）根据本合同约定向甲方收取清洁服务费用，并提供相应的符合甲方要求的增值税专用发票。</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（4）接受甲方的考评和监督，接受业主单位、区域城管部门及其他有关政府部门的监督、指导，按照本合同及补充协议（如有）的承诺实现管理和服务目标。</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（5）根据本合同约定对各项目保洁岗位进行相应的人员配备，招聘员工的年龄要求在</w:t>
      </w:r>
      <w:r>
        <w:rPr>
          <w:rFonts w:hint="eastAsia" w:asciiTheme="minorEastAsia" w:hAnsiTheme="minorEastAsia" w:eastAsiaTheme="minorEastAsia" w:cstheme="minorEastAsia"/>
          <w:bCs/>
          <w:color w:val="auto"/>
          <w:spacing w:val="11"/>
          <w:sz w:val="21"/>
          <w:szCs w:val="21"/>
          <w:highlight w:val="none"/>
          <w:u w:val="single"/>
        </w:rPr>
        <w:t>5</w:t>
      </w:r>
      <w:r>
        <w:rPr>
          <w:rFonts w:hint="eastAsia" w:asciiTheme="minorEastAsia" w:hAnsiTheme="minorEastAsia" w:eastAsiaTheme="minorEastAsia" w:cstheme="minorEastAsia"/>
          <w:bCs/>
          <w:color w:val="auto"/>
          <w:spacing w:val="11"/>
          <w:sz w:val="21"/>
          <w:szCs w:val="21"/>
          <w:highlight w:val="none"/>
          <w:u w:val="single"/>
          <w:lang w:val="en-US" w:eastAsia="zh-CN"/>
        </w:rPr>
        <w:t>0</w:t>
      </w:r>
      <w:r>
        <w:rPr>
          <w:rFonts w:hint="eastAsia" w:asciiTheme="minorEastAsia" w:hAnsiTheme="minorEastAsia" w:eastAsiaTheme="minorEastAsia" w:cstheme="minorEastAsia"/>
          <w:bCs/>
          <w:color w:val="auto"/>
          <w:spacing w:val="11"/>
          <w:sz w:val="21"/>
          <w:szCs w:val="21"/>
          <w:highlight w:val="none"/>
        </w:rPr>
        <w:t>周岁（含）</w:t>
      </w:r>
      <w:r>
        <w:rPr>
          <w:rFonts w:hint="eastAsia" w:asciiTheme="minorEastAsia" w:hAnsiTheme="minorEastAsia" w:eastAsiaTheme="minorEastAsia" w:cstheme="minorEastAsia"/>
          <w:bCs/>
          <w:color w:val="auto"/>
          <w:spacing w:val="11"/>
          <w:sz w:val="21"/>
          <w:szCs w:val="21"/>
          <w:highlight w:val="none"/>
        </w:rPr>
        <w:t>以下（以相关人员的身份证年龄为准），且身体健康。乙方与派驻到甲方处的工作人员需签订劳动协议，并依法办理劳动用工手续。派驻甲方的保洁人员，必须将其有效身份证、照片等相关复印件报甲方备案。如因乙方用工风险导致甲方承担相应责任的，甲方有权向乙方追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6）乙方保洁人员在工作期间应严格按照项目现场作业标准作业（包括但不限于本合同要求），严格遵守有关安全作业规定；清洁区域如因工作需要等原因可能存在不安全隐患的，乙方应及时排除相关障碍，并根据需要摆放相应提示标志，否则由此引起的任何人员伤亡或财产损失赔偿责任，全部由乙方自行承担。如甲方因此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（7）在合同约定的服务范围内，如因乙方保洁工作未达到保洁质量标准，被有关业主单位、政府职能部门（环卫、城管等）处罚，该罚款由乙方承担。甲方因此而遭受任何损失的，乙方应予以赔偿。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8）如遇节假日等人员流动增长的情况，乙方需增派值班人员，搞好现场卫生；如遇有关部门的工作检查或甲方的重大活动接待需突击卫生时，乙方需服从甲方的统一工作安排，并根据甲方活动方案，详细制定保洁方案报甲方审核同意。如甲方活动致乙方成本大幅增加，乙方应在保洁方案中提出，并提交相应材料由甲方进行审核。未在保洁方案中提出并经甲方审核同意的，甲方不予增加。</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（9）乙方不得将其承包的全部工作转包给第三人，或将其承包的全部工作肢解后以分包的名义转包给第三人，乙方不得将关键性工作分包给第三人。</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（10）未经甲方书面许可，乙方现场保洁人员不能在工作期间向甲方以外的任何单位和个人提供保洁服务。</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11）乙方应加强派驻甲方保洁人员的教育、培训和管理，统一着装，言行举止得体，乙方保洁人员必须学习、遵守甲方的各项规章制度，维护甲方的正常工作秩序，不私自进入无关场所，不准在工作区域内就餐、吸烟等，注重自身的言行，并在工作时遵循“适时回避”的原则。</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12）乙方在接到甲方或业主（客户）的有效投诉时应立即进行处理和解决，乙方并应承担因此而造成的全部责任。乙方未及时处理和解决的，甲方有权提出警告，警告后仍未处理的，甲方有权根据情节轻重扣除乙方服务费用</w:t>
      </w:r>
      <w:r>
        <w:rPr>
          <w:rFonts w:hint="eastAsia" w:asciiTheme="minorEastAsia" w:hAnsiTheme="minorEastAsia" w:eastAsiaTheme="minorEastAsia" w:cstheme="minorEastAsia"/>
          <w:bCs/>
          <w:color w:val="auto"/>
          <w:spacing w:val="11"/>
          <w:sz w:val="21"/>
          <w:szCs w:val="21"/>
          <w:highlight w:val="none"/>
          <w:u w:val="single"/>
        </w:rPr>
        <w:t>200</w:t>
      </w:r>
      <w:r>
        <w:rPr>
          <w:rFonts w:hint="eastAsia" w:asciiTheme="minorEastAsia" w:hAnsiTheme="minorEastAsia" w:eastAsiaTheme="minorEastAsia" w:cstheme="minorEastAsia"/>
          <w:bCs/>
          <w:color w:val="auto"/>
          <w:spacing w:val="11"/>
          <w:sz w:val="21"/>
          <w:szCs w:val="21"/>
          <w:highlight w:val="none"/>
        </w:rPr>
        <w:t>元/次，情节严重甲方有权解除合同。</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（13）乙方应严格要求派驻甲方保洁人员按规定时间上下班，当甲方因工作需要提出对乙方员工工作时间和岗位进行调整时，乙方应及时落实甲方的要求。</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（14）乙方保洁人员工作时应爱护甲方财物，如造成损失或损坏，乙方需及时予以恢复原状，不能恢复原状的需照价赔偿。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15）乙方承担乙方保洁人员的工资、保险、福利及其他一切费用和人身安全责任，杜绝安全事故的发生。按照法律、法规规定，在乙方保洁人员进驻项目前为其购买各类社会保险。若乙方保洁人员发生安全事故（含突发性疾病伤亡、工伤、意外伤害等），责任由乙方自行承担，甲方不承担任何责任和费用。如甲方因此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（16）如因乙方原因导致第三方（包括但不限于甲方的客户）的人身、财产损害的，全部责任由乙方承担。如甲方因此遭受任何损失的，乙方应予以赔偿。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17）乙方按甲方要求及时调整不符合要求的人员，期限为接到甲方通知后3日内；除工作不合格或违反甲方工作标准和要求的人员外，乙方不得擅自更换派驻的保洁人员。如因特殊原因需要更换现场管理人员的，乙方应提前10日书面通知甲方，经甲方批准后方可更换。</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（18）遇台风、水浸、火灾等突发事件时，乙方应在甲方的统一指挥下参加应急工作，甲方不另行支付费用。</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（19）</w:t>
      </w:r>
      <w:r>
        <w:rPr>
          <w:rFonts w:hint="eastAsia" w:asciiTheme="minorEastAsia" w:hAnsiTheme="minorEastAsia" w:eastAsiaTheme="minorEastAsia" w:cstheme="minorEastAsia"/>
          <w:color w:val="auto"/>
          <w:sz w:val="21"/>
          <w:szCs w:val="21"/>
          <w:highlight w:val="none"/>
        </w:rPr>
        <w:t>乙方保洁人员</w:t>
      </w:r>
      <w:r>
        <w:rPr>
          <w:rFonts w:hint="eastAsia" w:asciiTheme="minorEastAsia" w:hAnsiTheme="minorEastAsia" w:eastAsiaTheme="minorEastAsia" w:cstheme="minorEastAsia"/>
          <w:bCs/>
          <w:color w:val="auto"/>
          <w:spacing w:val="11"/>
          <w:sz w:val="21"/>
          <w:szCs w:val="21"/>
          <w:highlight w:val="none"/>
        </w:rPr>
        <w:t>发现建筑物有破损或发现形迹可疑人员等情形时，应立即向甲方相关管理人员报告，</w:t>
      </w:r>
      <w:r>
        <w:rPr>
          <w:rFonts w:hint="eastAsia" w:asciiTheme="minorEastAsia" w:hAnsiTheme="minorEastAsia" w:eastAsiaTheme="minorEastAsia" w:cstheme="minorEastAsia"/>
          <w:color w:val="auto"/>
          <w:sz w:val="21"/>
          <w:szCs w:val="21"/>
          <w:highlight w:val="none"/>
        </w:rPr>
        <w:t>有义务对管理过程中发现或了解的违法、违规行为及时采取批评、规劝、警告、制止等措施，对不听批评、规劝、警告、制止的或存在现实危险性等情节严重情形的，应迅速通知甲方及公安机关等有关部门处理，不得隐情不报或拖延不报。</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（20）清洁工具与清洁物资材料均由乙方自备与保管，工具应整齐摆放在甲方规定位置。</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（21）法律、法规及政策规定的由乙方承担的其它责任。</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第八条  保证金</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1.双方同意，以甲方应支付给乙方的首月服务费用（以最终考核金额为准）作为保证金，并由甲方保留。</w:t>
      </w:r>
    </w:p>
    <w:p>
      <w:pPr>
        <w:tabs>
          <w:tab w:val="left" w:pos="312"/>
        </w:tabs>
        <w:spacing w:line="520" w:lineRule="exact"/>
        <w:ind w:left="6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2.出现下列情形，甲方有权直接扣除保证金用于补偿甲方损失：</w:t>
      </w:r>
    </w:p>
    <w:p>
      <w:pPr>
        <w:numPr>
          <w:ilvl w:val="0"/>
          <w:numId w:val="4"/>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因乙方过错，造成甲方门窗、玻璃、灯具、空调、电脑、车辆、水管、电线等办公设备和机械设备损坏、丢失等损失；</w:t>
      </w:r>
    </w:p>
    <w:p>
      <w:pPr>
        <w:numPr>
          <w:ilvl w:val="0"/>
          <w:numId w:val="4"/>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因乙方过错，造成外来人员车辆、物品损坏、丢失，导致甲方支付、赔偿、垫付费用；</w:t>
      </w:r>
    </w:p>
    <w:p>
      <w:pPr>
        <w:numPr>
          <w:ilvl w:val="0"/>
          <w:numId w:val="4"/>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因乙方保洁人员发生工伤，或乙方保洁人员造成甲方职工、外来人员身体伤害，乙方未及时承担责任，导致甲方支付、赔偿、垫付费用；</w:t>
      </w:r>
    </w:p>
    <w:p>
      <w:pPr>
        <w:numPr>
          <w:ilvl w:val="0"/>
          <w:numId w:val="4"/>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因乙方或保洁人员违法、违规、违纪，而被处罚、起诉、或与第三人发生纠纷，导致甲方支付、赔偿、垫付费用；</w:t>
      </w:r>
    </w:p>
    <w:p>
      <w:pPr>
        <w:numPr>
          <w:ilvl w:val="0"/>
          <w:numId w:val="4"/>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因乙方不履行本合同义务，或履行本合同义务不符合约定，导致甲方委托第三人完成保洁工作而产生额外费用。</w:t>
      </w:r>
    </w:p>
    <w:p>
      <w:pPr>
        <w:numPr>
          <w:ilvl w:val="0"/>
          <w:numId w:val="5"/>
        </w:numPr>
        <w:spacing w:line="520" w:lineRule="exact"/>
        <w:ind w:firstLine="401" w:firstLineChars="173"/>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保证金不足以弥补甲方替乙方支付、赔偿、垫付的费用时，乙方应当补足甲方支付、赔偿、垫付费用的不足部分或由甲方在服务费用中扣除。保证金被扣除后，乙方应在5个工作日内补足。</w:t>
      </w:r>
    </w:p>
    <w:p>
      <w:pPr>
        <w:numPr>
          <w:ilvl w:val="0"/>
          <w:numId w:val="5"/>
        </w:numPr>
        <w:spacing w:line="520" w:lineRule="exact"/>
        <w:ind w:firstLine="401" w:firstLineChars="173"/>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合同到期后，如乙方全面履行本合同，无违约行为，甲方无息退还乙方保证金。</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第九条  特别约定</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甲方拥有各项目管理区域内包括场地出租、广告植入及经营性资产等的所有经营权；双方履行合同过程中产生的一切知识产权归甲方所有，包括但不限于乙方提供服务过程中经甲方同意制定的相关规范性文件、标识标志产生的商标权益（如有）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2.未经甲方书面同意，乙方不得利用甲方项目对乙方单位进行品牌宣传、推广等；未经甲方书面同意不得邀请无关人员、单位进入项目参观、交流等。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3.乙方在本合同保洁工作范围内提供服务时所需的标识标牌，包括但不限于其员工服装、所需工具、设施设备等，须经甲方书面同意后方可制作并组织实施，费用由乙方承担。</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第十条  违约责任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甲方违反合同约定未向乙方及时支付保洁服务费用的，乙方有权要求甲方在90日内解决（因乙方原因造成的延期支付除外），逾期未解决的，乙方有权终止合同；造成乙方经济损失的，甲方应给予乙方经济补偿。</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2.乙方违反本合同约定，未能达到约定的管理和服务目标及要求，逾期未整改的，甲方有权单方解除合同并无需承担违约责任，乙方需按照合同预估总额的</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%向甲方支付违约金。</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3.未经甲方书面同意，乙方擅自将本合同涉及项目保洁服务事宜分包或转包给第三人，甲方可随时终止合同而无须承担任何责任，并有权要求乙方按照合同预估总额的</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%向甲方支付违约金。</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 除本合同另有约定外，甲乙任何一方无正当理由提前终止合同的，应向对方支付合同预估总额的</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%作为违约金。</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5.乙方按合同约定应支付的违约金低于给甲方造成的损失的，应就差额部分向甲方进行赔偿，且乙方承担的赔偿金额不以乙方应得的保洁服务费酬金为限。</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6.乙方违约应承担相应违约责任外，甲方向乙方主张权利所产生的费用（包括但不限于诉讼费、保全费、公证费、律师费）亦由乙方承担。</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7.合同内容变更、提前终止必须提前一个月书面通知对方，否则违约方按1个月服务费的标准向守约方承担违约责任，其中1个月服务费的金额按甲方已支付给乙方的月平均服务费计算确定。</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8、其他违约责任见附件三《廉洁协议》。</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第十一条  合同变更与终止 　　</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1.合同的变更与终止须双方协商，并采用书面形式。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2.本合同规定的履行期限届满，合同自动终止。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第十二条  合同解除</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1.乙方严重失职造成甲方物业管理的重大损失，甲方可以解除合同，乙方应按本合同第十条第3款、第5款、第6款的约定向甲方承担违约责任。</w:t>
      </w:r>
    </w:p>
    <w:p>
      <w:pPr>
        <w:spacing w:line="520" w:lineRule="exact"/>
        <w:ind w:firstLine="464"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11"/>
          <w:sz w:val="21"/>
          <w:szCs w:val="21"/>
          <w:highlight w:val="none"/>
        </w:rPr>
        <w:t>2.</w:t>
      </w:r>
      <w:r>
        <w:rPr>
          <w:rFonts w:hint="eastAsia" w:asciiTheme="minorEastAsia" w:hAnsiTheme="minorEastAsia" w:eastAsiaTheme="minorEastAsia" w:cstheme="minorEastAsia"/>
          <w:color w:val="auto"/>
          <w:sz w:val="21"/>
          <w:szCs w:val="21"/>
          <w:highlight w:val="none"/>
        </w:rPr>
        <w:t>乙方委派的项目管理人员或项目保洁人员不符合甲方要求且不予更换的，或乙方累计</w:t>
      </w:r>
      <w:r>
        <w:rPr>
          <w:rFonts w:hint="eastAsia" w:asciiTheme="minorEastAsia" w:hAnsiTheme="minorEastAsia" w:eastAsiaTheme="minorEastAsia" w:cstheme="minorEastAsia"/>
          <w:color w:val="auto"/>
          <w:sz w:val="21"/>
          <w:szCs w:val="21"/>
          <w:highlight w:val="none"/>
          <w:u w:val="single"/>
        </w:rPr>
        <w:t xml:space="preserve"> 3 </w:t>
      </w:r>
      <w:r>
        <w:rPr>
          <w:rFonts w:hint="eastAsia" w:asciiTheme="minorEastAsia" w:hAnsiTheme="minorEastAsia" w:eastAsiaTheme="minorEastAsia" w:cstheme="minorEastAsia"/>
          <w:color w:val="auto"/>
          <w:sz w:val="21"/>
          <w:szCs w:val="21"/>
          <w:highlight w:val="none"/>
        </w:rPr>
        <w:t>次委派的项目管理人员或项目保洁人员均不符合甲方要求的，甲方有权解除本合同，乙方应按本合同第十条第3款、第5款、第6款的约定向甲方承担违约责任。</w:t>
      </w:r>
    </w:p>
    <w:p>
      <w:pPr>
        <w:spacing w:line="52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3.合同期限内出现未能达到约定的管理和服务目标及要求超过3次的，甲方除要求乙方按合同预估总额的 1 %支付违约金外，有权单方面终止本合同。</w:t>
      </w:r>
    </w:p>
    <w:p>
      <w:pPr>
        <w:spacing w:line="520" w:lineRule="exact"/>
        <w:ind w:firstLine="464"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11"/>
          <w:sz w:val="21"/>
          <w:szCs w:val="21"/>
          <w:highlight w:val="none"/>
        </w:rPr>
        <w:t>4.乙方发生其他违约情形后，在收到甲方书面通知</w:t>
      </w:r>
      <w:r>
        <w:rPr>
          <w:rFonts w:hint="eastAsia" w:asciiTheme="minorEastAsia" w:hAnsiTheme="minorEastAsia" w:eastAsiaTheme="minorEastAsia" w:cstheme="minorEastAsia"/>
          <w:bCs/>
          <w:color w:val="auto"/>
          <w:spacing w:val="11"/>
          <w:sz w:val="21"/>
          <w:szCs w:val="21"/>
          <w:highlight w:val="none"/>
          <w:u w:val="single"/>
        </w:rPr>
        <w:t xml:space="preserve"> 5 </w:t>
      </w:r>
      <w:r>
        <w:rPr>
          <w:rFonts w:hint="eastAsia" w:asciiTheme="minorEastAsia" w:hAnsiTheme="minorEastAsia" w:eastAsiaTheme="minorEastAsia" w:cstheme="minorEastAsia"/>
          <w:bCs/>
          <w:color w:val="auto"/>
          <w:spacing w:val="11"/>
          <w:sz w:val="21"/>
          <w:szCs w:val="21"/>
          <w:highlight w:val="none"/>
        </w:rPr>
        <w:t>日内仍不能采取补救措施及行动，甲方可以解除合同，并要求乙方按本合同第十条第3款、第5款、第6款的约定向甲方承担违约责任。</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5.本合同终止时，乙方须在终止前</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天内向甲方移交项目全部管理区域（如管理用房、员工宿舍等）及管理的全部档案资料。</w:t>
      </w:r>
      <w:r>
        <w:rPr>
          <w:rFonts w:hint="eastAsia" w:asciiTheme="minorEastAsia" w:hAnsiTheme="minorEastAsia" w:eastAsiaTheme="minorEastAsia" w:cstheme="minorEastAsia"/>
          <w:color w:val="auto"/>
          <w:sz w:val="21"/>
          <w:szCs w:val="21"/>
          <w:highlight w:val="none"/>
        </w:rPr>
        <w:t>否则，</w:t>
      </w:r>
      <w:r>
        <w:rPr>
          <w:rFonts w:hint="eastAsia" w:asciiTheme="minorEastAsia" w:hAnsiTheme="minorEastAsia" w:eastAsiaTheme="minorEastAsia" w:cstheme="minorEastAsia"/>
          <w:color w:val="auto"/>
          <w:sz w:val="21"/>
          <w:szCs w:val="21"/>
          <w:highlight w:val="none"/>
        </w:rPr>
        <w:t>需按照第八条第6款、第7款、第8款的约定承担违约责任</w:t>
      </w:r>
      <w:r>
        <w:rPr>
          <w:rFonts w:hint="eastAsia" w:asciiTheme="minorEastAsia" w:hAnsiTheme="minorEastAsia" w:eastAsiaTheme="minorEastAsia" w:cstheme="minorEastAsia"/>
          <w:color w:val="auto"/>
          <w:sz w:val="21"/>
          <w:szCs w:val="21"/>
          <w:highlight w:val="none"/>
        </w:rPr>
        <w:t>。</w:t>
      </w:r>
    </w:p>
    <w:p>
      <w:pPr>
        <w:spacing w:line="52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6、其他合同解除情形见附件一，按照第八条第6款、第7款、第8款的约定承担违约责任。</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第十三条  不可抗力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本合同所称不可抗力是指不能预见、不能克服、不能避免并对乙方当事人造成重大影响的客观事件，包括但不限于自然灾害如洪水、地震、火灾和风暴等以及社会事件如战争、动乱、政府行为等。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如因不可抗力事件的发生导致合同无法履行时，遇不可抗力的一方应立即将事故情况书面告知另一方，并应在</w:t>
      </w:r>
      <w:r>
        <w:rPr>
          <w:rFonts w:hint="eastAsia" w:asciiTheme="minorEastAsia" w:hAnsiTheme="minorEastAsia" w:eastAsiaTheme="minorEastAsia" w:cstheme="minorEastAsia"/>
          <w:bCs/>
          <w:color w:val="auto"/>
          <w:spacing w:val="11"/>
          <w:sz w:val="21"/>
          <w:szCs w:val="21"/>
          <w:highlight w:val="none"/>
          <w:u w:val="single"/>
        </w:rPr>
        <w:t xml:space="preserve">  5  </w:t>
      </w:r>
      <w:r>
        <w:rPr>
          <w:rFonts w:hint="eastAsia" w:asciiTheme="minorEastAsia" w:hAnsiTheme="minorEastAsia" w:eastAsiaTheme="minorEastAsia" w:cstheme="minorEastAsia"/>
          <w:bCs/>
          <w:color w:val="auto"/>
          <w:spacing w:val="11"/>
          <w:sz w:val="21"/>
          <w:szCs w:val="21"/>
          <w:highlight w:val="none"/>
        </w:rPr>
        <w:t>天内，提供事故详情及合同不能履行或者需要延期履行的书面资料，双方认可后协商终止合同或暂时延迟合同的履行。</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 xml:space="preserve">第十四条  保密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双方保证对从另一方取得且无法自公开渠道获得的商业秘密和信息(技术信息、经营信息及其他商业秘密)予以保密。未经该商业秘密和信息的原提供方同意，一方不得向任何第三方泄露该商业秘密和信息的全部或部分内容。但法律、法规另有规定或双方另有约定的除外。保密期限为长期，不受本合同中止、解除和终止等的影响。一方违反上述保密义务的，应承担支付合同预估总额的    %违约金的违约责任并赔偿由此造成的损失。</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第十五条  合同的转让</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除合同中另有规定外或经双方协商同意外，本合同所规定双方的任何权利和义务，任何一方在未经征得另一方书面同意之前，不得转让给第三者。任何转让未经另一方书面明确同意，均属无效。</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第十六条  争议的处理</w:t>
      </w:r>
    </w:p>
    <w:p>
      <w:pPr>
        <w:spacing w:line="520" w:lineRule="exact"/>
        <w:ind w:firstLine="420"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z w:val="21"/>
          <w:szCs w:val="21"/>
          <w:highlight w:val="none"/>
        </w:rPr>
        <w:t>通过双方协商解决，协商解决不成，任何一方可向甲方所在地人民法院提起诉讼。</w:t>
      </w:r>
      <w:r>
        <w:rPr>
          <w:rFonts w:hint="eastAsia" w:asciiTheme="minorEastAsia" w:hAnsiTheme="minorEastAsia" w:eastAsiaTheme="minorEastAsia" w:cstheme="minorEastAsia"/>
          <w:bCs/>
          <w:color w:val="auto"/>
          <w:spacing w:val="11"/>
          <w:sz w:val="21"/>
          <w:szCs w:val="21"/>
          <w:highlight w:val="non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第十七条  补充与附件</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本合同未尽事宜，依照有关法律、法规执行，法律、法规未作规定的，甲乙双方可以达成书面补充协议。本合同的附件和补充协议均为本合同不可分割的组成部分，与本合同具有同等的法律效力。</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第十八条  其他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1.双方承诺在合同履行过程中保持廉洁自律的工作作风，防止各种不正当行为的发生，共同遵守《廉洁协议》（详见附件三）。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2.本合同自双方法定代表人或其授权代表人签字并加盖公章（合同专用章）之日起生效。</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本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4.本合同一式</w:t>
      </w:r>
      <w:r>
        <w:rPr>
          <w:rFonts w:hint="eastAsia" w:asciiTheme="minorEastAsia" w:hAnsiTheme="minorEastAsia" w:eastAsiaTheme="minorEastAsia" w:cstheme="minorEastAsia"/>
          <w:bCs/>
          <w:color w:val="auto"/>
          <w:spacing w:val="11"/>
          <w:sz w:val="21"/>
          <w:szCs w:val="21"/>
          <w:highlight w:val="none"/>
          <w:u w:val="single"/>
        </w:rPr>
        <w:t xml:space="preserve"> 肆 </w:t>
      </w:r>
      <w:r>
        <w:rPr>
          <w:rFonts w:hint="eastAsia" w:asciiTheme="minorEastAsia" w:hAnsiTheme="minorEastAsia" w:eastAsiaTheme="minorEastAsia" w:cstheme="minorEastAsia"/>
          <w:bCs/>
          <w:color w:val="auto"/>
          <w:spacing w:val="11"/>
          <w:sz w:val="21"/>
          <w:szCs w:val="21"/>
          <w:highlight w:val="none"/>
        </w:rPr>
        <w:t>份，甲方执</w:t>
      </w:r>
      <w:r>
        <w:rPr>
          <w:rFonts w:hint="eastAsia" w:asciiTheme="minorEastAsia" w:hAnsiTheme="minorEastAsia" w:eastAsiaTheme="minorEastAsia" w:cstheme="minorEastAsia"/>
          <w:bCs/>
          <w:color w:val="auto"/>
          <w:spacing w:val="11"/>
          <w:sz w:val="21"/>
          <w:szCs w:val="21"/>
          <w:highlight w:val="none"/>
          <w:u w:val="single"/>
        </w:rPr>
        <w:t xml:space="preserve"> 贰 </w:t>
      </w:r>
      <w:r>
        <w:rPr>
          <w:rFonts w:hint="eastAsia" w:asciiTheme="minorEastAsia" w:hAnsiTheme="minorEastAsia" w:eastAsiaTheme="minorEastAsia" w:cstheme="minorEastAsia"/>
          <w:bCs/>
          <w:color w:val="auto"/>
          <w:spacing w:val="11"/>
          <w:sz w:val="21"/>
          <w:szCs w:val="21"/>
          <w:highlight w:val="none"/>
        </w:rPr>
        <w:t>份、乙方执</w:t>
      </w:r>
      <w:r>
        <w:rPr>
          <w:rFonts w:hint="eastAsia" w:asciiTheme="minorEastAsia" w:hAnsiTheme="minorEastAsia" w:eastAsiaTheme="minorEastAsia" w:cstheme="minorEastAsia"/>
          <w:bCs/>
          <w:color w:val="auto"/>
          <w:spacing w:val="11"/>
          <w:sz w:val="21"/>
          <w:szCs w:val="21"/>
          <w:highlight w:val="none"/>
          <w:u w:val="single"/>
        </w:rPr>
        <w:t xml:space="preserve"> 贰 </w:t>
      </w:r>
      <w:r>
        <w:rPr>
          <w:rFonts w:hint="eastAsia" w:asciiTheme="minorEastAsia" w:hAnsiTheme="minorEastAsia" w:eastAsiaTheme="minorEastAsia" w:cstheme="minorEastAsia"/>
          <w:bCs/>
          <w:color w:val="auto"/>
          <w:spacing w:val="11"/>
          <w:sz w:val="21"/>
          <w:szCs w:val="21"/>
          <w:highlight w:val="none"/>
        </w:rPr>
        <w:t xml:space="preserve">份，具有同等法律效力。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5.本合同附件作为主合同不可分割的部分，与本合同具有同等法律效力。　</w:t>
      </w:r>
    </w:p>
    <w:p>
      <w:pPr>
        <w:spacing w:line="520" w:lineRule="exact"/>
        <w:jc w:val="left"/>
        <w:rPr>
          <w:rFonts w:hint="eastAsia" w:asciiTheme="minorEastAsia" w:hAnsiTheme="minorEastAsia" w:eastAsiaTheme="minorEastAsia" w:cstheme="minorEastAsia"/>
          <w:bCs/>
          <w:color w:val="auto"/>
          <w:spacing w:val="11"/>
          <w:sz w:val="21"/>
          <w:szCs w:val="21"/>
          <w:highlight w:val="none"/>
        </w:rPr>
      </w:pPr>
    </w:p>
    <w:p>
      <w:pPr>
        <w:spacing w:line="520" w:lineRule="exact"/>
        <w:jc w:val="left"/>
        <w:rPr>
          <w:rFonts w:hint="eastAsia" w:asciiTheme="minorEastAsia" w:hAnsiTheme="minorEastAsia" w:eastAsiaTheme="minorEastAsia" w:cstheme="minorEastAsia"/>
          <w:bCs/>
          <w:color w:val="auto"/>
          <w:spacing w:val="11"/>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甲方：（签章）                       乙方：（签章）</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法定代表人（委托代理人）：          法定代表人（委托代理人）：</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sectPr>
          <w:headerReference r:id="rId12" w:type="default"/>
          <w:footerReference r:id="rId14" w:type="default"/>
          <w:headerReference r:id="rId13" w:type="even"/>
          <w:footerReference r:id="rId15" w:type="even"/>
          <w:pgSz w:w="11906" w:h="16838"/>
          <w:pgMar w:top="1440" w:right="1474" w:bottom="1440" w:left="1474" w:header="851" w:footer="964" w:gutter="0"/>
          <w:pgNumType w:fmt="decimal"/>
          <w:cols w:space="720" w:num="1"/>
          <w:docGrid w:type="lines" w:linePitch="312" w:charSpace="0"/>
        </w:sectPr>
      </w:pPr>
      <w:r>
        <w:rPr>
          <w:rFonts w:hint="eastAsia" w:asciiTheme="minorEastAsia" w:hAnsiTheme="minorEastAsia" w:eastAsiaTheme="minorEastAsia" w:cstheme="minorEastAsia"/>
          <w:color w:val="auto"/>
          <w:sz w:val="21"/>
          <w:szCs w:val="21"/>
          <w:highlight w:val="none"/>
        </w:rPr>
        <w:t xml:space="preserve">年   月   日                       年   月   日       </w:t>
      </w:r>
    </w:p>
    <w:p>
      <w:pPr>
        <w:pStyle w:val="4"/>
        <w:spacing w:before="240" w:beforeLines="100" w:line="240" w:lineRule="auto"/>
        <w:rPr>
          <w:rFonts w:hint="eastAsia" w:asciiTheme="minorEastAsia" w:hAnsiTheme="minorEastAsia" w:eastAsiaTheme="minorEastAsia" w:cstheme="minorEastAsia"/>
          <w:b w:val="0"/>
          <w:color w:val="auto"/>
          <w:highlight w:val="none"/>
        </w:rPr>
      </w:pPr>
      <w:r>
        <w:rPr>
          <w:rFonts w:hint="eastAsia" w:asciiTheme="minorEastAsia" w:hAnsiTheme="minorEastAsia" w:eastAsiaTheme="minorEastAsia" w:cstheme="minorEastAsia"/>
          <w:b/>
          <w:bCs/>
          <w:color w:val="auto"/>
          <w:sz w:val="24"/>
          <w:szCs w:val="24"/>
          <w:highlight w:val="none"/>
          <w:lang w:val="en-US" w:eastAsia="zh-CN"/>
        </w:rPr>
        <w:t>附件一：</w:t>
      </w:r>
      <w:r>
        <w:rPr>
          <w:rFonts w:hint="eastAsia" w:asciiTheme="minorEastAsia" w:hAnsiTheme="minorEastAsia" w:eastAsiaTheme="minorEastAsia" w:cstheme="minorEastAsia"/>
          <w:b/>
          <w:bCs/>
          <w:color w:val="auto"/>
          <w:sz w:val="24"/>
          <w:szCs w:val="24"/>
          <w:highlight w:val="none"/>
        </w:rPr>
        <w:t>外包服务合同服务质量及人员考核标准（保洁类）</w:t>
      </w:r>
    </w:p>
    <w:tbl>
      <w:tblPr>
        <w:tblStyle w:val="41"/>
        <w:tblpPr w:leftFromText="180" w:rightFromText="180" w:vertAnchor="text" w:tblpXSpec="center" w:tblpY="1"/>
        <w:tblOverlap w:val="never"/>
        <w:tblW w:w="15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27"/>
        <w:gridCol w:w="1221"/>
        <w:gridCol w:w="1201"/>
        <w:gridCol w:w="991"/>
        <w:gridCol w:w="1312"/>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1"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252" w:type="dxa"/>
            <w:gridSpan w:val="5"/>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7956" w:type="dxa"/>
            <w:tcBorders>
              <w:top w:val="single" w:color="auto" w:sz="8" w:space="0"/>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25" w:type="dxa"/>
            <w:gridSpan w:val="4"/>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956" w:type="dxa"/>
            <w:vMerge w:val="restart"/>
            <w:tcBorders>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continue"/>
            <w:noWrap w:val="0"/>
            <w:vAlign w:val="center"/>
          </w:tcPr>
          <w:p>
            <w:pPr>
              <w:jc w:val="center"/>
              <w:rPr>
                <w:rFonts w:ascii="宋体" w:hAnsi="宋体" w:cs="宋体"/>
                <w:color w:val="auto"/>
                <w:sz w:val="21"/>
                <w:szCs w:val="21"/>
                <w:highlight w:val="none"/>
              </w:rPr>
            </w:pPr>
          </w:p>
        </w:tc>
        <w:tc>
          <w:tcPr>
            <w:tcW w:w="1221"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1"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1"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12"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continue"/>
            <w:noWrap w:val="0"/>
            <w:vAlign w:val="center"/>
          </w:tcPr>
          <w:p>
            <w:pPr>
              <w:jc w:val="center"/>
              <w:rPr>
                <w:rFonts w:ascii="宋体" w:hAnsi="宋体" w:cs="宋体"/>
                <w:color w:val="auto"/>
                <w:sz w:val="21"/>
                <w:szCs w:val="21"/>
                <w:highlight w:val="none"/>
              </w:rPr>
            </w:pPr>
          </w:p>
        </w:tc>
        <w:tc>
          <w:tcPr>
            <w:tcW w:w="1221" w:type="dxa"/>
            <w:vMerge w:val="continue"/>
            <w:noWrap w:val="0"/>
            <w:vAlign w:val="center"/>
          </w:tcPr>
          <w:p>
            <w:pPr>
              <w:jc w:val="center"/>
              <w:rPr>
                <w:rFonts w:ascii="宋体" w:hAnsi="宋体" w:cs="宋体"/>
                <w:color w:val="auto"/>
                <w:sz w:val="21"/>
                <w:szCs w:val="21"/>
                <w:highlight w:val="none"/>
              </w:rPr>
            </w:pPr>
          </w:p>
        </w:tc>
        <w:tc>
          <w:tcPr>
            <w:tcW w:w="1201" w:type="dxa"/>
            <w:vMerge w:val="continue"/>
            <w:noWrap w:val="0"/>
            <w:vAlign w:val="center"/>
          </w:tcPr>
          <w:p>
            <w:pPr>
              <w:jc w:val="center"/>
              <w:rPr>
                <w:rFonts w:ascii="宋体" w:hAnsi="宋体" w:cs="宋体"/>
                <w:color w:val="auto"/>
                <w:sz w:val="21"/>
                <w:szCs w:val="21"/>
                <w:highlight w:val="none"/>
              </w:rPr>
            </w:pPr>
          </w:p>
        </w:tc>
        <w:tc>
          <w:tcPr>
            <w:tcW w:w="991" w:type="dxa"/>
            <w:vMerge w:val="continue"/>
            <w:noWrap w:val="0"/>
            <w:vAlign w:val="center"/>
          </w:tcPr>
          <w:p>
            <w:pPr>
              <w:jc w:val="center"/>
              <w:rPr>
                <w:rFonts w:ascii="宋体" w:hAnsi="宋体" w:cs="宋体"/>
                <w:color w:val="auto"/>
                <w:sz w:val="21"/>
                <w:szCs w:val="21"/>
                <w:highlight w:val="none"/>
              </w:rPr>
            </w:pPr>
          </w:p>
        </w:tc>
        <w:tc>
          <w:tcPr>
            <w:tcW w:w="1312" w:type="dxa"/>
            <w:vMerge w:val="continue"/>
            <w:noWrap w:val="0"/>
            <w:vAlign w:val="center"/>
          </w:tcPr>
          <w:p>
            <w:pPr>
              <w:jc w:val="center"/>
              <w:rPr>
                <w:rFonts w:ascii="宋体" w:hAnsi="宋体" w:cs="宋体"/>
                <w:color w:val="auto"/>
                <w:sz w:val="21"/>
                <w:szCs w:val="21"/>
                <w:highlight w:val="none"/>
              </w:rPr>
            </w:pPr>
          </w:p>
        </w:tc>
        <w:tc>
          <w:tcPr>
            <w:tcW w:w="7956" w:type="dxa"/>
            <w:vMerge w:val="restart"/>
            <w:tcBorders>
              <w:right w:val="single" w:color="auto" w:sz="8" w:space="0"/>
            </w:tcBorders>
            <w:noWrap w:val="0"/>
            <w:vAlign w:val="center"/>
          </w:tcPr>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fldChar w:fldCharType="begin"/>
            </w:r>
            <w:r>
              <w:rPr>
                <w:rFonts w:ascii="宋体" w:hAnsi="宋体" w:cs="宋体"/>
                <w:color w:val="auto"/>
                <w:sz w:val="21"/>
                <w:szCs w:val="21"/>
                <w:highlight w:val="none"/>
              </w:rPr>
              <w:instrText xml:space="preserve"> QUOTE </w:instrText>
            </w:r>
            <w:r>
              <w:rPr>
                <w:rFonts w:hint="eastAsia" w:ascii="Times New Roman" w:hAnsi="Times New Roman"/>
                <w:color w:val="auto"/>
                <w:position w:val="-24"/>
                <w:highlight w:val="none"/>
              </w:rPr>
              <w:pict>
                <v:shape id="_x0000_i1025"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instrText xml:space="preserve"> </w:instrText>
            </w:r>
            <w:r>
              <w:rPr>
                <w:rFonts w:ascii="宋体" w:hAnsi="宋体" w:cs="宋体"/>
                <w:color w:val="auto"/>
                <w:sz w:val="21"/>
                <w:szCs w:val="21"/>
                <w:highlight w:val="none"/>
              </w:rPr>
              <w:fldChar w:fldCharType="separate"/>
            </w:r>
            <w:r>
              <w:rPr>
                <w:rFonts w:hint="eastAsia" w:ascii="Times New Roman" w:hAnsi="Times New Roman"/>
                <w:color w:val="auto"/>
                <w:position w:val="-24"/>
                <w:highlight w:val="none"/>
              </w:rPr>
              <w:pict>
                <v:shape id="_x0000_i1026"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 ，下同)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291" w:type="dxa"/>
            <w:tcBorders>
              <w:left w:val="single" w:color="auto" w:sz="8" w:space="0"/>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527"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221"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1"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991"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12"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91"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527" w:type="dxa"/>
            <w:vMerge w:val="restart"/>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25" w:type="dxa"/>
            <w:gridSpan w:val="4"/>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continue"/>
            <w:noWrap w:val="0"/>
            <w:vAlign w:val="center"/>
          </w:tcPr>
          <w:p>
            <w:pPr>
              <w:jc w:val="center"/>
              <w:rPr>
                <w:rFonts w:ascii="宋体" w:hAnsi="宋体" w:cs="宋体"/>
                <w:color w:val="auto"/>
                <w:sz w:val="21"/>
                <w:szCs w:val="21"/>
                <w:highlight w:val="none"/>
              </w:rPr>
            </w:pPr>
          </w:p>
        </w:tc>
        <w:tc>
          <w:tcPr>
            <w:tcW w:w="122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12"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291" w:type="dxa"/>
            <w:tcBorders>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527"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22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 10%扣除</w:t>
            </w:r>
          </w:p>
        </w:tc>
        <w:tc>
          <w:tcPr>
            <w:tcW w:w="99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12"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bl>
    <w:p>
      <w:pPr>
        <w:spacing w:line="560" w:lineRule="exact"/>
        <w:rPr>
          <w:rFonts w:ascii="仿宋" w:hAnsi="仿宋" w:eastAsia="仿宋"/>
          <w:color w:val="auto"/>
          <w:szCs w:val="28"/>
          <w:highlight w:val="none"/>
        </w:rPr>
        <w:sectPr>
          <w:pgSz w:w="16838" w:h="11906" w:orient="landscape"/>
          <w:pgMar w:top="1474" w:right="1440" w:bottom="1474" w:left="1440" w:header="851" w:footer="964" w:gutter="0"/>
          <w:pgNumType w:fmt="decimal"/>
          <w:cols w:space="720" w:num="1"/>
          <w:docGrid w:type="lines" w:linePitch="312" w:charSpace="0"/>
        </w:sectPr>
      </w:pPr>
    </w:p>
    <w:p>
      <w:pPr>
        <w:pStyle w:val="4"/>
        <w:spacing w:before="240" w:beforeLines="100"/>
        <w:rPr>
          <w:rFonts w:hint="eastAsia" w:ascii="宋体" w:hAnsi="宋体" w:cs="宋体"/>
          <w:color w:val="auto"/>
          <w:sz w:val="21"/>
          <w:szCs w:val="21"/>
          <w:highlight w:val="none"/>
        </w:rPr>
      </w:pPr>
      <w:r>
        <w:rPr>
          <w:rFonts w:hint="eastAsia" w:asciiTheme="minorEastAsia" w:hAnsiTheme="minorEastAsia" w:eastAsiaTheme="minorEastAsia" w:cstheme="minorEastAsia"/>
          <w:b/>
          <w:bCs/>
          <w:color w:val="auto"/>
          <w:kern w:val="2"/>
          <w:sz w:val="24"/>
          <w:szCs w:val="24"/>
          <w:highlight w:val="none"/>
          <w:lang w:val="en-US" w:eastAsia="zh-CN" w:bidi="ar-SA"/>
        </w:rPr>
        <w:t>附件二：保洁服务考核标准</w:t>
      </w:r>
    </w:p>
    <w:tbl>
      <w:tblPr>
        <w:tblStyle w:val="41"/>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blPrEx>
          <w:tblCellMar>
            <w:top w:w="15" w:type="dxa"/>
            <w:left w:w="15" w:type="dxa"/>
            <w:bottom w:w="15" w:type="dxa"/>
            <w:right w:w="15" w:type="dxa"/>
          </w:tblCellMar>
        </w:tblPrEx>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9" w:hangingChars="175"/>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扣分标准</w:t>
            </w:r>
          </w:p>
        </w:tc>
      </w:tr>
      <w:tr>
        <w:tblPrEx>
          <w:tblCellMar>
            <w:top w:w="15" w:type="dxa"/>
            <w:left w:w="15" w:type="dxa"/>
            <w:bottom w:w="15" w:type="dxa"/>
            <w:right w:w="15" w:type="dxa"/>
          </w:tblCellMar>
        </w:tblPrEx>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a)员工上班期间统一着工装，仪态自然，精神状态饱满</w:t>
            </w:r>
            <w:r>
              <w:rPr>
                <w:rStyle w:val="107"/>
                <w:rFonts w:hint="default"/>
                <w:color w:val="auto"/>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c)不得在工作场所大声喧哗，趴在工作台上休息，不打瞌睡或串岗聊天、吃零食</w:t>
            </w:r>
            <w:r>
              <w:rPr>
                <w:rStyle w:val="107"/>
                <w:rFonts w:hint="default"/>
                <w:color w:val="auto"/>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每发现一处不合格扣0.5分（打瞌睡另行再扣200元/次）</w:t>
            </w:r>
          </w:p>
        </w:tc>
      </w:tr>
      <w:tr>
        <w:tblPrEx>
          <w:tblCellMar>
            <w:top w:w="15" w:type="dxa"/>
            <w:left w:w="15" w:type="dxa"/>
            <w:bottom w:w="15" w:type="dxa"/>
            <w:right w:w="15" w:type="dxa"/>
          </w:tblCellMar>
        </w:tblPrEx>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e)礼貌待人，微笑服务，不讲脏话、粗话，业主方及客户需要帮助时，</w:t>
            </w:r>
            <w:r>
              <w:rPr>
                <w:rStyle w:val="142"/>
                <w:rFonts w:hint="default"/>
                <w:color w:val="auto"/>
                <w:sz w:val="21"/>
                <w:szCs w:val="21"/>
                <w:highlight w:val="none"/>
                <w:lang w:bidi="ar"/>
              </w:rPr>
              <w:t>主</w:t>
            </w:r>
            <w:r>
              <w:rPr>
                <w:rStyle w:val="151"/>
                <w:rFonts w:hint="default"/>
                <w:color w:val="auto"/>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i)垃圾桶外表干净，无积垢、臭味；</w:t>
            </w:r>
            <w:r>
              <w:rPr>
                <w:rStyle w:val="107"/>
                <w:rFonts w:hint="default"/>
                <w:color w:val="auto"/>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干净，无积垢、臭味；</w:t>
            </w:r>
            <w:r>
              <w:rPr>
                <w:rStyle w:val="107"/>
                <w:rFonts w:hint="default"/>
                <w:color w:val="auto"/>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a)车库地面无积水、积尘、油迹</w:t>
            </w:r>
            <w:r>
              <w:rPr>
                <w:rStyle w:val="151"/>
                <w:rFonts w:hint="default"/>
                <w:color w:val="auto"/>
                <w:sz w:val="21"/>
                <w:szCs w:val="21"/>
                <w:highlight w:val="none"/>
                <w:lang w:bidi="ar"/>
              </w:rPr>
              <w:t>、</w:t>
            </w:r>
            <w:r>
              <w:rPr>
                <w:rStyle w:val="107"/>
                <w:rFonts w:hint="default"/>
                <w:color w:val="auto"/>
                <w:sz w:val="21"/>
                <w:szCs w:val="21"/>
                <w:highlight w:val="none"/>
                <w:lang w:bidi="ar"/>
              </w:rPr>
              <w:t>污渍和</w:t>
            </w:r>
            <w:r>
              <w:rPr>
                <w:rStyle w:val="151"/>
                <w:rFonts w:hint="default"/>
                <w:color w:val="auto"/>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w:t>
            </w:r>
            <w:r>
              <w:rPr>
                <w:rStyle w:val="107"/>
                <w:rFonts w:hint="default"/>
                <w:color w:val="auto"/>
                <w:sz w:val="21"/>
                <w:szCs w:val="21"/>
                <w:highlight w:val="none"/>
                <w:lang w:bidi="ar"/>
              </w:rPr>
              <w:t>跟进车库虫害防控，定期进行消毒</w:t>
            </w:r>
            <w:r>
              <w:rPr>
                <w:rStyle w:val="151"/>
                <w:rFonts w:hint="default"/>
                <w:color w:val="auto"/>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a)外围公共道路、场地应保持干净、平整，无积水、残叶和垃圾。</w:t>
            </w:r>
            <w:r>
              <w:rPr>
                <w:rStyle w:val="107"/>
                <w:rFonts w:hint="default"/>
                <w:color w:val="auto"/>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j)废纸篓无污迹和臭味</w:t>
            </w:r>
            <w:r>
              <w:rPr>
                <w:rStyle w:val="151"/>
                <w:rFonts w:hint="default"/>
                <w:color w:val="auto"/>
                <w:sz w:val="21"/>
                <w:szCs w:val="21"/>
                <w:highlight w:val="none"/>
                <w:lang w:bidi="ar"/>
              </w:rPr>
              <w:t>，</w:t>
            </w:r>
            <w:r>
              <w:rPr>
                <w:rStyle w:val="107"/>
                <w:rFonts w:hint="default"/>
                <w:color w:val="auto"/>
                <w:sz w:val="21"/>
                <w:szCs w:val="21"/>
                <w:highlight w:val="none"/>
                <w:lang w:bidi="ar"/>
              </w:rPr>
              <w:t>垃圾、污物量不得超过桶底2/3</w:t>
            </w:r>
            <w:r>
              <w:rPr>
                <w:rFonts w:hint="eastAsia" w:ascii="宋体" w:hAnsi="宋体" w:cs="宋体"/>
                <w:color w:val="auto"/>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干净无污迹臭味，</w:t>
            </w:r>
            <w:r>
              <w:rPr>
                <w:rStyle w:val="107"/>
                <w:rFonts w:hint="default"/>
                <w:color w:val="auto"/>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每发现一处不符合</w:t>
            </w:r>
            <w:r>
              <w:rPr>
                <w:rFonts w:hint="eastAsia" w:ascii="宋体" w:hAnsi="宋体" w:cs="宋体"/>
                <w:color w:val="auto"/>
                <w:sz w:val="21"/>
                <w:szCs w:val="21"/>
                <w:highlight w:val="none"/>
              </w:rPr>
              <w:t>扣5分</w:t>
            </w:r>
          </w:p>
        </w:tc>
      </w:tr>
      <w:tr>
        <w:tblPrEx>
          <w:tblCellMar>
            <w:top w:w="15" w:type="dxa"/>
            <w:left w:w="15" w:type="dxa"/>
            <w:bottom w:w="15" w:type="dxa"/>
            <w:right w:w="15" w:type="dxa"/>
          </w:tblCellMar>
        </w:tblPrEx>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每发生一起安全事故或未上报扣5分</w:t>
            </w:r>
            <w:r>
              <w:rPr>
                <w:rFonts w:hint="eastAsia" w:ascii="宋体" w:hAnsi="宋体" w:cs="宋体"/>
                <w:color w:val="auto"/>
                <w:sz w:val="21"/>
                <w:szCs w:val="21"/>
                <w:highlight w:val="none"/>
              </w:rPr>
              <w:t>/次，连续三个月发生安全事故，终止合同</w:t>
            </w:r>
          </w:p>
        </w:tc>
      </w:tr>
      <w:tr>
        <w:tblPrEx>
          <w:tblCellMar>
            <w:top w:w="15" w:type="dxa"/>
            <w:left w:w="15" w:type="dxa"/>
            <w:bottom w:w="15" w:type="dxa"/>
            <w:right w:w="15" w:type="dxa"/>
          </w:tblCellMar>
        </w:tblPrEx>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处置工作不到位，工作落实不严谨扣0.5分/次</w:t>
            </w:r>
          </w:p>
        </w:tc>
      </w:tr>
      <w:tr>
        <w:tblPrEx>
          <w:tblCellMar>
            <w:top w:w="15" w:type="dxa"/>
            <w:left w:w="15" w:type="dxa"/>
            <w:bottom w:w="15" w:type="dxa"/>
            <w:right w:w="15" w:type="dxa"/>
          </w:tblCellMar>
        </w:tblPrEx>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bl>
    <w:p>
      <w:pPr>
        <w:rPr>
          <w:rFonts w:ascii="宋体" w:hAnsi="宋体"/>
          <w:color w:val="auto"/>
          <w:szCs w:val="28"/>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t>附件</w:t>
      </w:r>
      <w:r>
        <w:rPr>
          <w:rFonts w:hint="eastAsia" w:ascii="宋体" w:hAnsi="宋体"/>
          <w:color w:val="auto"/>
          <w:sz w:val="24"/>
          <w:szCs w:val="24"/>
          <w:highlight w:val="none"/>
        </w:rPr>
        <w:t>三</w:t>
      </w:r>
    </w:p>
    <w:p>
      <w:pPr>
        <w:tabs>
          <w:tab w:val="left" w:pos="900"/>
        </w:tabs>
        <w:snapToGrid w:val="0"/>
        <w:spacing w:line="440" w:lineRule="exact"/>
        <w:ind w:firstLine="357"/>
        <w:jc w:val="center"/>
        <w:rPr>
          <w:rFonts w:ascii="宋体" w:hAnsi="宋体" w:cs="黑体"/>
          <w:b/>
          <w:color w:val="auto"/>
          <w:sz w:val="24"/>
          <w:szCs w:val="24"/>
          <w:highlight w:val="none"/>
        </w:rPr>
      </w:pPr>
      <w:r>
        <w:rPr>
          <w:rFonts w:hint="eastAsia" w:ascii="宋体" w:hAnsi="宋体" w:cs="黑体"/>
          <w:b/>
          <w:color w:val="auto"/>
          <w:sz w:val="24"/>
          <w:szCs w:val="24"/>
          <w:highlight w:val="none"/>
        </w:rPr>
        <w:t>廉洁协议</w:t>
      </w:r>
    </w:p>
    <w:p>
      <w:pPr>
        <w:tabs>
          <w:tab w:val="left" w:pos="900"/>
        </w:tabs>
        <w:snapToGrid w:val="0"/>
        <w:spacing w:line="340" w:lineRule="exact"/>
        <w:ind w:firstLine="357"/>
        <w:rPr>
          <w:rFonts w:ascii="宋体" w:hAnsi="宋体"/>
          <w:color w:val="auto"/>
          <w:sz w:val="24"/>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乙    方：</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为了保证甲、乙双方合作的公平和公正，在合同履行过程中保持廉洁自律的工作作风，防止各种不正当行为的发生，确保甲、乙双方的合法利益不受侵害，经协商一致，在签订</w:t>
      </w:r>
      <w:r>
        <w:rPr>
          <w:rFonts w:hint="eastAsia" w:asciiTheme="minorEastAsia" w:hAnsiTheme="minorEastAsia" w:eastAsiaTheme="minorEastAsia" w:cstheme="minorEastAsia"/>
          <w:color w:val="auto"/>
          <w:sz w:val="21"/>
          <w:szCs w:val="21"/>
          <w:highlight w:val="none"/>
          <w:u w:val="single"/>
        </w:rPr>
        <w:t>保安服务合同</w:t>
      </w:r>
      <w:r>
        <w:rPr>
          <w:rFonts w:hint="eastAsia" w:asciiTheme="minorEastAsia" w:hAnsiTheme="minorEastAsia" w:eastAsiaTheme="minorEastAsia" w:cstheme="minorEastAsia"/>
          <w:color w:val="auto"/>
          <w:sz w:val="21"/>
          <w:szCs w:val="21"/>
          <w:highlight w:val="none"/>
        </w:rPr>
        <w:t xml:space="preserve">（以下简称“主合同”）的基础上，根据有关法律法规并参照党风廉政建设责任制规定，特订立本协议如下：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一、廉洁责任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（一）甲方责任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1.在签订主合同前，甲方有义务向乙方介绍本单位有关廉洁管理各项制度规定。</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2.甲方工作人员不得以任何形式向乙方索要和收受回扣等好处费。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3.甲方工作人员不得接受乙方的礼金、有价证券、贵重物品，不得在乙方工作人员处报销任何应由个人支付的费用。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4.甲方工作人员不得参加可能对履行责任、义务有影响的宴请和娱乐活动。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5.甲方工作人员不得要求乙方或者接受乙方为其住房装修、婚丧嫁娶、家属和子女的工作安排等提供方便。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6.甲方有权对乙方在主合同实施过程中执行廉洁情况实行监督。</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（二）乙方责任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1.乙方应了解甲方单位有关廉洁管理各项制度规定，并遵照执行。</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2.乙方工作人员不得以任何形式向甲方工作人员及其家属赠送现金、有价证券和物品等。</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3.乙方工作人员不得为甲方人员报销应由个人支付的开支费用。</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4.乙方工作人员不得以任何名义邀请甲方人员外出旅游或出入营业性高档娱乐场所。</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5.乙方工作人员要积极主动配合甲方单位对主合同实施过程中执行廉洁情况的监督检查工作，并根据甲方单位提出的要求整改落实到位。</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6.甲乙双方如发现对方工作人员有违反上述协议的，应及时向对方领导或者对方上级单位举报，双方不得因此以任何理由对对方进行打击报复。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二、违约责任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1.甲方工作人员违反廉洁责任，经调查属实，甲方将依据有关规定对当事人进行严肃处理，对涉嫌犯罪人员移送司法机关。</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2.乙方工作人员违反廉洁责任，经调查属实，甲方根据具体情节和造成的后果一次性扣罚与其签订合同暂定总价款的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%，直至终止合同执行，并将乙方列入不合格供应商，由此造成的经济损失由乙方承担。</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3.乙方有存在向甲方人员及家属赠送现金、有价证券和物品等行为的，一经查实，甲方有权立即解除主合同，停止一切合作，并由乙方承担解约的全部损失。</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三、协议的生效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(一)本协议在双方签字盖章后即生效。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(二)本协议一式陆份,甲方执肆份，乙方执贰份。</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(三)本协议在主合同授予、履行的全过程有效，并作为主合同的附件。</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                              乙  方：</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法定代表人（或授权代表）：          法定代表人（或授权代表）：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签署日期：                            签署日期：</w:t>
      </w:r>
    </w:p>
    <w:p>
      <w:pPr>
        <w:spacing w:line="360" w:lineRule="auto"/>
        <w:ind w:right="600"/>
        <w:jc w:val="center"/>
        <w:rPr>
          <w:rFonts w:hint="eastAsia" w:ascii="宋体" w:hAnsi="宋体" w:cs="仿宋_GB2312"/>
          <w:b/>
          <w:color w:val="auto"/>
          <w:sz w:val="21"/>
          <w:szCs w:val="21"/>
          <w:highlight w:val="none"/>
        </w:rPr>
      </w:pPr>
      <w:r>
        <w:rPr>
          <w:rFonts w:hint="eastAsia" w:ascii="宋体" w:hAnsi="宋体"/>
          <w:b/>
          <w:bCs/>
          <w:color w:val="auto"/>
          <w:szCs w:val="28"/>
          <w:highlight w:val="none"/>
        </w:rPr>
        <w:br w:type="page"/>
      </w:r>
      <w:r>
        <w:rPr>
          <w:rFonts w:hint="eastAsia" w:ascii="宋体" w:hAnsi="宋体"/>
          <w:b/>
          <w:bCs/>
          <w:color w:val="auto"/>
          <w:szCs w:val="28"/>
          <w:highlight w:val="none"/>
        </w:rPr>
        <w:t xml:space="preserve">第四章 </w:t>
      </w:r>
      <w:r>
        <w:rPr>
          <w:rFonts w:hint="eastAsia" w:ascii="宋体" w:hAnsi="宋体" w:cs="宋体"/>
          <w:b/>
          <w:color w:val="auto"/>
          <w:szCs w:val="28"/>
          <w:highlight w:val="none"/>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1"/>
          <w:szCs w:val="21"/>
          <w:highlight w:val="none"/>
        </w:rPr>
      </w:pPr>
      <w:r>
        <w:rPr>
          <w:rFonts w:hint="eastAsia" w:ascii="宋体" w:hAnsi="宋体" w:cs="宋体"/>
          <w:b/>
          <w:bCs/>
          <w:color w:val="auto"/>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项目名称：</w:t>
      </w:r>
      <w:r>
        <w:rPr>
          <w:rFonts w:hint="eastAsia" w:ascii="宋体" w:hAnsi="宋体" w:cs="宋体"/>
          <w:bCs/>
          <w:color w:val="auto"/>
          <w:sz w:val="21"/>
          <w:szCs w:val="21"/>
          <w:highlight w:val="none"/>
          <w:lang w:eastAsia="zh-CN"/>
        </w:rPr>
        <w:t>湖南省检验检测特色产业园2023-2024年度保洁服务采购项目</w:t>
      </w:r>
    </w:p>
    <w:p>
      <w:pPr>
        <w:pStyle w:val="4"/>
        <w:pageBreakBefore w:val="0"/>
        <w:widowControl w:val="0"/>
        <w:kinsoku/>
        <w:wordWrap/>
        <w:overflowPunct/>
        <w:topLinePunct w:val="0"/>
        <w:autoSpaceDE/>
        <w:autoSpaceDN/>
        <w:bidi w:val="0"/>
        <w:adjustRightInd/>
        <w:snapToGrid/>
        <w:jc w:val="left"/>
        <w:textAlignment w:val="auto"/>
        <w:rPr>
          <w:rFonts w:hint="eastAsia" w:ascii="宋体" w:hAnsi="宋体" w:cs="宋体"/>
          <w:color w:val="auto"/>
          <w:sz w:val="21"/>
          <w:szCs w:val="21"/>
          <w:highlight w:val="none"/>
        </w:rPr>
      </w:pPr>
      <w:bookmarkStart w:id="0" w:name="_Toc276981149"/>
      <w:bookmarkStart w:id="1" w:name="_Toc31791"/>
      <w:r>
        <w:rPr>
          <w:rFonts w:hint="eastAsia" w:ascii="宋体" w:hAnsi="宋体" w:cs="宋体"/>
          <w:color w:val="auto"/>
          <w:sz w:val="21"/>
          <w:szCs w:val="21"/>
          <w:highlight w:val="none"/>
        </w:rPr>
        <w:t>二、</w:t>
      </w:r>
      <w:bookmarkEnd w:id="0"/>
      <w:bookmarkEnd w:id="1"/>
      <w:r>
        <w:rPr>
          <w:rFonts w:hint="eastAsia" w:ascii="宋体" w:hAnsi="宋体" w:cs="宋体"/>
          <w:color w:val="auto"/>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为保证检验检测园项目保洁服务工作的正常开展，结合利用外部专业化资源，提高管理效率，切实做好外包单位服务质量，根据项目实际情况，对本项目做出以下简要要求：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1、本项目合同采用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color w:val="auto"/>
          <w:sz w:val="21"/>
          <w:szCs w:val="21"/>
          <w:highlight w:val="none"/>
        </w:rPr>
        <w:t>，包括人员（要求初中文化以上，</w:t>
      </w:r>
      <w:r>
        <w:rPr>
          <w:rFonts w:hint="eastAsia" w:ascii="宋体" w:hAnsi="宋体" w:cs="宋体"/>
          <w:bCs/>
          <w:color w:val="auto"/>
          <w:sz w:val="21"/>
          <w:szCs w:val="21"/>
          <w:highlight w:val="none"/>
        </w:rPr>
        <w:t>5</w:t>
      </w:r>
      <w:r>
        <w:rPr>
          <w:rFonts w:hint="eastAsia" w:ascii="宋体" w:hAnsi="宋体" w:cs="宋体"/>
          <w:bCs/>
          <w:color w:val="auto"/>
          <w:sz w:val="21"/>
          <w:szCs w:val="21"/>
          <w:highlight w:val="none"/>
          <w:lang w:val="en-US" w:eastAsia="zh-CN"/>
        </w:rPr>
        <w:t>0</w:t>
      </w:r>
      <w:r>
        <w:rPr>
          <w:rFonts w:hint="eastAsia" w:ascii="宋体" w:hAnsi="宋体" w:cs="宋体"/>
          <w:bCs/>
          <w:color w:val="auto"/>
          <w:sz w:val="21"/>
          <w:szCs w:val="21"/>
          <w:highlight w:val="none"/>
        </w:rPr>
        <w:t>岁</w:t>
      </w:r>
      <w:r>
        <w:rPr>
          <w:rFonts w:hint="eastAsia" w:ascii="宋体" w:hAnsi="宋体" w:cs="宋体"/>
          <w:bCs/>
          <w:color w:val="auto"/>
          <w:sz w:val="21"/>
          <w:szCs w:val="21"/>
          <w:highlight w:val="none"/>
          <w:lang w:eastAsia="zh-CN"/>
        </w:rPr>
        <w:t>（含</w:t>
      </w:r>
      <w:r>
        <w:rPr>
          <w:rFonts w:hint="eastAsia" w:ascii="宋体" w:hAnsi="宋体" w:cs="宋体"/>
          <w:bCs/>
          <w:color w:val="auto"/>
          <w:sz w:val="21"/>
          <w:szCs w:val="21"/>
          <w:highlight w:val="none"/>
          <w:lang w:val="en-US" w:eastAsia="zh-CN"/>
        </w:rPr>
        <w:t>50岁</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以内</w:t>
      </w:r>
      <w:r>
        <w:rPr>
          <w:rFonts w:hint="eastAsia" w:ascii="宋体" w:hAnsi="宋体" w:cs="宋体"/>
          <w:bCs/>
          <w:color w:val="auto"/>
          <w:sz w:val="21"/>
          <w:szCs w:val="21"/>
          <w:highlight w:val="none"/>
        </w:rPr>
        <w:t>，形象端正，身体健康，从事过保洁服务工作2年以上，基本掌握一般清洁工作标准流程以及操作技巧。基本掌握各类清洁用品用具的使用方法，具有一定的沟通协调能力，服务意识强，责任心强，服从管理。保洁工具、服装、保险、税费、管理成本等所有费用上限价为3000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w:t>
      </w:r>
      <w:r>
        <w:rPr>
          <w:rFonts w:hint="eastAsia" w:ascii="宋体" w:hAnsi="宋体" w:cs="宋体"/>
          <w:bCs/>
          <w:color w:val="auto"/>
          <w:sz w:val="21"/>
          <w:szCs w:val="21"/>
          <w:highlight w:val="none"/>
        </w:rPr>
        <w:t>，10小时工作制）。</w:t>
      </w:r>
      <w:r>
        <w:rPr>
          <w:rFonts w:hint="eastAsia" w:ascii="宋体" w:hAnsi="宋体" w:cs="宋体"/>
          <w:bCs/>
          <w:color w:val="auto"/>
          <w:sz w:val="21"/>
          <w:szCs w:val="21"/>
          <w:highlight w:val="none"/>
          <w:lang w:val="en-US" w:eastAsia="zh-CN"/>
        </w:rPr>
        <w:t>投标人</w:t>
      </w:r>
      <w:r>
        <w:rPr>
          <w:rFonts w:hint="eastAsia" w:ascii="宋体" w:hAnsi="宋体" w:eastAsia="宋体" w:cs="宋体"/>
          <w:color w:val="auto"/>
          <w:spacing w:val="0"/>
          <w:position w:val="0"/>
          <w:sz w:val="21"/>
          <w:szCs w:val="21"/>
        </w:rPr>
        <w:t>负责其派出</w:t>
      </w:r>
      <w:r>
        <w:rPr>
          <w:rFonts w:hint="eastAsia" w:ascii="宋体" w:hAnsi="宋体" w:cs="宋体"/>
          <w:color w:val="auto"/>
          <w:spacing w:val="0"/>
          <w:position w:val="0"/>
          <w:sz w:val="21"/>
          <w:szCs w:val="21"/>
          <w:lang w:val="en-US" w:eastAsia="zh-CN"/>
        </w:rPr>
        <w:t>服务人员</w:t>
      </w:r>
      <w:r>
        <w:rPr>
          <w:rFonts w:hint="eastAsia" w:ascii="宋体" w:hAnsi="宋体" w:eastAsia="宋体" w:cs="宋体"/>
          <w:color w:val="auto"/>
          <w:spacing w:val="0"/>
          <w:position w:val="0"/>
          <w:sz w:val="21"/>
          <w:szCs w:val="21"/>
        </w:rPr>
        <w:t>的人身意外保险</w:t>
      </w:r>
      <w:r>
        <w:rPr>
          <w:rFonts w:hint="eastAsia" w:ascii="宋体" w:hAnsi="宋体" w:cs="宋体"/>
          <w:color w:val="auto"/>
          <w:spacing w:val="0"/>
          <w:position w:val="0"/>
          <w:sz w:val="21"/>
          <w:szCs w:val="21"/>
          <w:lang w:eastAsia="zh-CN"/>
        </w:rPr>
        <w:t>，</w:t>
      </w:r>
      <w:r>
        <w:rPr>
          <w:rFonts w:hint="eastAsia" w:ascii="宋体" w:hAnsi="宋体" w:cs="宋体"/>
          <w:color w:val="auto"/>
          <w:spacing w:val="0"/>
          <w:position w:val="0"/>
          <w:sz w:val="21"/>
          <w:szCs w:val="21"/>
          <w:lang w:val="en-US" w:eastAsia="zh-CN"/>
        </w:rPr>
        <w:t>出现相关意外事故由投标人自行承担相关责任，</w:t>
      </w:r>
      <w:r>
        <w:rPr>
          <w:rFonts w:hint="eastAsia" w:ascii="宋体" w:hAnsi="宋体" w:eastAsia="宋体" w:cs="宋体"/>
          <w:bCs/>
          <w:color w:val="auto"/>
          <w:sz w:val="21"/>
          <w:szCs w:val="21"/>
        </w:rPr>
        <w:t>承担用工风险并负责处理用工纠纷</w:t>
      </w:r>
      <w:r>
        <w:rPr>
          <w:rFonts w:hint="eastAsia" w:ascii="宋体" w:hAnsi="宋体" w:cs="宋体"/>
          <w:color w:val="auto"/>
          <w:spacing w:val="0"/>
          <w:position w:val="0"/>
          <w:sz w:val="21"/>
          <w:szCs w:val="21"/>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bCs/>
          <w:color w:val="auto"/>
          <w:sz w:val="21"/>
          <w:szCs w:val="21"/>
          <w:highlight w:val="none"/>
        </w:rPr>
        <w:t>合同签订期限为合同签订之日起一年</w:t>
      </w:r>
      <w:r>
        <w:rPr>
          <w:rFonts w:hint="eastAsia" w:ascii="宋体" w:hAnsi="宋体" w:cs="宋体"/>
          <w:bCs/>
          <w:color w:val="auto"/>
          <w:sz w:val="21"/>
          <w:szCs w:val="21"/>
          <w:highlight w:val="none"/>
        </w:rPr>
        <w:t>，</w:t>
      </w:r>
      <w:r>
        <w:rPr>
          <w:rFonts w:hint="eastAsia" w:ascii="宋体" w:hAnsi="宋体" w:cs="宋体"/>
          <w:bCs/>
          <w:color w:val="auto"/>
          <w:sz w:val="21"/>
          <w:szCs w:val="21"/>
          <w:highlight w:val="none"/>
        </w:rPr>
        <w:t>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w:t>
      </w:r>
      <w:r>
        <w:rPr>
          <w:rFonts w:hint="eastAsia" w:ascii="宋体" w:hAnsi="宋体" w:cs="宋体"/>
          <w:bCs/>
          <w:color w:val="auto"/>
          <w:sz w:val="21"/>
          <w:szCs w:val="21"/>
          <w:highlight w:val="none"/>
          <w:lang w:val="en-US" w:eastAsia="zh-CN"/>
        </w:rPr>
        <w:t>24</w:t>
      </w:r>
      <w:r>
        <w:rPr>
          <w:rFonts w:hint="eastAsia" w:ascii="宋体" w:hAnsi="宋体" w:cs="宋体"/>
          <w:bCs/>
          <w:color w:val="auto"/>
          <w:sz w:val="21"/>
          <w:szCs w:val="21"/>
          <w:highlight w:val="none"/>
        </w:rPr>
        <w:t>人</w:t>
      </w:r>
      <w:r>
        <w:rPr>
          <w:rFonts w:hint="eastAsia" w:ascii="宋体" w:hAnsi="宋体" w:cs="宋体"/>
          <w:bCs/>
          <w:color w:val="auto"/>
          <w:sz w:val="21"/>
          <w:szCs w:val="21"/>
          <w:highlight w:val="none"/>
        </w:rPr>
        <w:t>，具体人数根据项目需求及实际到岗人数为准。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3、服务上限费用预计：</w:t>
      </w:r>
      <w:r>
        <w:rPr>
          <w:rFonts w:hint="eastAsia" w:ascii="宋体" w:hAnsi="宋体" w:cs="宋体"/>
          <w:bCs/>
          <w:color w:val="auto"/>
          <w:sz w:val="21"/>
          <w:szCs w:val="21"/>
          <w:highlight w:val="none"/>
          <w:lang w:val="en-US" w:eastAsia="zh-CN"/>
        </w:rPr>
        <w:t>24</w:t>
      </w:r>
      <w:r>
        <w:rPr>
          <w:rFonts w:hint="eastAsia" w:ascii="宋体" w:hAnsi="宋体" w:cs="宋体"/>
          <w:bCs/>
          <w:color w:val="auto"/>
          <w:sz w:val="21"/>
          <w:szCs w:val="21"/>
          <w:highlight w:val="none"/>
        </w:rPr>
        <w:t>人</w:t>
      </w:r>
      <w:r>
        <w:rPr>
          <w:rFonts w:hint="eastAsia" w:ascii="宋体" w:hAnsi="宋体" w:cs="宋体"/>
          <w:bCs/>
          <w:color w:val="auto"/>
          <w:sz w:val="21"/>
          <w:szCs w:val="21"/>
          <w:highlight w:val="none"/>
        </w:rPr>
        <w:t>*12个月*3000元/人=</w:t>
      </w:r>
      <w:r>
        <w:rPr>
          <w:rFonts w:hint="eastAsia" w:ascii="宋体" w:hAnsi="宋体" w:cs="宋体"/>
          <w:bCs/>
          <w:color w:val="auto"/>
          <w:sz w:val="21"/>
          <w:szCs w:val="21"/>
          <w:highlight w:val="none"/>
          <w:lang w:val="en-US" w:eastAsia="zh-CN"/>
        </w:rPr>
        <w:t>864000</w:t>
      </w:r>
      <w:r>
        <w:rPr>
          <w:rFonts w:hint="eastAsia" w:ascii="宋体" w:hAnsi="宋体" w:cs="宋体"/>
          <w:bCs/>
          <w:color w:val="auto"/>
          <w:sz w:val="21"/>
          <w:szCs w:val="21"/>
          <w:highlight w:val="none"/>
        </w:rPr>
        <w:t>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费用说明： </w:t>
      </w:r>
    </w:p>
    <w:p>
      <w:pPr>
        <w:pageBreakBefore w:val="0"/>
        <w:widowControl w:val="0"/>
        <w:numPr>
          <w:ilvl w:val="0"/>
          <w:numId w:val="6"/>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预算为包干制，该费用包括但不限于所需的人员薪资福利、工作服装、服务工具、设施设备以及税金、利润、管理成本等费用；</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rPr>
        <w:t>（2）外包服务费用根据实际到岗人数，由项目服务中心每月根据服务质量考核标准，综合评估后按月支付。考核标准详见第三点，“项目具体实施要求”</w:t>
      </w:r>
      <w:r>
        <w:rPr>
          <w:rFonts w:hint="eastAsia" w:ascii="宋体" w:hAnsi="宋体" w:cs="宋体"/>
          <w:bCs/>
          <w:color w:val="auto"/>
          <w:sz w:val="21"/>
          <w:szCs w:val="21"/>
          <w:highlight w:val="none"/>
          <w:lang w:eastAsia="zh-CN"/>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Cs/>
          <w:color w:val="auto"/>
          <w:sz w:val="21"/>
          <w:szCs w:val="21"/>
          <w:highlight w:val="none"/>
        </w:rPr>
        <w:t>（3）</w:t>
      </w:r>
      <w:r>
        <w:rPr>
          <w:rFonts w:hint="eastAsia" w:ascii="宋体" w:hAnsi="宋体" w:cs="宋体"/>
          <w:bCs/>
          <w:color w:val="auto"/>
          <w:sz w:val="21"/>
          <w:szCs w:val="21"/>
          <w:highlight w:val="none"/>
          <w:lang w:eastAsia="zh-CN"/>
        </w:rPr>
        <w:t>保洁</w:t>
      </w:r>
      <w:r>
        <w:rPr>
          <w:rFonts w:hint="eastAsia" w:ascii="宋体" w:hAnsi="宋体" w:cs="宋体"/>
          <w:b w:val="0"/>
          <w:bCs/>
          <w:color w:val="auto"/>
          <w:sz w:val="21"/>
          <w:szCs w:val="21"/>
          <w:highlight w:val="none"/>
          <w:lang w:eastAsia="zh-CN"/>
        </w:rPr>
        <w:t>人员当月工作</w:t>
      </w:r>
      <w:r>
        <w:rPr>
          <w:rFonts w:hint="eastAsia" w:ascii="宋体" w:hAnsi="宋体" w:cs="宋体"/>
          <w:b w:val="0"/>
          <w:bCs/>
          <w:color w:val="auto"/>
          <w:sz w:val="21"/>
          <w:szCs w:val="21"/>
          <w:highlight w:val="none"/>
        </w:rPr>
        <w:t>时间不足</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3天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2"/>
        <w:ind w:firstLine="420" w:firstLineChars="200"/>
        <w:jc w:val="both"/>
        <w:rPr>
          <w:rFonts w:hint="eastAsia" w:ascii="宋体" w:hAnsi="宋体" w:cs="宋体"/>
          <w:bCs/>
          <w:color w:val="auto"/>
          <w:sz w:val="21"/>
          <w:szCs w:val="21"/>
          <w:highlight w:val="none"/>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color w:val="auto"/>
          <w:sz w:val="21"/>
          <w:szCs w:val="21"/>
          <w:highlight w:val="none"/>
        </w:rPr>
        <w:t>合同期限内</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p>
    <w:p>
      <w:pPr>
        <w:pStyle w:val="4"/>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三、项目具体实施要求</w:t>
      </w:r>
    </w:p>
    <w:p>
      <w:pPr>
        <w:pStyle w:val="2"/>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检验检测园项目保洁人员岗位职责及任职要求</w:t>
      </w:r>
    </w:p>
    <w:tbl>
      <w:tblPr>
        <w:tblStyle w:val="41"/>
        <w:tblW w:w="10037" w:type="dxa"/>
        <w:jc w:val="center"/>
        <w:tblLayout w:type="fixed"/>
        <w:tblCellMar>
          <w:top w:w="15" w:type="dxa"/>
          <w:left w:w="15" w:type="dxa"/>
          <w:bottom w:w="15" w:type="dxa"/>
          <w:right w:w="15" w:type="dxa"/>
        </w:tblCellMar>
      </w:tblPr>
      <w:tblGrid>
        <w:gridCol w:w="1647"/>
        <w:gridCol w:w="804"/>
        <w:gridCol w:w="6375"/>
        <w:gridCol w:w="1211"/>
      </w:tblGrid>
      <w:tr>
        <w:tblPrEx>
          <w:tblCellMar>
            <w:top w:w="15" w:type="dxa"/>
            <w:left w:w="15" w:type="dxa"/>
            <w:bottom w:w="15" w:type="dxa"/>
            <w:right w:w="15" w:type="dxa"/>
          </w:tblCellMar>
        </w:tblPrEx>
        <w:trPr>
          <w:trHeight w:val="90"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岗位</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编制</w:t>
            </w:r>
          </w:p>
        </w:tc>
        <w:tc>
          <w:tcPr>
            <w:tcW w:w="6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岗位职责</w:t>
            </w:r>
          </w:p>
        </w:tc>
        <w:tc>
          <w:tcPr>
            <w:tcW w:w="121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工作时间</w:t>
            </w:r>
          </w:p>
        </w:tc>
      </w:tr>
      <w:tr>
        <w:tblPrEx>
          <w:tblCellMar>
            <w:top w:w="15" w:type="dxa"/>
            <w:left w:w="15" w:type="dxa"/>
            <w:bottom w:w="15" w:type="dxa"/>
            <w:right w:w="15" w:type="dxa"/>
          </w:tblCellMar>
        </w:tblPrEx>
        <w:trPr>
          <w:trHeight w:val="1549"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招商中心保洁岗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6375" w:type="dxa"/>
            <w:tcBorders>
              <w:top w:val="single" w:color="000000" w:sz="4" w:space="0"/>
              <w:left w:val="single" w:color="000000" w:sz="4" w:space="0"/>
              <w:bottom w:val="single" w:color="000000" w:sz="4" w:space="0"/>
              <w:right w:val="single" w:color="auto" w:sz="4" w:space="0"/>
            </w:tcBorders>
            <w:noWrap w:val="0"/>
            <w:vAlign w:val="center"/>
          </w:tcPr>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1.负责招商中心接待区域卫生保洁工作，确保接待区域地面，桌面无污渍、无水渍，定期对沙发皮具等以及不锈钢器具、玻璃墙面等进行清洁工作；</w:t>
            </w:r>
          </w:p>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2.负责招商中心洗手间的清洁工作以及保洁易耗用品的更换与保管；</w:t>
            </w:r>
          </w:p>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3.负责沙盘区域的卫生清洁工作。</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747"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外围保洁岗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375" w:type="dxa"/>
            <w:tcBorders>
              <w:top w:val="single" w:color="000000" w:sz="4" w:space="0"/>
              <w:left w:val="single" w:color="000000" w:sz="4" w:space="0"/>
              <w:bottom w:val="single" w:color="000000" w:sz="4" w:space="0"/>
              <w:right w:val="single" w:color="auto" w:sz="4" w:space="0"/>
            </w:tcBorders>
            <w:noWrap w:val="0"/>
            <w:vAlign w:val="center"/>
          </w:tcPr>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1.负责外围公共区域、路面、绿化带、草坪的清洁卫生工作</w:t>
            </w:r>
            <w:r>
              <w:rPr>
                <w:rFonts w:hint="eastAsia" w:ascii="宋体" w:hAnsi="宋体" w:cs="宋体"/>
                <w:color w:val="auto"/>
                <w:sz w:val="21"/>
                <w:szCs w:val="21"/>
                <w:highlight w:val="none"/>
              </w:rPr>
              <w:t>；</w:t>
            </w:r>
          </w:p>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2.雨天负责检查外围各排水通道并疏通，积水区域及时清理；</w:t>
            </w:r>
          </w:p>
          <w:p>
            <w:pPr>
              <w:pStyle w:val="156"/>
              <w:spacing w:line="240" w:lineRule="auto"/>
              <w:rPr>
                <w:rFonts w:hint="eastAsia" w:ascii="宋体" w:hAnsi="宋体" w:cs="宋体"/>
                <w:color w:val="auto"/>
                <w:sz w:val="21"/>
                <w:szCs w:val="21"/>
                <w:highlight w:val="none"/>
                <w:shd w:val="clear" w:color="auto" w:fill="FFFEFE"/>
              </w:rPr>
            </w:pPr>
            <w:r>
              <w:rPr>
                <w:rFonts w:hint="eastAsia" w:ascii="宋体" w:hAnsi="宋体" w:cs="宋体"/>
                <w:color w:val="auto"/>
                <w:sz w:val="21"/>
                <w:szCs w:val="21"/>
                <w:highlight w:val="none"/>
                <w:shd w:val="clear" w:color="auto" w:fill="FFFEFE"/>
              </w:rPr>
              <w:t>3.负责水池清洗除癣工作。</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810"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写字楼保洁岗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375"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1.负责大厅以及洗手间、楼梯间、公共区域卫生；</w:t>
            </w:r>
          </w:p>
          <w:p>
            <w:pPr>
              <w:pStyle w:val="15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2.确保地面、墙面、玻璃面无灰尘、无水渍；</w:t>
            </w:r>
          </w:p>
          <w:p>
            <w:pPr>
              <w:pStyle w:val="156"/>
              <w:spacing w:line="240" w:lineRule="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rPr>
              <w:t>3.垃圾桶内垃圾不超过2/3，每15分钟巡查一次。</w:t>
            </w:r>
          </w:p>
        </w:tc>
        <w:tc>
          <w:tcPr>
            <w:tcW w:w="1211" w:type="dxa"/>
            <w:tcBorders>
              <w:top w:val="single" w:color="auto"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810"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地下停车场    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6375" w:type="dxa"/>
            <w:tcBorders>
              <w:top w:val="single" w:color="000000" w:sz="4" w:space="0"/>
              <w:left w:val="single" w:color="000000" w:sz="4" w:space="0"/>
              <w:bottom w:val="single" w:color="000000" w:sz="4" w:space="0"/>
              <w:right w:val="single" w:color="000000" w:sz="4" w:space="0"/>
            </w:tcBorders>
            <w:noWrap w:val="0"/>
            <w:vAlign w:val="center"/>
          </w:tcPr>
          <w:p>
            <w:pPr>
              <w:pStyle w:val="156"/>
              <w:numPr>
                <w:ilvl w:val="0"/>
                <w:numId w:val="7"/>
              </w:num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负责1#、2#号地下室区域卫生保洁工作；</w:t>
            </w:r>
          </w:p>
          <w:p>
            <w:pPr>
              <w:pStyle w:val="156"/>
              <w:numPr>
                <w:ilvl w:val="0"/>
                <w:numId w:val="7"/>
              </w:num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确保地面、墙面无白色垃圾，无水渍；</w:t>
            </w:r>
          </w:p>
          <w:p>
            <w:pPr>
              <w:pStyle w:val="156"/>
              <w:numPr>
                <w:ilvl w:val="0"/>
                <w:numId w:val="7"/>
              </w:num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及时清理各垃圾堆放点。</w:t>
            </w:r>
          </w:p>
        </w:tc>
        <w:tc>
          <w:tcPr>
            <w:tcW w:w="1211" w:type="dxa"/>
            <w:tcBorders>
              <w:top w:val="single" w:color="auto"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300" w:hRule="atLeast"/>
          <w:jc w:val="center"/>
        </w:trPr>
        <w:tc>
          <w:tcPr>
            <w:tcW w:w="24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合计</w:t>
            </w:r>
          </w:p>
        </w:tc>
        <w:tc>
          <w:tcPr>
            <w:tcW w:w="75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24</w:t>
            </w:r>
            <w:r>
              <w:rPr>
                <w:rFonts w:hint="eastAsia" w:ascii="宋体" w:hAnsi="宋体" w:cs="宋体"/>
                <w:color w:val="auto"/>
                <w:sz w:val="21"/>
                <w:szCs w:val="21"/>
                <w:highlight w:val="none"/>
              </w:rPr>
              <w:t>人</w:t>
            </w:r>
          </w:p>
        </w:tc>
      </w:tr>
    </w:tbl>
    <w:p>
      <w:pPr>
        <w:pStyle w:val="2"/>
        <w:jc w:val="both"/>
        <w:rPr>
          <w:rFonts w:hint="eastAsia" w:ascii="宋体" w:hAnsi="宋体" w:cs="宋体"/>
          <w:bCs/>
          <w:color w:val="auto"/>
          <w:sz w:val="21"/>
          <w:szCs w:val="21"/>
          <w:highlight w:val="none"/>
        </w:rPr>
      </w:pPr>
    </w:p>
    <w:p>
      <w:pPr>
        <w:rPr>
          <w:rFonts w:hint="eastAsia" w:ascii="宋体" w:hAnsi="宋体"/>
          <w:b/>
          <w:color w:val="auto"/>
          <w:sz w:val="21"/>
          <w:szCs w:val="21"/>
          <w:highlight w:val="none"/>
        </w:rPr>
      </w:pPr>
      <w:r>
        <w:rPr>
          <w:rFonts w:hint="eastAsia" w:ascii="宋体" w:hAnsi="宋体"/>
          <w:b/>
          <w:color w:val="auto"/>
          <w:sz w:val="21"/>
          <w:szCs w:val="21"/>
          <w:highlight w:val="none"/>
        </w:rPr>
        <w:br w:type="page"/>
      </w:r>
    </w:p>
    <w:p>
      <w:pPr>
        <w:rPr>
          <w:rFonts w:hint="eastAsia" w:ascii="宋体" w:hAnsi="宋体"/>
          <w:b/>
          <w:color w:val="auto"/>
          <w:sz w:val="21"/>
          <w:szCs w:val="21"/>
          <w:highlight w:val="none"/>
        </w:rPr>
        <w:sectPr>
          <w:headerReference r:id="rId16" w:type="default"/>
          <w:footerReference r:id="rId17" w:type="default"/>
          <w:pgSz w:w="11906" w:h="16838"/>
          <w:pgMar w:top="726" w:right="1247" w:bottom="1077" w:left="1247" w:header="851" w:footer="907" w:gutter="0"/>
          <w:pgNumType w:fmt="decimal"/>
          <w:cols w:space="720" w:num="1"/>
          <w:docGrid w:linePitch="312" w:charSpace="0"/>
        </w:sectPr>
      </w:pPr>
    </w:p>
    <w:p>
      <w:pPr>
        <w:pStyle w:val="4"/>
        <w:spacing w:before="240" w:beforeLines="100"/>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外包服务合同服务质量及人员考核标准（保洁类）</w:t>
      </w:r>
    </w:p>
    <w:tbl>
      <w:tblPr>
        <w:tblStyle w:val="41"/>
        <w:tblpPr w:leftFromText="180" w:rightFromText="180" w:vertAnchor="text" w:tblpXSpec="center" w:tblpY="1"/>
        <w:tblOverlap w:val="neve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590"/>
        <w:gridCol w:w="1155"/>
        <w:gridCol w:w="1200"/>
        <w:gridCol w:w="990"/>
        <w:gridCol w:w="1395"/>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330" w:type="dxa"/>
            <w:gridSpan w:val="5"/>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7860" w:type="dxa"/>
            <w:tcBorders>
              <w:top w:val="single" w:color="auto" w:sz="8" w:space="0"/>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40" w:type="dxa"/>
            <w:gridSpan w:val="4"/>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860" w:type="dxa"/>
            <w:vMerge w:val="restart"/>
            <w:tcBorders>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continue"/>
            <w:noWrap w:val="0"/>
            <w:vAlign w:val="center"/>
          </w:tcPr>
          <w:p>
            <w:pPr>
              <w:jc w:val="center"/>
              <w:rPr>
                <w:rFonts w:ascii="宋体" w:hAnsi="宋体" w:cs="宋体"/>
                <w:color w:val="auto"/>
                <w:sz w:val="21"/>
                <w:szCs w:val="21"/>
                <w:highlight w:val="none"/>
              </w:rPr>
            </w:pPr>
          </w:p>
        </w:tc>
        <w:tc>
          <w:tcPr>
            <w:tcW w:w="1155"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0"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0"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95"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continue"/>
            <w:noWrap w:val="0"/>
            <w:vAlign w:val="center"/>
          </w:tcPr>
          <w:p>
            <w:pPr>
              <w:jc w:val="center"/>
              <w:rPr>
                <w:rFonts w:ascii="宋体" w:hAnsi="宋体" w:cs="宋体"/>
                <w:color w:val="auto"/>
                <w:sz w:val="21"/>
                <w:szCs w:val="21"/>
                <w:highlight w:val="none"/>
              </w:rPr>
            </w:pPr>
          </w:p>
        </w:tc>
        <w:tc>
          <w:tcPr>
            <w:tcW w:w="1155" w:type="dxa"/>
            <w:vMerge w:val="continue"/>
            <w:noWrap w:val="0"/>
            <w:vAlign w:val="center"/>
          </w:tcPr>
          <w:p>
            <w:pPr>
              <w:jc w:val="center"/>
              <w:rPr>
                <w:rFonts w:ascii="宋体" w:hAnsi="宋体" w:cs="宋体"/>
                <w:color w:val="auto"/>
                <w:sz w:val="21"/>
                <w:szCs w:val="21"/>
                <w:highlight w:val="none"/>
              </w:rPr>
            </w:pPr>
          </w:p>
        </w:tc>
        <w:tc>
          <w:tcPr>
            <w:tcW w:w="1200" w:type="dxa"/>
            <w:vMerge w:val="continue"/>
            <w:noWrap w:val="0"/>
            <w:vAlign w:val="center"/>
          </w:tcPr>
          <w:p>
            <w:pPr>
              <w:jc w:val="center"/>
              <w:rPr>
                <w:rFonts w:ascii="宋体" w:hAnsi="宋体" w:cs="宋体"/>
                <w:color w:val="auto"/>
                <w:sz w:val="21"/>
                <w:szCs w:val="21"/>
                <w:highlight w:val="none"/>
              </w:rPr>
            </w:pPr>
          </w:p>
        </w:tc>
        <w:tc>
          <w:tcPr>
            <w:tcW w:w="990" w:type="dxa"/>
            <w:vMerge w:val="continue"/>
            <w:noWrap w:val="0"/>
            <w:vAlign w:val="center"/>
          </w:tcPr>
          <w:p>
            <w:pPr>
              <w:jc w:val="center"/>
              <w:rPr>
                <w:rFonts w:ascii="宋体" w:hAnsi="宋体" w:cs="宋体"/>
                <w:color w:val="auto"/>
                <w:sz w:val="21"/>
                <w:szCs w:val="21"/>
                <w:highlight w:val="none"/>
              </w:rPr>
            </w:pPr>
          </w:p>
        </w:tc>
        <w:tc>
          <w:tcPr>
            <w:tcW w:w="1395" w:type="dxa"/>
            <w:vMerge w:val="continue"/>
            <w:noWrap w:val="0"/>
            <w:vAlign w:val="center"/>
          </w:tcPr>
          <w:p>
            <w:pPr>
              <w:jc w:val="center"/>
              <w:rPr>
                <w:rFonts w:ascii="宋体" w:hAnsi="宋体" w:cs="宋体"/>
                <w:color w:val="auto"/>
                <w:sz w:val="21"/>
                <w:szCs w:val="21"/>
                <w:highlight w:val="none"/>
              </w:rPr>
            </w:pPr>
          </w:p>
        </w:tc>
        <w:tc>
          <w:tcPr>
            <w:tcW w:w="7860" w:type="dxa"/>
            <w:vMerge w:val="restart"/>
            <w:tcBorders>
              <w:right w:val="single" w:color="auto" w:sz="8" w:space="0"/>
            </w:tcBorders>
            <w:noWrap w:val="0"/>
            <w:vAlign w:val="center"/>
          </w:tcPr>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fldChar w:fldCharType="begin"/>
            </w:r>
            <w:r>
              <w:rPr>
                <w:rFonts w:ascii="宋体" w:hAnsi="宋体" w:cs="宋体"/>
                <w:color w:val="auto"/>
                <w:sz w:val="21"/>
                <w:szCs w:val="21"/>
                <w:highlight w:val="none"/>
              </w:rPr>
              <w:instrText xml:space="preserve"> QUOTE </w:instrText>
            </w:r>
            <w:r>
              <w:rPr>
                <w:rFonts w:hint="eastAsia" w:ascii="Times New Roman" w:hAnsi="Times New Roman"/>
                <w:color w:val="auto"/>
                <w:position w:val="-24"/>
                <w:highlight w:val="none"/>
              </w:rPr>
              <w:pict>
                <v:shape id="_x0000_i1027"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instrText xml:space="preserve"> </w:instrText>
            </w:r>
            <w:r>
              <w:rPr>
                <w:rFonts w:ascii="宋体" w:hAnsi="宋体" w:cs="宋体"/>
                <w:color w:val="auto"/>
                <w:sz w:val="21"/>
                <w:szCs w:val="21"/>
                <w:highlight w:val="none"/>
              </w:rPr>
              <w:fldChar w:fldCharType="separate"/>
            </w:r>
            <w:r>
              <w:rPr>
                <w:rFonts w:hint="eastAsia" w:ascii="Times New Roman" w:hAnsi="Times New Roman"/>
                <w:color w:val="auto"/>
                <w:position w:val="-24"/>
                <w:highlight w:val="none"/>
              </w:rPr>
              <w:pict>
                <v:shape id="_x0000_i1028"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 ，下同)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290" w:type="dxa"/>
            <w:tcBorders>
              <w:left w:val="single" w:color="auto" w:sz="8" w:space="0"/>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590"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155"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0"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990"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95"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590" w:type="dxa"/>
            <w:vMerge w:val="restart"/>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40" w:type="dxa"/>
            <w:gridSpan w:val="4"/>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continue"/>
            <w:noWrap w:val="0"/>
            <w:vAlign w:val="center"/>
          </w:tcPr>
          <w:p>
            <w:pPr>
              <w:jc w:val="center"/>
              <w:rPr>
                <w:rFonts w:ascii="宋体" w:hAnsi="宋体" w:cs="宋体"/>
                <w:color w:val="auto"/>
                <w:sz w:val="21"/>
                <w:szCs w:val="21"/>
                <w:highlight w:val="none"/>
              </w:rPr>
            </w:pPr>
          </w:p>
        </w:tc>
        <w:tc>
          <w:tcPr>
            <w:tcW w:w="115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9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1290" w:type="dxa"/>
            <w:tcBorders>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59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15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 10%扣除</w:t>
            </w:r>
          </w:p>
        </w:tc>
        <w:tc>
          <w:tcPr>
            <w:tcW w:w="99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9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bl>
    <w:p>
      <w:pPr>
        <w:pStyle w:val="2"/>
        <w:rPr>
          <w:rFonts w:hint="eastAsia"/>
          <w:color w:val="auto"/>
        </w:rPr>
        <w:sectPr>
          <w:pgSz w:w="16838" w:h="11906" w:orient="landscape"/>
          <w:pgMar w:top="1247" w:right="726" w:bottom="1247" w:left="1077" w:header="851" w:footer="907" w:gutter="0"/>
          <w:cols w:space="0" w:num="1"/>
          <w:rtlGutter w:val="0"/>
          <w:docGrid w:linePitch="312" w:charSpace="0"/>
        </w:sectPr>
      </w:pPr>
    </w:p>
    <w:p>
      <w:pPr>
        <w:pStyle w:val="4"/>
        <w:spacing w:before="240" w:beforeLines="100"/>
        <w:rPr>
          <w:rFonts w:hint="eastAsia" w:ascii="宋体" w:hAnsi="宋体" w:cs="宋体"/>
          <w:color w:val="auto"/>
          <w:sz w:val="24"/>
          <w:szCs w:val="24"/>
          <w:highlight w:val="none"/>
        </w:rPr>
      </w:pPr>
      <w:r>
        <w:rPr>
          <w:rFonts w:hint="eastAsia" w:ascii="宋体" w:hAnsi="宋体" w:cs="宋体"/>
          <w:color w:val="auto"/>
          <w:kern w:val="72"/>
          <w:sz w:val="24"/>
          <w:szCs w:val="24"/>
          <w:highlight w:val="none"/>
        </w:rPr>
        <w:t>检测园保洁服务考核标准</w:t>
      </w:r>
    </w:p>
    <w:tbl>
      <w:tblPr>
        <w:tblStyle w:val="41"/>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blPrEx>
          <w:tblCellMar>
            <w:top w:w="15" w:type="dxa"/>
            <w:left w:w="15" w:type="dxa"/>
            <w:bottom w:w="15" w:type="dxa"/>
            <w:right w:w="15" w:type="dxa"/>
          </w:tblCellMar>
        </w:tblPrEx>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9" w:hangingChars="175"/>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扣分标准</w:t>
            </w:r>
          </w:p>
        </w:tc>
      </w:tr>
      <w:tr>
        <w:tblPrEx>
          <w:tblCellMar>
            <w:top w:w="15" w:type="dxa"/>
            <w:left w:w="15" w:type="dxa"/>
            <w:bottom w:w="15" w:type="dxa"/>
            <w:right w:w="15" w:type="dxa"/>
          </w:tblCellMar>
        </w:tblPrEx>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a)员工上班期间统一着工装，仪态自然，精神状态饱满</w:t>
            </w:r>
            <w:r>
              <w:rPr>
                <w:rStyle w:val="107"/>
                <w:rFonts w:hint="default"/>
                <w:color w:val="auto"/>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c)不得在工作场所大声喧哗，趴在工作台上休息，不打瞌睡或串岗聊天、吃零食</w:t>
            </w:r>
            <w:r>
              <w:rPr>
                <w:rStyle w:val="107"/>
                <w:rFonts w:hint="default"/>
                <w:color w:val="auto"/>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每发现一处不合格扣0.5分（打瞌睡另行再扣200元/次）</w:t>
            </w:r>
          </w:p>
        </w:tc>
      </w:tr>
      <w:tr>
        <w:tblPrEx>
          <w:tblCellMar>
            <w:top w:w="15" w:type="dxa"/>
            <w:left w:w="15" w:type="dxa"/>
            <w:bottom w:w="15" w:type="dxa"/>
            <w:right w:w="15" w:type="dxa"/>
          </w:tblCellMar>
        </w:tblPrEx>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e)礼貌待人，微笑服务，不讲脏话、粗话，业主方及客户需要帮助时，</w:t>
            </w:r>
            <w:r>
              <w:rPr>
                <w:rStyle w:val="142"/>
                <w:rFonts w:hint="default"/>
                <w:color w:val="auto"/>
                <w:sz w:val="21"/>
                <w:szCs w:val="21"/>
                <w:highlight w:val="none"/>
                <w:lang w:bidi="ar"/>
              </w:rPr>
              <w:t>主</w:t>
            </w:r>
            <w:r>
              <w:rPr>
                <w:rStyle w:val="151"/>
                <w:rFonts w:hint="default"/>
                <w:color w:val="auto"/>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i)垃圾桶外表干净，无积垢、臭味；</w:t>
            </w:r>
            <w:r>
              <w:rPr>
                <w:rStyle w:val="107"/>
                <w:rFonts w:hint="default"/>
                <w:color w:val="auto"/>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干净，无积垢、臭味；</w:t>
            </w:r>
            <w:r>
              <w:rPr>
                <w:rStyle w:val="107"/>
                <w:rFonts w:hint="default"/>
                <w:color w:val="auto"/>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a)车库地面无积水、积尘、油迹</w:t>
            </w:r>
            <w:r>
              <w:rPr>
                <w:rStyle w:val="151"/>
                <w:rFonts w:hint="default"/>
                <w:color w:val="auto"/>
                <w:sz w:val="21"/>
                <w:szCs w:val="21"/>
                <w:highlight w:val="none"/>
                <w:lang w:bidi="ar"/>
              </w:rPr>
              <w:t>、</w:t>
            </w:r>
            <w:r>
              <w:rPr>
                <w:rStyle w:val="107"/>
                <w:rFonts w:hint="default"/>
                <w:color w:val="auto"/>
                <w:sz w:val="21"/>
                <w:szCs w:val="21"/>
                <w:highlight w:val="none"/>
                <w:lang w:bidi="ar"/>
              </w:rPr>
              <w:t>污渍和</w:t>
            </w:r>
            <w:r>
              <w:rPr>
                <w:rStyle w:val="151"/>
                <w:rFonts w:hint="default"/>
                <w:color w:val="auto"/>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w:t>
            </w:r>
            <w:r>
              <w:rPr>
                <w:rStyle w:val="107"/>
                <w:rFonts w:hint="default"/>
                <w:color w:val="auto"/>
                <w:sz w:val="21"/>
                <w:szCs w:val="21"/>
                <w:highlight w:val="none"/>
                <w:lang w:bidi="ar"/>
              </w:rPr>
              <w:t>跟进车库虫害防控，定期进行消毒</w:t>
            </w:r>
            <w:r>
              <w:rPr>
                <w:rStyle w:val="151"/>
                <w:rFonts w:hint="default"/>
                <w:color w:val="auto"/>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a)外围公共道路、场地应保持干净、平整，无积水、残叶和垃圾。</w:t>
            </w:r>
            <w:r>
              <w:rPr>
                <w:rStyle w:val="107"/>
                <w:rFonts w:hint="default"/>
                <w:color w:val="auto"/>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j)废纸篓无污迹和臭味</w:t>
            </w:r>
            <w:r>
              <w:rPr>
                <w:rStyle w:val="151"/>
                <w:rFonts w:hint="default"/>
                <w:color w:val="auto"/>
                <w:sz w:val="21"/>
                <w:szCs w:val="21"/>
                <w:highlight w:val="none"/>
                <w:lang w:bidi="ar"/>
              </w:rPr>
              <w:t>，</w:t>
            </w:r>
            <w:r>
              <w:rPr>
                <w:rStyle w:val="107"/>
                <w:rFonts w:hint="default"/>
                <w:color w:val="auto"/>
                <w:sz w:val="21"/>
                <w:szCs w:val="21"/>
                <w:highlight w:val="none"/>
                <w:lang w:bidi="ar"/>
              </w:rPr>
              <w:t>垃圾、污物量不得超过桶底2/3</w:t>
            </w:r>
            <w:r>
              <w:rPr>
                <w:rFonts w:hint="eastAsia" w:ascii="宋体" w:hAnsi="宋体" w:cs="宋体"/>
                <w:color w:val="auto"/>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干净无污迹臭味，</w:t>
            </w:r>
            <w:r>
              <w:rPr>
                <w:rStyle w:val="107"/>
                <w:rFonts w:hint="default"/>
                <w:color w:val="auto"/>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每发现一处不符合</w:t>
            </w:r>
            <w:r>
              <w:rPr>
                <w:rFonts w:hint="eastAsia" w:ascii="宋体" w:hAnsi="宋体" w:cs="宋体"/>
                <w:color w:val="auto"/>
                <w:sz w:val="21"/>
                <w:szCs w:val="21"/>
                <w:highlight w:val="none"/>
              </w:rPr>
              <w:t>扣5分</w:t>
            </w:r>
          </w:p>
        </w:tc>
      </w:tr>
      <w:tr>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每发生一起安全事故或未上报扣5分</w:t>
            </w:r>
            <w:r>
              <w:rPr>
                <w:rFonts w:hint="eastAsia" w:ascii="宋体" w:hAnsi="宋体" w:cs="宋体"/>
                <w:color w:val="auto"/>
                <w:sz w:val="21"/>
                <w:szCs w:val="21"/>
                <w:highlight w:val="none"/>
              </w:rPr>
              <w:t>/次，连续三个月发生安全事故，终止合同</w:t>
            </w:r>
          </w:p>
        </w:tc>
      </w:tr>
      <w:tr>
        <w:tblPrEx>
          <w:tblCellMar>
            <w:top w:w="15" w:type="dxa"/>
            <w:left w:w="15" w:type="dxa"/>
            <w:bottom w:w="15" w:type="dxa"/>
            <w:right w:w="15" w:type="dxa"/>
          </w:tblCellMar>
        </w:tblPrEx>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处置工作不到位，工作落实不严谨扣0.5分/次</w:t>
            </w:r>
          </w:p>
        </w:tc>
      </w:tr>
      <w:tr>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bl>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五、项目其他内容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实施</w:t>
      </w:r>
      <w:r>
        <w:rPr>
          <w:rFonts w:ascii="宋体" w:hAnsi="宋体"/>
          <w:color w:val="auto"/>
          <w:sz w:val="21"/>
          <w:szCs w:val="21"/>
          <w:highlight w:val="none"/>
        </w:rPr>
        <w:t>地点：</w:t>
      </w:r>
      <w:r>
        <w:rPr>
          <w:rFonts w:hint="eastAsia" w:ascii="宋体" w:hAnsi="宋体"/>
          <w:color w:val="auto"/>
          <w:sz w:val="21"/>
          <w:szCs w:val="21"/>
          <w:highlight w:val="none"/>
        </w:rPr>
        <w:t>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b/>
          <w:color w:val="auto"/>
          <w:sz w:val="21"/>
          <w:szCs w:val="21"/>
          <w:highlight w:val="none"/>
        </w:rPr>
      </w:pPr>
      <w:r>
        <w:rPr>
          <w:rFonts w:hint="eastAsia" w:ascii="宋体" w:hAnsi="宋体"/>
          <w:b/>
          <w:color w:val="auto"/>
          <w:sz w:val="21"/>
          <w:szCs w:val="21"/>
          <w:highlight w:val="none"/>
        </w:rPr>
        <w:t>2、</w:t>
      </w:r>
      <w:r>
        <w:rPr>
          <w:rFonts w:hint="eastAsia" w:ascii="宋体" w:hAnsi="宋体"/>
          <w:color w:val="auto"/>
          <w:sz w:val="21"/>
          <w:szCs w:val="21"/>
          <w:highlight w:val="none"/>
        </w:rPr>
        <w:t xml:space="preserve"> </w:t>
      </w:r>
      <w:r>
        <w:rPr>
          <w:rFonts w:hint="eastAsia" w:ascii="宋体" w:hAnsi="宋体"/>
          <w:b/>
          <w:color w:val="auto"/>
          <w:sz w:val="21"/>
          <w:szCs w:val="21"/>
          <w:highlight w:val="none"/>
        </w:rPr>
        <w:t>结算方法</w:t>
      </w:r>
    </w:p>
    <w:p>
      <w:pPr>
        <w:pStyle w:val="40"/>
        <w:spacing w:after="0" w:line="360" w:lineRule="auto"/>
        <w:ind w:left="0" w:leftChars="0"/>
        <w:rPr>
          <w:rFonts w:ascii="宋体" w:hAnsi="宋体" w:cs="宋体"/>
          <w:color w:val="auto"/>
          <w:highlight w:val="none"/>
        </w:rPr>
      </w:pPr>
      <w:r>
        <w:rPr>
          <w:rFonts w:hint="eastAsia" w:ascii="宋体" w:hAnsi="宋体" w:cs="宋体"/>
          <w:color w:val="auto"/>
          <w:highlight w:val="none"/>
        </w:rPr>
        <w:t>2.1结算方式：根据每月保洁人员实际到岗人数和</w:t>
      </w:r>
      <w:r>
        <w:rPr>
          <w:rFonts w:hint="eastAsia" w:ascii="宋体" w:hAnsi="宋体" w:cs="宋体"/>
          <w:bCs/>
          <w:color w:val="auto"/>
          <w:szCs w:val="21"/>
          <w:highlight w:val="none"/>
        </w:rPr>
        <w:t>服务质量考核标准，综合评估后</w:t>
      </w:r>
      <w:r>
        <w:rPr>
          <w:rFonts w:hint="eastAsia" w:ascii="宋体" w:hAnsi="宋体" w:cs="宋体"/>
          <w:color w:val="auto"/>
          <w:highlight w:val="none"/>
        </w:rPr>
        <w:t>按实结算，具体结算金额以投标人的单项投标报价为准。</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2.2支付人：湖南智谷鑫服物业管理有限公司（自主支付）</w:t>
      </w:r>
    </w:p>
    <w:p>
      <w:pPr>
        <w:pStyle w:val="2"/>
        <w:keepNext w:val="0"/>
        <w:keepLines w:val="0"/>
        <w:pageBreakBefore w:val="0"/>
        <w:widowControl w:val="0"/>
        <w:kinsoku/>
        <w:wordWrap/>
        <w:overflowPunct/>
        <w:topLinePunct w:val="0"/>
        <w:autoSpaceDE/>
        <w:autoSpaceDN/>
        <w:bidi w:val="0"/>
        <w:spacing w:after="0" w:line="360" w:lineRule="auto"/>
        <w:ind w:firstLine="420" w:firstLineChars="200"/>
        <w:textAlignment w:val="auto"/>
        <w:rPr>
          <w:color w:val="auto"/>
          <w:sz w:val="21"/>
          <w:highlight w:val="none"/>
        </w:rPr>
      </w:pPr>
      <w:r>
        <w:rPr>
          <w:rFonts w:hint="eastAsia" w:ascii="宋体" w:hAnsi="宋体" w:eastAsia="宋体" w:cs="宋体"/>
          <w:color w:val="auto"/>
          <w:sz w:val="21"/>
          <w:highlight w:val="none"/>
          <w:lang w:val="en-US" w:eastAsia="zh-CN"/>
        </w:rPr>
        <w:t>2.3</w:t>
      </w:r>
      <w:r>
        <w:rPr>
          <w:rFonts w:hint="eastAsia" w:ascii="宋体" w:hAnsi="宋体" w:eastAsia="宋体" w:cs="宋体"/>
          <w:color w:val="auto"/>
          <w:sz w:val="21"/>
          <w:highlight w:val="none"/>
        </w:rPr>
        <w:t>付款方式：</w:t>
      </w:r>
      <w:r>
        <w:rPr>
          <w:rFonts w:hint="eastAsia" w:asciiTheme="minorEastAsia" w:hAnsiTheme="minorEastAsia" w:eastAsiaTheme="minorEastAsia" w:cstheme="minorEastAsia"/>
          <w:color w:val="auto"/>
          <w:sz w:val="21"/>
          <w:highlight w:val="none"/>
        </w:rPr>
        <w:t>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r>
        <w:rPr>
          <w:rFonts w:ascii="宋体" w:hAnsi="宋体" w:cs="宋体"/>
          <w:color w:val="auto"/>
          <w:sz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3、项目验收程序：</w:t>
      </w:r>
      <w:bookmarkStart w:id="2" w:name="_Toc225336551"/>
      <w:r>
        <w:rPr>
          <w:rFonts w:hint="eastAsia" w:ascii="宋体" w:hAnsi="宋体"/>
          <w:color w:val="auto"/>
          <w:sz w:val="21"/>
          <w:szCs w:val="21"/>
          <w:highlight w:val="none"/>
        </w:rPr>
        <w:t>本项目采取简易程序验收</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eastAsia="宋体"/>
          <w:color w:val="auto"/>
          <w:lang w:val="en-US" w:eastAsia="zh-CN"/>
        </w:rPr>
      </w:pPr>
      <w:r>
        <w:rPr>
          <w:rFonts w:hint="eastAsia" w:ascii="宋体" w:hAnsi="宋体"/>
          <w:b/>
          <w:bCs/>
          <w:color w:val="auto"/>
          <w:sz w:val="21"/>
          <w:szCs w:val="21"/>
          <w:highlight w:val="none"/>
        </w:rPr>
        <w:t>4、对于上述项目要求，投标人应在投标文件中进行回应，作出承诺及说</w:t>
      </w:r>
      <w:r>
        <w:rPr>
          <w:rFonts w:hint="eastAsia" w:ascii="宋体" w:hAnsi="宋体"/>
          <w:b/>
          <w:bCs/>
          <w:color w:val="auto"/>
          <w:sz w:val="21"/>
          <w:szCs w:val="21"/>
          <w:highlight w:val="none"/>
          <w:lang w:val="en-US" w:eastAsia="zh-CN"/>
        </w:rPr>
        <w:t>明</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color w:val="auto"/>
          <w:sz w:val="21"/>
          <w:szCs w:val="21"/>
          <w:highlight w:val="none"/>
        </w:rPr>
      </w:pPr>
      <w:r>
        <w:rPr>
          <w:rFonts w:hint="eastAsia" w:ascii="宋体" w:hAnsi="宋体"/>
          <w:b/>
          <w:bCs/>
          <w:color w:val="auto"/>
          <w:sz w:val="21"/>
          <w:szCs w:val="21"/>
          <w:highlight w:val="none"/>
          <w:lang w:val="en-US" w:eastAsia="zh-CN"/>
        </w:rPr>
        <w:t>5、</w:t>
      </w:r>
      <w:r>
        <w:rPr>
          <w:rFonts w:hint="eastAsia" w:ascii="宋体" w:hAnsi="宋体"/>
          <w:b/>
          <w:bCs/>
          <w:color w:val="auto"/>
          <w:sz w:val="21"/>
          <w:szCs w:val="21"/>
          <w:highlight w:val="none"/>
        </w:rPr>
        <w:t>因集团扁平化管理，采购人为湖南智谷投资发展集团有限公司，但合同签订、项目验收及项目付款为湖南智谷鑫服物业管理有限公司，该公司系湖南智谷投资发展集团有限公司的</w:t>
      </w:r>
      <w:r>
        <w:rPr>
          <w:rFonts w:hint="eastAsia" w:ascii="宋体" w:hAnsi="宋体"/>
          <w:b/>
          <w:bCs/>
          <w:color w:val="auto"/>
          <w:sz w:val="21"/>
          <w:szCs w:val="21"/>
          <w:highlight w:val="none"/>
          <w:lang w:val="en-US" w:eastAsia="zh-CN"/>
        </w:rPr>
        <w:t>项目</w:t>
      </w:r>
      <w:r>
        <w:rPr>
          <w:rFonts w:hint="eastAsia" w:ascii="宋体" w:hAnsi="宋体"/>
          <w:b/>
          <w:bCs/>
          <w:color w:val="auto"/>
          <w:sz w:val="21"/>
          <w:szCs w:val="21"/>
          <w:highlight w:val="none"/>
        </w:rPr>
        <w:t>公司。</w:t>
      </w:r>
    </w:p>
    <w:p>
      <w:pPr>
        <w:pStyle w:val="2"/>
        <w:keepNext w:val="0"/>
        <w:keepLines w:val="0"/>
        <w:pageBreakBefore w:val="0"/>
        <w:widowControl w:val="0"/>
        <w:kinsoku/>
        <w:wordWrap/>
        <w:overflowPunct/>
        <w:topLinePunct w:val="0"/>
        <w:autoSpaceDE/>
        <w:autoSpaceDN/>
        <w:bidi w:val="0"/>
        <w:spacing w:after="0" w:line="360" w:lineRule="auto"/>
        <w:ind w:left="0" w:firstLine="560" w:firstLineChars="200"/>
        <w:textAlignment w:val="auto"/>
        <w:rPr>
          <w:color w:val="auto"/>
          <w:highlight w:val="none"/>
        </w:rPr>
        <w:sectPr>
          <w:pgSz w:w="11906" w:h="16838"/>
          <w:pgMar w:top="726" w:right="1247" w:bottom="1077" w:left="1247" w:header="851" w:footer="907" w:gutter="0"/>
          <w:pgNumType w:fmt="decimal"/>
          <w:cols w:space="720" w:num="1"/>
          <w:docGrid w:linePitch="312" w:charSpace="0"/>
        </w:sectPr>
      </w:pPr>
    </w:p>
    <w:p>
      <w:pPr>
        <w:pStyle w:val="3"/>
        <w:spacing w:before="240" w:beforeLines="100"/>
        <w:rPr>
          <w:rFonts w:hint="eastAsia" w:ascii="宋体" w:hAnsi="宋体"/>
          <w:bCs w:val="0"/>
          <w:color w:val="auto"/>
          <w:sz w:val="28"/>
          <w:szCs w:val="28"/>
          <w:highlight w:val="none"/>
        </w:rPr>
      </w:pPr>
      <w:r>
        <w:rPr>
          <w:rFonts w:hint="eastAsia" w:ascii="宋体" w:hAnsi="宋体"/>
          <w:bCs w:val="0"/>
          <w:color w:val="auto"/>
          <w:sz w:val="28"/>
          <w:szCs w:val="28"/>
          <w:highlight w:val="none"/>
        </w:rPr>
        <w:t>第五章 响应文件组成</w:t>
      </w:r>
    </w:p>
    <w:p>
      <w:pPr>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供应商的响应文件应包含以下十一个部分：</w:t>
      </w:r>
    </w:p>
    <w:p>
      <w:pPr>
        <w:spacing w:line="360" w:lineRule="exact"/>
        <w:rPr>
          <w:rFonts w:hint="eastAsia"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附件2：法定代表人授权书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三、供应商的资格证明材料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附件3：资格证明文件承诺函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附件4：供应商基本情况表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附件5：磋商文件规定的基本资格条件证明资料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附件6：磋商文件规定的特定资格条件证明资料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附件7：其它说明</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四、货物说明、服务方案</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附件8-1：服务方案（服务类适用）</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附件8-2：主要人员简历表（服务类适用）</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五、技术/商务响应与偏离表</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六、提供享受政府采购政策的证明材料和清单表</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附件9-1：中小企业声明函</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附件9-2：残疾人福利性单位声明函</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七、报价一览表及报价文件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附件10：报价一览表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 xml:space="preserve">附件10-1：分项价格表 </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八、供应商认为需要提供的其它资料</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九、最后报价</w:t>
      </w:r>
    </w:p>
    <w:p>
      <w:pPr>
        <w:spacing w:line="360" w:lineRule="exact"/>
        <w:rPr>
          <w:rFonts w:hint="eastAsia" w:ascii="宋体" w:hAnsi="宋体"/>
          <w:b/>
          <w:color w:val="auto"/>
          <w:sz w:val="21"/>
          <w:szCs w:val="21"/>
          <w:highlight w:val="none"/>
        </w:rPr>
      </w:pPr>
    </w:p>
    <w:p>
      <w:pPr>
        <w:pStyle w:val="22"/>
        <w:adjustRightInd w:val="0"/>
        <w:snapToGrid w:val="0"/>
        <w:spacing w:line="360" w:lineRule="auto"/>
        <w:rPr>
          <w:rFonts w:hint="eastAsia" w:hAnsi="宋体" w:cs="宋体"/>
          <w:b/>
          <w:color w:val="auto"/>
          <w:highlight w:val="none"/>
        </w:rPr>
      </w:pPr>
      <w:r>
        <w:rPr>
          <w:rFonts w:hint="eastAsia" w:hAnsi="宋体" w:cs="宋体"/>
          <w:b/>
          <w:color w:val="auto"/>
          <w:highlight w:val="none"/>
        </w:rPr>
        <w:t>（备注：响应文件中凡涉及法定代表人或其委托代理人签字必须为亲笔签名，否则视为无效投标）</w:t>
      </w:r>
    </w:p>
    <w:p>
      <w:pPr>
        <w:spacing w:line="360" w:lineRule="exact"/>
        <w:rPr>
          <w:rFonts w:ascii="宋体" w:hAnsi="宋体"/>
          <w:b/>
          <w:color w:val="auto"/>
          <w:sz w:val="21"/>
          <w:szCs w:val="21"/>
          <w:highlight w:val="none"/>
        </w:rPr>
        <w:sectPr>
          <w:pgSz w:w="11906" w:h="16838"/>
          <w:pgMar w:top="1191" w:right="1531" w:bottom="1361" w:left="1418" w:header="992" w:footer="992" w:gutter="0"/>
          <w:pgNumType w:fmt="decimal"/>
          <w:cols w:space="720" w:num="1"/>
          <w:docGrid w:linePitch="312" w:charSpace="0"/>
        </w:sectPr>
      </w:pPr>
    </w:p>
    <w:p>
      <w:pPr>
        <w:pStyle w:val="4"/>
        <w:rPr>
          <w:rFonts w:hint="eastAsia"/>
          <w:color w:val="auto"/>
          <w:sz w:val="30"/>
          <w:szCs w:val="30"/>
          <w:highlight w:val="none"/>
        </w:rPr>
      </w:pPr>
      <w:r>
        <w:rPr>
          <w:rFonts w:hint="eastAsia"/>
          <w:color w:val="auto"/>
          <w:sz w:val="30"/>
          <w:szCs w:val="30"/>
          <w:highlight w:val="none"/>
        </w:rPr>
        <w:t>一、磋商响应声明</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(采购人或采购代理机构)：</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我方已仔细研究了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项目名称)的竞争性磋商文件（采购代理编号：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）的全部内容，知悉参加竞争性磋商的风险，我方承诺接受磋商文件的全部条款且无任何异议。</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一、我方同意在磋商文件中规定的提交首次响应文件截止时间起</w:t>
      </w:r>
      <w:r>
        <w:rPr>
          <w:rFonts w:hint="eastAsia" w:hAnsi="宋体" w:cs="宋体"/>
          <w:color w:val="auto"/>
          <w:highlight w:val="none"/>
          <w:u w:val="single"/>
        </w:rPr>
        <w:t xml:space="preserve">    </w:t>
      </w:r>
      <w:r>
        <w:rPr>
          <w:rFonts w:hint="eastAsia" w:hAnsi="宋体" w:cs="宋体"/>
          <w:color w:val="auto"/>
          <w:highlight w:val="none"/>
        </w:rPr>
        <w:t>日内(响应文件有效期)遵守本响应文件中的承诺且在此期限期满之前均具有法律约束力。</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二、我方提交响应文件正本一份和副本一式</w:t>
      </w:r>
      <w:r>
        <w:rPr>
          <w:rFonts w:hint="eastAsia" w:hAnsi="宋体" w:cs="宋体"/>
          <w:color w:val="auto"/>
          <w:highlight w:val="none"/>
          <w:u w:val="single"/>
        </w:rPr>
        <w:t xml:space="preserve">     </w:t>
      </w:r>
      <w:r>
        <w:rPr>
          <w:rFonts w:hint="eastAsia" w:hAnsi="宋体" w:cs="宋体"/>
          <w:color w:val="auto"/>
          <w:highlight w:val="none"/>
        </w:rPr>
        <w:t>份，并保证响应文件提供的数据和资料全部内容真实、合法、准确和完整，我们对此负责，并愿承担由此引起的法律责任。</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四、我方愿意按磋商文件规定和磋商小组要求重新提交响应文件。</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六、我方在此声明： </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（一）我方与采购人或采购代理机构不存在隶属关系或者其它利害关系。</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（二）我方与参加本项目的其它供应商不存在直接控股、管理关系，或者与其它供应商法定代表人为同一人。</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（三）我方未为本项目前期准备提供设计或咨询服务。</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（四）我方承诺（承诺期：成立三年以上的，为提交首次响应文件截止时间前三年内；成立不足三年的，为实际时间）：</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1、我方依法缴纳了各项税费及各项社会保障资金，没有偷税、漏税及欠缴行为。</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2、我方在经营活动中没有存在下列重大违法记录：</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(1)受到刑事处罚；</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r>
        <w:rPr>
          <w:rFonts w:hint="eastAsia" w:ascii="宋体" w:hAnsi="宋体" w:cs="宋体"/>
          <w:color w:val="auto"/>
          <w:sz w:val="21"/>
          <w:szCs w:val="21"/>
          <w:highlight w:val="none"/>
        </w:rPr>
        <w:t>法定代表人身份证明</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r>
        <w:rPr>
          <w:rFonts w:hint="eastAsia" w:ascii="宋体" w:hAnsi="宋体" w:cs="宋体"/>
          <w:color w:val="auto"/>
          <w:sz w:val="21"/>
          <w:szCs w:val="21"/>
          <w:highlight w:val="none"/>
        </w:rPr>
        <w:t>：法定代表人授权书</w:t>
      </w:r>
    </w:p>
    <w:p>
      <w:pPr>
        <w:pStyle w:val="22"/>
        <w:adjustRightInd w:val="0"/>
        <w:snapToGrid w:val="0"/>
        <w:spacing w:line="360" w:lineRule="auto"/>
        <w:rPr>
          <w:rFonts w:hint="eastAsia" w:hAnsi="宋体" w:cs="宋体"/>
          <w:color w:val="auto"/>
          <w:highlight w:val="none"/>
        </w:rPr>
      </w:pPr>
    </w:p>
    <w:p>
      <w:pPr>
        <w:pStyle w:val="22"/>
        <w:adjustRightInd w:val="0"/>
        <w:snapToGrid w:val="0"/>
        <w:spacing w:line="360" w:lineRule="auto"/>
        <w:rPr>
          <w:rFonts w:hint="eastAsia" w:hAnsi="宋体" w:cs="宋体"/>
          <w:color w:val="auto"/>
          <w:highlight w:val="none"/>
        </w:rPr>
      </w:pPr>
      <w:r>
        <w:rPr>
          <w:rFonts w:hint="eastAsia" w:hAnsi="宋体" w:cs="宋体"/>
          <w:color w:val="auto"/>
          <w:highlight w:val="none"/>
        </w:rPr>
        <w:t>供应商名称(盖单位章)：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 (签字)：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p>
    <w:p>
      <w:pPr>
        <w:pStyle w:val="5"/>
        <w:jc w:val="center"/>
        <w:rPr>
          <w:rFonts w:hint="eastAsia"/>
          <w:color w:val="auto"/>
          <w:sz w:val="30"/>
          <w:szCs w:val="30"/>
          <w:highlight w:val="none"/>
        </w:rPr>
      </w:pPr>
      <w:r>
        <w:rPr>
          <w:rFonts w:hint="eastAsia"/>
          <w:color w:val="auto"/>
          <w:sz w:val="30"/>
          <w:szCs w:val="30"/>
          <w:highlight w:val="none"/>
        </w:rPr>
        <w:t>法定代表人身份证明</w:t>
      </w:r>
    </w:p>
    <w:p>
      <w:pPr>
        <w:snapToGrid w:val="0"/>
        <w:spacing w:line="480" w:lineRule="auto"/>
        <w:rPr>
          <w:rFonts w:hint="eastAsia" w:ascii="宋体" w:hAnsi="宋体" w:cs="宋体"/>
          <w:color w:val="auto"/>
          <w:sz w:val="21"/>
          <w:szCs w:val="21"/>
          <w:highlight w:val="none"/>
        </w:rPr>
      </w:pP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注册号：</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注册地址：</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成立时间：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经营期限：</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经营范围：主营：</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；兼营：</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姓名：</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性别：</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名称）的法定代表人。</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特此证明。</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附：法定代表人身份证复印件</w:t>
      </w:r>
    </w:p>
    <w:p>
      <w:pPr>
        <w:snapToGrid w:val="0"/>
        <w:spacing w:line="480" w:lineRule="auto"/>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供应商名称（盖单位章）：</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      </w:t>
      </w: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p>
    <w:p>
      <w:pPr>
        <w:pStyle w:val="5"/>
        <w:jc w:val="center"/>
        <w:rPr>
          <w:rFonts w:hint="eastAsia"/>
          <w:color w:val="auto"/>
          <w:sz w:val="30"/>
          <w:szCs w:val="30"/>
          <w:highlight w:val="none"/>
        </w:rPr>
      </w:pPr>
      <w:r>
        <w:rPr>
          <w:rFonts w:hint="eastAsia"/>
          <w:color w:val="auto"/>
          <w:sz w:val="30"/>
          <w:szCs w:val="30"/>
          <w:highlight w:val="none"/>
        </w:rPr>
        <w:t>法定代表人授权委托书</w:t>
      </w:r>
    </w:p>
    <w:p>
      <w:pPr>
        <w:adjustRightInd w:val="0"/>
        <w:snapToGrid w:val="0"/>
        <w:spacing w:line="360" w:lineRule="auto"/>
        <w:jc w:val="center"/>
        <w:rPr>
          <w:rFonts w:hint="eastAsia" w:ascii="宋体" w:hAnsi="宋体" w:cs="宋体"/>
          <w:b/>
          <w:color w:val="auto"/>
          <w:sz w:val="21"/>
          <w:szCs w:val="21"/>
          <w:highlight w:val="none"/>
        </w:rPr>
      </w:pPr>
    </w:p>
    <w:p>
      <w:pPr>
        <w:autoSpaceDE w:val="0"/>
        <w:autoSpaceDN w:val="0"/>
        <w:adjustRightInd w:val="0"/>
        <w:snapToGrid w:val="0"/>
        <w:spacing w:before="156" w:beforeLines="50"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r>
        <w:rPr>
          <w:rFonts w:hint="eastAsia" w:ascii="宋体" w:hAnsi="宋体"/>
          <w:color w:val="auto"/>
          <w:sz w:val="21"/>
          <w:szCs w:val="21"/>
          <w:highlight w:val="none"/>
        </w:rPr>
        <w:t>供应商</w:t>
      </w:r>
      <w:r>
        <w:rPr>
          <w:rFonts w:hint="eastAsia" w:ascii="宋体" w:hAnsi="宋体" w:cs="宋体"/>
          <w:color w:val="auto"/>
          <w:kern w:val="0"/>
          <w:sz w:val="21"/>
          <w:szCs w:val="21"/>
          <w:highlight w:val="none"/>
        </w:rPr>
        <w:t>名称）的法定代表人，现授权</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（姓名、职务）为我方代理人。代理人根据授权，以我方名义：(1)签署、澄清、补正、修改、撤回、提交</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项目名称、采购代理机构编号）响应文件；(2)签署并重新提交响应文件及最后报价；(3)退出磋商；(4)签订合同和处理有关事宜，其法律后果由我方承担；（5）询问、质疑、投诉等相关事项，其法律后果由我方承担。 </w:t>
      </w:r>
    </w:p>
    <w:p>
      <w:pPr>
        <w:autoSpaceDE w:val="0"/>
        <w:autoSpaceDN w:val="0"/>
        <w:adjustRightInd w:val="0"/>
        <w:snapToGrid w:val="0"/>
        <w:spacing w:before="156" w:beforeLines="50"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委托期限：</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spacing w:line="360" w:lineRule="auto"/>
        <w:ind w:firstLine="435"/>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代理人无转委托权。</w:t>
      </w:r>
    </w:p>
    <w:p>
      <w:pPr>
        <w:spacing w:line="360" w:lineRule="auto"/>
        <w:ind w:firstLine="435"/>
        <w:rPr>
          <w:rFonts w:hint="eastAsia" w:ascii="宋体" w:hAnsi="宋体"/>
          <w:color w:val="auto"/>
          <w:sz w:val="21"/>
          <w:szCs w:val="21"/>
          <w:highlight w:val="none"/>
        </w:rPr>
      </w:pPr>
      <w:r>
        <w:rPr>
          <w:rFonts w:hint="eastAsia" w:ascii="宋体" w:hAnsi="宋体"/>
          <w:color w:val="auto"/>
          <w:sz w:val="21"/>
          <w:szCs w:val="21"/>
          <w:highlight w:val="none"/>
        </w:rPr>
        <w:t>本授权书于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日签字生效，特此声明。</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附：委托代理人身份证复印件及法定代表人身份证明(附件1，原件)</w:t>
      </w: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pStyle w:val="4"/>
        <w:rPr>
          <w:rFonts w:hint="eastAsia"/>
          <w:color w:val="auto"/>
          <w:sz w:val="21"/>
          <w:szCs w:val="21"/>
          <w:highlight w:val="none"/>
        </w:rPr>
      </w:pPr>
    </w:p>
    <w:p>
      <w:pPr>
        <w:rPr>
          <w:rFonts w:hint="eastAsia"/>
          <w:color w:val="auto"/>
          <w:highlight w:val="none"/>
        </w:rPr>
      </w:pPr>
    </w:p>
    <w:p>
      <w:pPr>
        <w:pStyle w:val="4"/>
        <w:rPr>
          <w:rFonts w:hint="eastAsia"/>
          <w:color w:val="auto"/>
          <w:sz w:val="21"/>
          <w:szCs w:val="21"/>
          <w:highlight w:val="none"/>
        </w:rPr>
      </w:pPr>
    </w:p>
    <w:p>
      <w:pPr>
        <w:adjustRightInd w:val="0"/>
        <w:snapToGrid w:val="0"/>
        <w:spacing w:before="156" w:beforeLines="50" w:line="360" w:lineRule="auto"/>
        <w:rPr>
          <w:rFonts w:ascii="宋体" w:hAnsi="宋体"/>
          <w:bCs/>
          <w:color w:val="auto"/>
          <w:sz w:val="30"/>
          <w:szCs w:val="30"/>
          <w:highlight w:val="none"/>
        </w:rPr>
      </w:pPr>
      <w:r>
        <w:rPr>
          <w:color w:val="auto"/>
          <w:sz w:val="21"/>
          <w:szCs w:val="21"/>
          <w:highlight w:val="none"/>
        </w:rPr>
        <w:br w:type="page"/>
      </w:r>
      <w:r>
        <w:rPr>
          <w:rFonts w:hint="eastAsia" w:ascii="宋体" w:hAnsi="宋体" w:cs="宋体"/>
          <w:bCs/>
          <w:color w:val="auto"/>
          <w:sz w:val="21"/>
          <w:szCs w:val="21"/>
          <w:highlight w:val="none"/>
        </w:rPr>
        <w:t>附件3</w:t>
      </w:r>
      <w:r>
        <w:rPr>
          <w:rFonts w:hint="eastAsia" w:ascii="宋体" w:hAnsi="宋体"/>
          <w:bCs/>
          <w:color w:val="auto"/>
          <w:sz w:val="30"/>
          <w:szCs w:val="30"/>
          <w:highlight w:val="none"/>
        </w:rPr>
        <w:t>：</w:t>
      </w:r>
    </w:p>
    <w:p>
      <w:pPr>
        <w:spacing w:line="600" w:lineRule="auto"/>
        <w:jc w:val="center"/>
        <w:rPr>
          <w:rFonts w:hint="eastAsia" w:ascii="黑体" w:hAnsi="Times New Roman" w:eastAsia="黑体" w:cs="Times New Roman"/>
          <w:b/>
          <w:color w:val="auto"/>
          <w:sz w:val="30"/>
          <w:szCs w:val="30"/>
        </w:rPr>
      </w:pPr>
      <w:r>
        <w:rPr>
          <w:rFonts w:hint="eastAsia" w:ascii="黑体" w:hAnsi="Times New Roman" w:eastAsia="黑体" w:cs="Times New Roman"/>
          <w:b/>
          <w:color w:val="auto"/>
          <w:sz w:val="30"/>
          <w:szCs w:val="30"/>
        </w:rPr>
        <w:t>湖南省政府采购供应商资格承诺函</w:t>
      </w:r>
    </w:p>
    <w:p>
      <w:pPr>
        <w:spacing w:line="600" w:lineRule="auto"/>
        <w:rPr>
          <w:rFonts w:hint="eastAsia" w:ascii="宋体" w:hAnsi="宋体" w:eastAsia="宋体" w:cs="宋体"/>
          <w:color w:val="auto"/>
          <w:sz w:val="21"/>
          <w:szCs w:val="21"/>
        </w:rPr>
      </w:pP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按照《政府采购促进中小企业发展管理办法》(财库〔2020〕46号)本公司企业规模为:大型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中型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小型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微型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rPr>
        <w:t>本公司自愿入驻湖南省政府采购电子卖场，遵守《湖南省政府采购电子卖场管理办法》(湘财购〔2019〕27号)，如违反承诺，同意金融机构将增信保证划缴国库(非电子卖场采购活动项目不需勾选)。</w:t>
      </w:r>
    </w:p>
    <w:p>
      <w:pPr>
        <w:spacing w:line="600" w:lineRule="auto"/>
        <w:rPr>
          <w:rFonts w:hint="eastAsia" w:ascii="宋体" w:hAnsi="宋体" w:eastAsia="宋体" w:cs="宋体"/>
          <w:color w:val="auto"/>
          <w:sz w:val="21"/>
          <w:szCs w:val="21"/>
        </w:rPr>
      </w:pP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公司(单位)名称:(盖章)</w:t>
      </w: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机构代码、注册登记机构、日期、有效期、注册资本、地址、 经济行业、经济性质</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法定代表人(负责人)姓名(签字)、身份证号、手机号:</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授权代表人姓名(签字)、身份证号、手机号:</w:t>
      </w:r>
    </w:p>
    <w:p>
      <w:pPr>
        <w:pStyle w:val="4"/>
        <w:jc w:val="both"/>
        <w:rPr>
          <w:rFonts w:hint="eastAsia"/>
          <w:color w:val="auto"/>
          <w:sz w:val="30"/>
          <w:szCs w:val="30"/>
          <w:highlight w:val="none"/>
        </w:rPr>
      </w:pPr>
      <w:r>
        <w:rPr>
          <w:rFonts w:hint="eastAsia"/>
          <w:color w:val="auto"/>
          <w:sz w:val="30"/>
          <w:szCs w:val="30"/>
          <w:highlight w:val="none"/>
        </w:rPr>
        <w:t>二、磋商保证金缴纳证明材料（本项目不需要提供磋商保证金）</w:t>
      </w:r>
    </w:p>
    <w:p>
      <w:pPr>
        <w:pStyle w:val="22"/>
        <w:adjustRightInd w:val="0"/>
        <w:snapToGrid w:val="0"/>
        <w:spacing w:before="156" w:beforeLines="50" w:line="360" w:lineRule="auto"/>
        <w:rPr>
          <w:rFonts w:hint="eastAsia" w:hAnsi="宋体" w:cs="宋体"/>
          <w:color w:val="auto"/>
          <w:highlight w:val="none"/>
        </w:rPr>
      </w:pPr>
    </w:p>
    <w:p>
      <w:pPr>
        <w:numPr>
          <w:ilvl w:val="0"/>
          <w:numId w:val="8"/>
        </w:num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提供付款凭证复印件。</w:t>
      </w:r>
    </w:p>
    <w:p>
      <w:pPr>
        <w:adjustRightInd w:val="0"/>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2、根据供应商递交的《投标保证金退还申请书》上的账户信息，以转账或电汇方式退还至供应商的原缴纳账户。</w:t>
      </w: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
        <w:rPr>
          <w:rStyle w:val="59"/>
          <w:rFonts w:hint="eastAsia"/>
          <w:b/>
          <w:bCs/>
          <w:color w:val="auto"/>
          <w:sz w:val="30"/>
          <w:szCs w:val="30"/>
          <w:highlight w:val="none"/>
        </w:rPr>
      </w:pPr>
      <w:r>
        <w:rPr>
          <w:rStyle w:val="59"/>
          <w:rFonts w:hint="eastAsia"/>
          <w:b/>
          <w:bCs/>
          <w:color w:val="auto"/>
          <w:sz w:val="30"/>
          <w:szCs w:val="30"/>
          <w:highlight w:val="none"/>
        </w:rPr>
        <w:t>三、供应商的资格证明资料</w:t>
      </w: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附件4                   </w:t>
      </w:r>
      <w:r>
        <w:rPr>
          <w:rStyle w:val="60"/>
          <w:rFonts w:hint="eastAsia"/>
          <w:bCs w:val="0"/>
          <w:color w:val="auto"/>
          <w:sz w:val="21"/>
          <w:szCs w:val="21"/>
          <w:highlight w:val="none"/>
        </w:rPr>
        <w:t>供应商基本情况表</w:t>
      </w:r>
    </w:p>
    <w:p>
      <w:pPr>
        <w:adjustRightInd w:val="0"/>
        <w:snapToGrid w:val="0"/>
        <w:spacing w:line="360" w:lineRule="auto"/>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盖供应商单位章</w:t>
      </w:r>
    </w:p>
    <w:tbl>
      <w:tblPr>
        <w:tblStyle w:val="41"/>
        <w:tblW w:w="0" w:type="auto"/>
        <w:tblInd w:w="4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right w:val="single" w:color="auto" w:sz="6" w:space="0"/>
            </w:tcBorders>
            <w:noWrap w:val="0"/>
            <w:vAlign w:val="center"/>
          </w:tcPr>
          <w:p>
            <w:pPr>
              <w:topLinePunct/>
              <w:spacing w:line="4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营业范围</w:t>
            </w:r>
          </w:p>
          <w:p>
            <w:pPr>
              <w:topLinePunct/>
              <w:spacing w:line="440" w:lineRule="exact"/>
              <w:jc w:val="center"/>
              <w:rPr>
                <w:rFonts w:hint="eastAsia" w:ascii="宋体" w:hAnsi="宋体" w:eastAsia="宋体" w:cs="宋体"/>
                <w:color w:val="auto"/>
                <w:sz w:val="21"/>
                <w:szCs w:val="21"/>
                <w:highlight w:val="none"/>
              </w:rPr>
            </w:pPr>
          </w:p>
        </w:tc>
        <w:tc>
          <w:tcPr>
            <w:tcW w:w="6057" w:type="dxa"/>
            <w:gridSpan w:val="6"/>
            <w:tcBorders>
              <w:top w:val="single" w:color="auto" w:sz="6" w:space="0"/>
              <w:left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附《法人登记证书》或《法人营业执照》（副本）复印件</w:t>
            </w:r>
          </w:p>
        </w:tc>
      </w:tr>
    </w:tbl>
    <w:p>
      <w:pPr>
        <w:spacing w:line="480" w:lineRule="exact"/>
        <w:rPr>
          <w:rFonts w:hint="eastAsia" w:ascii="宋体" w:hAnsi="宋体" w:cs="宋体"/>
          <w:color w:val="auto"/>
          <w:sz w:val="21"/>
          <w:szCs w:val="21"/>
          <w:highlight w:val="none"/>
        </w:rPr>
      </w:pPr>
    </w:p>
    <w:p>
      <w:pPr>
        <w:spacing w:line="480" w:lineRule="exact"/>
        <w:rPr>
          <w:rFonts w:hint="eastAsia" w:ascii="黑体" w:eastAsia="黑体"/>
          <w:color w:val="auto"/>
          <w:sz w:val="30"/>
          <w:szCs w:val="30"/>
          <w:highlight w:val="none"/>
        </w:rPr>
      </w:pPr>
      <w:r>
        <w:rPr>
          <w:rFonts w:hint="eastAsia" w:ascii="宋体" w:hAnsi="宋体" w:cs="宋体"/>
          <w:color w:val="auto"/>
          <w:sz w:val="21"/>
          <w:szCs w:val="21"/>
          <w:highlight w:val="none"/>
        </w:rPr>
        <w:t xml:space="preserve">附件5     </w:t>
      </w:r>
      <w:r>
        <w:rPr>
          <w:rFonts w:hint="eastAsia" w:ascii="黑体" w:eastAsia="黑体"/>
          <w:color w:val="auto"/>
          <w:sz w:val="30"/>
          <w:szCs w:val="30"/>
          <w:highlight w:val="none"/>
        </w:rPr>
        <w:t>磋商文件规定的基本资格条件证明资料</w:t>
      </w:r>
    </w:p>
    <w:p>
      <w:pPr>
        <w:spacing w:line="480" w:lineRule="exact"/>
        <w:rPr>
          <w:rFonts w:hint="eastAsia" w:ascii="黑体" w:hAnsi="宋体" w:eastAsia="黑体"/>
          <w:color w:val="auto"/>
          <w:szCs w:val="21"/>
          <w:highlight w:val="none"/>
        </w:rPr>
      </w:pP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符合《中华人民共和国政府采购法》第二十二条规定的供应商条件，并提供以下资格证明文件：</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（1）法人提交企业法人营业执照副本(或者法人登记证书)以及组织机构代码证副本复印件；</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）法人提交法定代表人身份证明原件或者法定代表人授权委托书原件并附法定代表人身份证明原件；自然人提交身份证明复印件</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w:t>
      </w:r>
      <w:r>
        <w:rPr>
          <w:rFonts w:hint="eastAsia" w:asciiTheme="minorEastAsia" w:hAnsiTheme="minorEastAsia" w:eastAsiaTheme="minorEastAsia" w:cstheme="minorEastAsia"/>
          <w:color w:val="auto"/>
          <w:sz w:val="21"/>
          <w:szCs w:val="21"/>
          <w:highlight w:val="none"/>
          <w:lang w:val="en-US" w:eastAsia="zh-CN"/>
        </w:rPr>
        <w:t>提供《</w:t>
      </w:r>
      <w:r>
        <w:rPr>
          <w:rFonts w:hint="eastAsia" w:asciiTheme="minorEastAsia" w:hAnsiTheme="minorEastAsia" w:eastAsiaTheme="minorEastAsia" w:cstheme="minorEastAsia"/>
          <w:color w:val="auto"/>
          <w:sz w:val="21"/>
          <w:szCs w:val="21"/>
          <w:highlight w:val="none"/>
          <w:lang w:eastAsia="zh-CN"/>
        </w:rPr>
        <w:t>湖南省政府采购供应商资格承诺函</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本项目专门面向中小微企业采购，所属行业为“物业管理”，投标人须提供《中小企业声明函》，否则视为无效响应。</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其他说明：①</w:t>
      </w:r>
      <w:r>
        <w:rPr>
          <w:rFonts w:hint="eastAsia" w:asciiTheme="minorEastAsia" w:hAnsiTheme="minorEastAsia" w:eastAsiaTheme="minorEastAsia" w:cstheme="minorEastAsia"/>
          <w:color w:val="auto"/>
          <w:sz w:val="21"/>
          <w:szCs w:val="21"/>
          <w:highlight w:val="none"/>
        </w:rPr>
        <w:t>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w:t>
      </w:r>
      <w:r>
        <w:rPr>
          <w:rFonts w:hint="eastAsia" w:asciiTheme="minorEastAsia" w:hAnsiTheme="minorEastAsia" w:eastAsiaTheme="minorEastAsia" w:cstheme="minorEastAsia"/>
          <w:color w:val="auto"/>
          <w:sz w:val="21"/>
          <w:szCs w:val="21"/>
          <w:highlight w:val="none"/>
          <w:lang w:val="en-US" w:eastAsia="zh-CN"/>
        </w:rPr>
        <w:t>实行了“三证合一”或者“五证合一”的，请自行说明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②根据长沙市财政局《关于政府采购促进中小企业发展若干措施的通知》（长财采购[2022]10号）文件精神，供应商凭《湖南省政府采购供应商资格承诺函》（格式详见响应文件组成）参与政府采购活动，无需提供财务状况报告、依法缴纳税收和社会保障资金的相关文件材料、参加政府采购活动前3年在经营活动中没有重大违法记录的书面声明。③投标人须如实填写</w:t>
      </w:r>
      <w:r>
        <w:rPr>
          <w:rFonts w:hint="eastAsia" w:asciiTheme="minorEastAsia" w:hAnsiTheme="minorEastAsia" w:eastAsiaTheme="minorEastAsia" w:cstheme="minorEastAsia"/>
          <w:color w:val="auto"/>
          <w:sz w:val="21"/>
          <w:szCs w:val="21"/>
          <w:highlight w:val="none"/>
        </w:rPr>
        <w:t>《中小企业声明函》</w:t>
      </w:r>
      <w:r>
        <w:rPr>
          <w:rFonts w:hint="eastAsia" w:asciiTheme="minorEastAsia" w:hAnsiTheme="minorEastAsia" w:eastAsiaTheme="minorEastAsia" w:cstheme="minorEastAsia"/>
          <w:color w:val="auto"/>
          <w:sz w:val="21"/>
          <w:szCs w:val="21"/>
          <w:highlight w:val="none"/>
          <w:lang w:val="en-US" w:eastAsia="zh-CN"/>
        </w:rPr>
        <w:t>（格式详见响应文件组成）</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若</w:t>
      </w:r>
      <w:r>
        <w:rPr>
          <w:rFonts w:hint="eastAsia" w:asciiTheme="minorEastAsia" w:hAnsiTheme="minorEastAsia" w:eastAsiaTheme="minorEastAsia" w:cstheme="minorEastAsia"/>
          <w:color w:val="auto"/>
          <w:sz w:val="21"/>
          <w:szCs w:val="21"/>
          <w:highlight w:val="none"/>
        </w:rPr>
        <w:t>提供的《中小企业声明函》内容不实，属于提供虚假材料谋取成交，依照《中华人民共和国政府采购法》等国家有关规定追究相应责</w:t>
      </w:r>
      <w:r>
        <w:rPr>
          <w:rFonts w:hint="eastAsia" w:asciiTheme="minorEastAsia" w:hAnsiTheme="minorEastAsia" w:eastAsiaTheme="minorEastAsia" w:cstheme="minorEastAsia"/>
          <w:color w:val="auto"/>
          <w:sz w:val="21"/>
          <w:szCs w:val="21"/>
          <w:highlight w:val="none"/>
          <w:lang w:val="en-US" w:eastAsia="zh-CN"/>
        </w:rPr>
        <w:t>任。④</w:t>
      </w:r>
      <w:r>
        <w:rPr>
          <w:rFonts w:hint="eastAsia" w:asciiTheme="minorEastAsia" w:hAnsiTheme="minorEastAsia" w:eastAsiaTheme="minorEastAsia" w:cstheme="minorEastAsia"/>
          <w:color w:val="auto"/>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附件6     </w:t>
      </w:r>
      <w:r>
        <w:rPr>
          <w:rFonts w:hint="eastAsia" w:ascii="宋体" w:hAnsi="宋体" w:cs="宋体"/>
          <w:b/>
          <w:color w:val="auto"/>
          <w:sz w:val="30"/>
          <w:szCs w:val="30"/>
          <w:highlight w:val="none"/>
        </w:rPr>
        <w:t xml:space="preserve"> 磋商文件规定的特定资格条件证明资料</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备注：提供第二章 磋商须知第3.1款供应商特定资格条件证明资料的复印件。</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b/>
          <w:bCs/>
          <w:color w:val="auto"/>
          <w:sz w:val="21"/>
          <w:szCs w:val="21"/>
          <w:highlight w:val="none"/>
        </w:rPr>
      </w:pPr>
      <w:r>
        <w:rPr>
          <w:rFonts w:hint="eastAsia" w:ascii="宋体" w:hAnsi="宋体" w:cs="宋体"/>
          <w:b/>
          <w:color w:val="auto"/>
          <w:sz w:val="21"/>
          <w:szCs w:val="21"/>
          <w:highlight w:val="none"/>
        </w:rPr>
        <w:t xml:space="preserve">附件7                 </w:t>
      </w:r>
      <w:r>
        <w:rPr>
          <w:rFonts w:hint="eastAsia" w:ascii="宋体" w:hAnsi="宋体" w:cs="宋体"/>
          <w:b/>
          <w:color w:val="auto"/>
          <w:sz w:val="30"/>
          <w:szCs w:val="30"/>
          <w:highlight w:val="none"/>
        </w:rPr>
        <w:t xml:space="preserve"> </w:t>
      </w:r>
      <w:r>
        <w:rPr>
          <w:rFonts w:hint="eastAsia" w:ascii="宋体" w:hAnsi="宋体" w:cs="宋体"/>
          <w:b/>
          <w:bCs/>
          <w:color w:val="auto"/>
          <w:sz w:val="30"/>
          <w:szCs w:val="30"/>
          <w:highlight w:val="none"/>
        </w:rPr>
        <w:t xml:space="preserve">  其它证明资料或说明</w:t>
      </w: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提供磋商文件或评分标准需要提供的相关证明文件复印件。</w:t>
      </w: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rPr>
          <w:rFonts w:hint="eastAsia" w:ascii="宋体" w:hAnsi="宋体" w:cs="宋体"/>
          <w:color w:val="auto"/>
          <w:sz w:val="30"/>
          <w:szCs w:val="30"/>
          <w:highlight w:val="none"/>
        </w:rPr>
      </w:pPr>
      <w:r>
        <w:rPr>
          <w:rFonts w:hint="eastAsia" w:ascii="宋体" w:hAnsi="宋体" w:cs="宋体"/>
          <w:color w:val="auto"/>
          <w:sz w:val="21"/>
          <w:szCs w:val="21"/>
          <w:highlight w:val="none"/>
        </w:rPr>
        <w:t>附件8-1：</w:t>
      </w:r>
    </w:p>
    <w:p>
      <w:pPr>
        <w:adjustRightInd w:val="0"/>
        <w:snapToGrid w:val="0"/>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四、服务方案说明</w:t>
      </w:r>
    </w:p>
    <w:p>
      <w:pPr>
        <w:adjustRightInd w:val="0"/>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服务类项目供应商应根据第四章规定和评标标准要求编写项目实施服务方案（格式自拟）。</w:t>
      </w: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附件8-2：               </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主要人员简历表</w:t>
      </w:r>
    </w:p>
    <w:p>
      <w:pPr>
        <w:spacing w:line="360" w:lineRule="atLeast"/>
        <w:jc w:val="center"/>
        <w:rPr>
          <w:rFonts w:hint="eastAsia" w:ascii="宋体" w:hAnsi="宋体" w:cs="宋体"/>
          <w:color w:val="auto"/>
          <w:sz w:val="21"/>
          <w:szCs w:val="21"/>
          <w:highlight w:val="none"/>
        </w:rPr>
      </w:pP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  别</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毕业学校、专业</w:t>
            </w:r>
          </w:p>
        </w:tc>
        <w:tc>
          <w:tcPr>
            <w:tcW w:w="6723" w:type="dxa"/>
            <w:gridSpan w:val="5"/>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拟在本合同任职</w:t>
            </w:r>
          </w:p>
        </w:tc>
        <w:tc>
          <w:tcPr>
            <w:tcW w:w="1728" w:type="dxa"/>
            <w:noWrap w:val="0"/>
            <w:vAlign w:val="center"/>
          </w:tcPr>
          <w:p>
            <w:pPr>
              <w:spacing w:line="360" w:lineRule="atLeast"/>
              <w:ind w:right="-140" w:rightChars="-50"/>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执业资格证书号</w:t>
            </w:r>
          </w:p>
        </w:tc>
        <w:tc>
          <w:tcPr>
            <w:tcW w:w="1728" w:type="dxa"/>
            <w:noWrap w:val="0"/>
            <w:vAlign w:val="center"/>
          </w:tcPr>
          <w:p>
            <w:pP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noWrap w:val="0"/>
            <w:vAlign w:val="center"/>
          </w:tcPr>
          <w:p>
            <w:pPr>
              <w:spacing w:line="36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类似项目名称</w:t>
            </w: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担任职务</w:t>
            </w: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bl>
    <w:p>
      <w:pPr>
        <w:spacing w:line="36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说明：主要人员证书、类似项目证明资料等按第二章第42.1款或第四章要求提供。</w:t>
      </w:r>
    </w:p>
    <w:p>
      <w:pPr>
        <w:adjustRightInd w:val="0"/>
        <w:snapToGrid w:val="0"/>
        <w:spacing w:line="360" w:lineRule="auto"/>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bCs/>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五、技术/商务响应与偏离表</w:t>
      </w:r>
    </w:p>
    <w:p>
      <w:pPr>
        <w:adjustRightInd w:val="0"/>
        <w:snapToGrid w:val="0"/>
        <w:ind w:left="-117" w:leftChars="-42" w:firstLine="315" w:firstLineChars="150"/>
        <w:rPr>
          <w:rFonts w:hint="eastAsia" w:ascii="宋体" w:hAnsi="宋体" w:cs="宋体"/>
          <w:color w:val="auto"/>
          <w:sz w:val="21"/>
          <w:szCs w:val="21"/>
          <w:highlight w:val="none"/>
          <w:u w:val="single"/>
        </w:rPr>
      </w:pP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117" w:leftChars="-42"/>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磋商文件条目号</w:t>
            </w: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采购规格/商务条款</w:t>
            </w: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响应文件的规格/商务条款</w:t>
            </w: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响应与偏离</w:t>
            </w: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说明：1、“响应与偏离”应注明“响应”或“偏离”。</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b/>
          <w:color w:val="auto"/>
          <w:sz w:val="21"/>
          <w:szCs w:val="21"/>
          <w:highlight w:val="none"/>
        </w:rPr>
        <w:t xml:space="preserve">     </w:t>
      </w:r>
      <w:r>
        <w:rPr>
          <w:rFonts w:hint="eastAsia" w:ascii="宋体" w:hAnsi="宋体" w:cs="宋体"/>
          <w:color w:val="auto"/>
          <w:sz w:val="21"/>
          <w:szCs w:val="21"/>
          <w:highlight w:val="none"/>
        </w:rPr>
        <w:t>2、属磋商文件规定可能变动的内容在“说明”栏中注明。</w:t>
      </w:r>
    </w:p>
    <w:p>
      <w:pPr>
        <w:pStyle w:val="24"/>
        <w:adjustRightInd w:val="0"/>
        <w:snapToGrid w:val="0"/>
        <w:spacing w:line="360" w:lineRule="auto"/>
        <w:outlineLvl w:val="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          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六、提供享受政府采购政策的证明材料</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附件9-1</w:t>
      </w:r>
    </w:p>
    <w:p>
      <w:pPr>
        <w:jc w:val="center"/>
        <w:rPr>
          <w:rFonts w:hint="eastAsia" w:ascii="黑体" w:hAnsi="华文中宋" w:eastAsia="黑体" w:cs="宋体"/>
          <w:bCs/>
          <w:color w:val="auto"/>
          <w:spacing w:val="6"/>
          <w:kern w:val="0"/>
          <w:sz w:val="30"/>
          <w:szCs w:val="30"/>
          <w:highlight w:val="none"/>
        </w:rPr>
      </w:pPr>
    </w:p>
    <w:p>
      <w:pPr>
        <w:jc w:val="center"/>
        <w:rPr>
          <w:rFonts w:hint="eastAsia" w:ascii="黑体" w:hAnsi="黑体" w:eastAsia="黑体" w:cs="黑体"/>
          <w:bCs/>
          <w:color w:val="auto"/>
          <w:spacing w:val="6"/>
          <w:kern w:val="0"/>
          <w:sz w:val="30"/>
          <w:szCs w:val="30"/>
          <w:highlight w:val="none"/>
        </w:rPr>
      </w:pPr>
      <w:r>
        <w:rPr>
          <w:rFonts w:hint="eastAsia" w:ascii="黑体" w:hAnsi="黑体" w:eastAsia="黑体" w:cs="黑体"/>
          <w:bCs/>
          <w:color w:val="auto"/>
          <w:spacing w:val="6"/>
          <w:kern w:val="0"/>
          <w:sz w:val="30"/>
          <w:szCs w:val="30"/>
          <w:highlight w:val="none"/>
        </w:rPr>
        <w:t>中小企业声明函(工程、服务)</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本公司(联合体)郑重声明，根据《政府采购促进中小企业发展管理办法》(财库( 2020 )46号)的规定，本公司(联合体)参加</w:t>
      </w:r>
      <w:r>
        <w:rPr>
          <w:rFonts w:hint="eastAsia" w:asciiTheme="minorEastAsia" w:hAnsiTheme="minorEastAsia" w:eastAsiaTheme="minorEastAsia" w:cstheme="minorEastAsia"/>
          <w:i/>
          <w:iCs/>
          <w:color w:val="auto"/>
          <w:sz w:val="21"/>
          <w:szCs w:val="21"/>
          <w:highlight w:val="none"/>
          <w:u w:val="single"/>
        </w:rPr>
        <w:t xml:space="preserve"> (单位名称)</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(标的名称)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 xml:space="preserve">(标的名称) </w:t>
      </w:r>
      <w:r>
        <w:rPr>
          <w:rFonts w:hint="eastAsia" w:asciiTheme="minorEastAsia" w:hAnsiTheme="minorEastAsia" w:eastAsiaTheme="minorEastAsia" w:cstheme="minorEastAsia"/>
          <w:color w:val="auto"/>
          <w:sz w:val="21"/>
          <w:szCs w:val="21"/>
          <w:highlight w:val="none"/>
        </w:rPr>
        <w:t>, 属于</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以上企业，不属于大企业的分支机构，不存在控股股东为大企业的情形，也不存在与大企业的负责人为同一人的情形。</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本企业对上述声明内容的真实性负责。如有虚假，将依法承担相应责任。</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企业名称(盖章):</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说明：1、现行中小企业划分标准行业包括农、林、牧、渔业，工业，建筑业，批发业，零售业，交通运输业，仓储业，邮政业，住宿业，餐饮业，</w:t>
      </w:r>
      <w:r>
        <w:rPr>
          <w:rFonts w:hint="eastAsia" w:asciiTheme="minorEastAsia" w:hAnsiTheme="minorEastAsia" w:eastAsiaTheme="minorEastAsia" w:cstheme="minorEastAsia"/>
          <w:color w:val="auto"/>
          <w:sz w:val="21"/>
          <w:szCs w:val="21"/>
          <w:highlight w:val="none"/>
          <w:lang w:val="en-US" w:eastAsia="zh-CN"/>
        </w:rPr>
        <w:t>软件和信息技术服务业</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其他未列明行业</w:t>
      </w:r>
      <w:r>
        <w:rPr>
          <w:rFonts w:hint="eastAsia" w:asciiTheme="minorEastAsia" w:hAnsiTheme="minorEastAsia" w:eastAsiaTheme="minorEastAsia" w:cstheme="minorEastAsia"/>
          <w:color w:val="auto"/>
          <w:sz w:val="21"/>
          <w:szCs w:val="21"/>
          <w:highlight w:val="none"/>
        </w:rPr>
        <w:t>，房地产开发经营，物业管理，租赁和商业服务业和其他未列明行业等十六类。</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2、从业人员、营业收入、资产总额填报上一年度数据，无上一年度数据的新成立企业可不填报资产总额。</w:t>
      </w:r>
    </w:p>
    <w:p>
      <w:pPr>
        <w:adjustRightInd w:val="0"/>
        <w:snapToGrid w:val="0"/>
        <w:spacing w:line="360" w:lineRule="auto"/>
        <w:rPr>
          <w:rFonts w:hint="eastAsia" w:ascii="仿宋_GB2312" w:hAnsi="宋体" w:eastAsia="仿宋_GB2312"/>
          <w:color w:val="auto"/>
          <w:szCs w:val="21"/>
          <w:highlight w:val="none"/>
        </w:rPr>
      </w:pPr>
    </w:p>
    <w:p>
      <w:pPr>
        <w:pStyle w:val="2"/>
        <w:rPr>
          <w:rFonts w:hint="eastAsia"/>
          <w:color w:val="auto"/>
        </w:rPr>
      </w:pPr>
    </w:p>
    <w:p>
      <w:pPr>
        <w:adjustRightInd w:val="0"/>
        <w:snapToGrid w:val="0"/>
        <w:spacing w:line="360" w:lineRule="auto"/>
        <w:jc w:val="center"/>
        <w:rPr>
          <w:rFonts w:hint="eastAsia" w:ascii="黑体" w:hAnsi="宋体" w:eastAsia="黑体"/>
          <w:color w:val="auto"/>
          <w:sz w:val="30"/>
          <w:szCs w:val="30"/>
          <w:highlight w:val="none"/>
        </w:rPr>
      </w:pPr>
      <w:r>
        <w:rPr>
          <w:rFonts w:hint="eastAsia" w:ascii="黑体" w:hAnsi="宋体" w:eastAsia="黑体"/>
          <w:color w:val="auto"/>
          <w:sz w:val="30"/>
          <w:szCs w:val="30"/>
          <w:highlight w:val="none"/>
        </w:rPr>
        <w:t>中小企业货物清单表</w:t>
      </w:r>
    </w:p>
    <w:p>
      <w:pPr>
        <w:pStyle w:val="22"/>
        <w:spacing w:line="360" w:lineRule="auto"/>
        <w:rPr>
          <w:rFonts w:hint="eastAsia" w:hAnsi="宋体"/>
          <w:color w:val="auto"/>
          <w:highlight w:val="none"/>
        </w:rPr>
      </w:pPr>
      <w:r>
        <w:rPr>
          <w:rFonts w:hint="eastAsia" w:hAnsi="宋体"/>
          <w:color w:val="auto"/>
          <w:highlight w:val="none"/>
        </w:rPr>
        <w:t xml:space="preserve">                                             </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noWrap w:val="0"/>
            <w:vAlign w:val="center"/>
          </w:tcPr>
          <w:p>
            <w:pPr>
              <w:widowControl/>
              <w:spacing w:line="360" w:lineRule="auto"/>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货物名称</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单价</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总额</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货物制造商名称</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货物制造商类型</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中型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bl>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说明：1、本表用于计算中小企业应享受的政策功能价格扣除。</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2、栏目7“货物制造商类型”，填写：中型或小型、微型。</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3、栏目4“单价”为综合单价，包含货物所有隐含的内容，如运输费、保险费、管理费和利润等。</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未提供《中小企业声明函》及未按上述要求填写，或者提供的内容不真实的，评审时本表所有优惠不予以考虑。对提供的内容不真实的，监督管理部门可能以冒充中小企业参与政府采购活动谋取中标，依法予以处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投标人名称（单位章）：</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法定代表人或其委托代理人（签字）：</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adjustRightInd w:val="0"/>
        <w:snapToGrid w:val="0"/>
        <w:rPr>
          <w:rFonts w:hint="eastAsia" w:asciiTheme="minorEastAsia" w:hAnsiTheme="minorEastAsia" w:eastAsiaTheme="minorEastAsia" w:cstheme="minorEastAsia"/>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5"/>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残疾人福利性单位声明函</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【不属于残疾人福利性单位的无需填写】</w:t>
      </w:r>
    </w:p>
    <w:p>
      <w:pPr>
        <w:adjustRightInd w:val="0"/>
        <w:snapToGrid w:val="0"/>
        <w:spacing w:line="360" w:lineRule="auto"/>
        <w:ind w:firstLine="584" w:firstLineChars="200"/>
        <w:rPr>
          <w:rFonts w:ascii="宋体" w:hAnsi="宋体"/>
          <w:color w:val="auto"/>
          <w:spacing w:val="6"/>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1"/>
          <w:szCs w:val="21"/>
          <w:highlight w:val="none"/>
        </w:rPr>
        <w:t>〔2017〕141</w:t>
      </w:r>
      <w:r>
        <w:rPr>
          <w:rFonts w:hint="eastAsia" w:asciiTheme="minorEastAsia" w:hAnsiTheme="minorEastAsia" w:eastAsiaTheme="minorEastAsia" w:cstheme="minorEastAsia"/>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单位名称（盖章）：</w:t>
      </w: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日  期：</w:t>
      </w:r>
    </w:p>
    <w:p>
      <w:pPr>
        <w:widowControl/>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pStyle w:val="5"/>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监狱企业证明资料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【不属于监狱企业的无需提供】</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6"/>
          <w:kern w:val="0"/>
          <w:sz w:val="21"/>
          <w:szCs w:val="21"/>
          <w:highlight w:val="none"/>
        </w:rPr>
        <w:t>备注：</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财政部 司法部关于政府采购支持监狱企业发展有关问题的通知</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(财库〔2014〕68号)文件规定提供证明文件（复印件）。</w:t>
      </w: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pStyle w:val="219"/>
        <w:rPr>
          <w:rFonts w:hint="eastAsia"/>
          <w:color w:val="auto"/>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ind w:firstLine="803"/>
        <w:jc w:val="center"/>
        <w:rPr>
          <w:rFonts w:hint="eastAsia" w:ascii="宋体" w:hAnsi="宋体" w:cs="宋体"/>
          <w:b/>
          <w:color w:val="auto"/>
          <w:sz w:val="30"/>
          <w:szCs w:val="30"/>
          <w:highlight w:val="none"/>
        </w:rPr>
      </w:pPr>
      <w:r>
        <w:rPr>
          <w:rFonts w:hint="eastAsia" w:ascii="宋体" w:hAnsi="宋体" w:cs="宋体"/>
          <w:b/>
          <w:bCs/>
          <w:color w:val="auto"/>
          <w:sz w:val="30"/>
          <w:szCs w:val="30"/>
          <w:highlight w:val="none"/>
        </w:rPr>
        <w:t>七、</w:t>
      </w:r>
      <w:r>
        <w:rPr>
          <w:rFonts w:hint="eastAsia" w:ascii="宋体" w:hAnsi="宋体" w:cs="宋体"/>
          <w:b/>
          <w:color w:val="auto"/>
          <w:sz w:val="30"/>
          <w:szCs w:val="30"/>
          <w:highlight w:val="none"/>
        </w:rPr>
        <w:t>报价一览表及报价文件</w:t>
      </w:r>
    </w:p>
    <w:p>
      <w:pPr>
        <w:tabs>
          <w:tab w:val="left" w:pos="1680"/>
        </w:tabs>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w:t>
      </w:r>
      <w:r>
        <w:rPr>
          <w:rFonts w:hint="eastAsia" w:ascii="宋体" w:hAnsi="宋体" w:cs="宋体"/>
          <w:color w:val="auto"/>
          <w:sz w:val="21"/>
          <w:szCs w:val="21"/>
          <w:highlight w:val="none"/>
        </w:rPr>
        <w:tab/>
      </w:r>
    </w:p>
    <w:p>
      <w:pPr>
        <w:spacing w:line="360" w:lineRule="exact"/>
        <w:ind w:firstLine="210" w:firstLineChars="100"/>
        <w:rPr>
          <w:rFonts w:hint="eastAsia" w:ascii="宋体" w:hAnsi="宋体" w:cs="宋体"/>
          <w:color w:val="auto"/>
          <w:sz w:val="21"/>
          <w:szCs w:val="21"/>
          <w:highlight w:val="none"/>
        </w:rPr>
      </w:pPr>
    </w:p>
    <w:p>
      <w:pPr>
        <w:adjustRightInd w:val="0"/>
        <w:snapToGrid w:val="0"/>
        <w:jc w:val="center"/>
        <w:rPr>
          <w:rFonts w:hint="eastAsia" w:ascii="宋体" w:hAnsi="宋体" w:cs="宋体"/>
          <w:bCs/>
          <w:color w:val="auto"/>
          <w:sz w:val="21"/>
          <w:szCs w:val="21"/>
          <w:highlight w:val="none"/>
        </w:rPr>
      </w:pPr>
    </w:p>
    <w:p>
      <w:pPr>
        <w:jc w:val="center"/>
        <w:rPr>
          <w:rFonts w:hint="eastAsia" w:ascii="宋体" w:hAnsi="宋体" w:cs="宋体"/>
          <w:color w:val="auto"/>
          <w:sz w:val="21"/>
          <w:szCs w:val="21"/>
          <w:highlight w:val="none"/>
        </w:rPr>
      </w:pPr>
      <w:r>
        <w:rPr>
          <w:rFonts w:hint="eastAsia" w:ascii="黑体" w:hAnsi="宋体" w:eastAsia="黑体"/>
          <w:bCs/>
          <w:color w:val="auto"/>
          <w:sz w:val="30"/>
          <w:szCs w:val="30"/>
          <w:highlight w:val="none"/>
        </w:rPr>
        <w:t>报价一览表</w:t>
      </w:r>
    </w:p>
    <w:p>
      <w:pPr>
        <w:adjustRightInd w:val="0"/>
        <w:snapToGrid w:val="0"/>
        <w:rPr>
          <w:rFonts w:hint="eastAsia" w:ascii="宋体" w:hAnsi="宋体" w:cs="宋体"/>
          <w:color w:val="auto"/>
          <w:sz w:val="21"/>
          <w:szCs w:val="21"/>
          <w:highlight w:val="none"/>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6941" w:rightChars="-247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p>
        </w:tc>
        <w:tc>
          <w:tcPr>
            <w:tcW w:w="1620" w:type="dxa"/>
            <w:tcBorders>
              <w:top w:val="double" w:color="auto" w:sz="4" w:space="0"/>
              <w:left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采购代理编号</w:t>
            </w:r>
          </w:p>
        </w:tc>
        <w:tc>
          <w:tcPr>
            <w:tcW w:w="2520" w:type="dxa"/>
            <w:tcBorders>
              <w:top w:val="double" w:color="auto" w:sz="4" w:space="0"/>
              <w:left w:val="single" w:color="auto" w:sz="6" w:space="0"/>
              <w:right w:val="double" w:color="auto" w:sz="4" w:space="0"/>
            </w:tcBorders>
            <w:noWrap w:val="0"/>
            <w:vAlign w:val="center"/>
          </w:tcPr>
          <w:p>
            <w:pPr>
              <w:spacing w:line="4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p>
            <w:pPr>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供应商（盖单位章）：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rPr>
          <w:rFonts w:hint="eastAsia" w:ascii="宋体" w:hAnsi="宋体" w:cs="宋体"/>
          <w:color w:val="auto"/>
          <w:sz w:val="21"/>
          <w:szCs w:val="21"/>
          <w:highlight w:val="none"/>
        </w:rPr>
      </w:pPr>
    </w:p>
    <w:p>
      <w:pPr>
        <w:spacing w:line="360" w:lineRule="exact"/>
        <w:outlineLvl w:val="0"/>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pStyle w:val="40"/>
        <w:ind w:left="560"/>
        <w:rPr>
          <w:rFonts w:hint="eastAsia" w:ascii="宋体" w:hAnsi="宋体" w:cs="宋体"/>
          <w:color w:val="auto"/>
          <w:szCs w:val="21"/>
          <w:highlight w:val="none"/>
        </w:rPr>
        <w:sectPr>
          <w:headerReference r:id="rId18" w:type="default"/>
          <w:footerReference r:id="rId19" w:type="default"/>
          <w:pgSz w:w="11906" w:h="16838"/>
          <w:pgMar w:top="232" w:right="1588" w:bottom="1474" w:left="1474" w:header="851" w:footer="992" w:gutter="0"/>
          <w:pgNumType w:fmt="decimal"/>
          <w:cols w:space="720" w:num="1"/>
          <w:docGrid w:type="linesAndChars" w:linePitch="312" w:charSpace="0"/>
        </w:sect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附件10-1</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 xml:space="preserve">分项价格表 </w:t>
      </w:r>
    </w:p>
    <w:p>
      <w:pPr>
        <w:spacing w:line="360" w:lineRule="exact"/>
        <w:rPr>
          <w:rFonts w:hint="eastAsia" w:ascii="宋体" w:hAnsi="宋体" w:cs="宋体"/>
          <w:b/>
          <w:color w:val="auto"/>
          <w:sz w:val="21"/>
          <w:szCs w:val="21"/>
          <w:highlight w:val="none"/>
        </w:rPr>
      </w:pP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项目名称：</w:t>
      </w: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包号：                                                                                                       金额单位：元</w:t>
      </w:r>
    </w:p>
    <w:tbl>
      <w:tblPr>
        <w:tblStyle w:val="41"/>
        <w:tblW w:w="14752" w:type="dxa"/>
        <w:tblInd w:w="2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41"/>
        <w:gridCol w:w="1665"/>
        <w:gridCol w:w="3810"/>
        <w:gridCol w:w="2385"/>
        <w:gridCol w:w="2415"/>
        <w:gridCol w:w="1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人员数量（人）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金额（元</w:t>
            </w:r>
            <w:r>
              <w:rPr>
                <w:rFonts w:hint="eastAsia" w:ascii="宋体" w:hAnsi="宋体" w:cs="宋体"/>
                <w:color w:val="auto"/>
                <w:sz w:val="21"/>
                <w:szCs w:val="21"/>
                <w:highlight w:val="none"/>
                <w:lang w:val="en-US" w:eastAsia="zh-CN"/>
              </w:rPr>
              <w:t>/月</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（本项单项上限值为</w:t>
            </w:r>
            <w:r>
              <w:rPr>
                <w:rFonts w:hint="eastAsia" w:ascii="宋体" w:hAnsi="宋体" w:cs="宋体"/>
                <w:b/>
                <w:bCs/>
                <w:color w:val="auto"/>
                <w:sz w:val="21"/>
                <w:szCs w:val="21"/>
                <w:highlight w:val="none"/>
                <w:lang w:val="en-US" w:eastAsia="zh-CN"/>
              </w:rPr>
              <w:t>3000元/月/人</w:t>
            </w:r>
            <w:r>
              <w:rPr>
                <w:rFonts w:hint="eastAsia" w:ascii="宋体" w:hAnsi="宋体" w:cs="宋体"/>
                <w:b/>
                <w:bCs/>
                <w:color w:val="auto"/>
                <w:sz w:val="21"/>
                <w:szCs w:val="21"/>
                <w:highlight w:val="none"/>
                <w:lang w:eastAsia="zh-CN"/>
              </w:rPr>
              <w:t>）</w:t>
            </w: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时间（月）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小计</w:t>
            </w:r>
            <w:r>
              <w:rPr>
                <w:rFonts w:hint="eastAsia" w:ascii="宋体" w:hAnsi="宋体" w:cs="宋体"/>
                <w:color w:val="auto"/>
                <w:sz w:val="21"/>
                <w:szCs w:val="21"/>
                <w:highlight w:val="none"/>
                <w:lang w:eastAsia="zh-CN"/>
              </w:rPr>
              <w:t>（元</w:t>
            </w:r>
            <w:r>
              <w:rPr>
                <w:rFonts w:hint="eastAsia" w:ascii="宋体" w:hAnsi="宋体" w:cs="宋体"/>
                <w:color w:val="auto"/>
                <w:sz w:val="21"/>
                <w:szCs w:val="21"/>
                <w:highlight w:val="none"/>
                <w:lang w:val="en-US" w:eastAsia="zh-CN"/>
              </w:rPr>
              <w:t>/年</w:t>
            </w:r>
            <w:r>
              <w:rPr>
                <w:rFonts w:hint="eastAsia" w:ascii="宋体" w:hAnsi="宋体" w:cs="宋体"/>
                <w:color w:val="auto"/>
                <w:sz w:val="21"/>
                <w:szCs w:val="21"/>
                <w:highlight w:val="none"/>
                <w:lang w:eastAsia="zh-CN"/>
              </w:rPr>
              <w:t>）</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24人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bl>
    <w:p>
      <w:pPr>
        <w:spacing w:line="360" w:lineRule="exact"/>
        <w:ind w:firstLine="210" w:firstLineChars="100"/>
        <w:rPr>
          <w:rFonts w:hint="eastAsia" w:ascii="宋体" w:hAnsi="宋体" w:cs="宋体"/>
          <w:b/>
          <w:color w:val="auto"/>
          <w:sz w:val="21"/>
          <w:szCs w:val="21"/>
          <w:highlight w:val="none"/>
        </w:rPr>
      </w:pP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报价金额合计：小写：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大写：</w:t>
      </w:r>
      <w:r>
        <w:rPr>
          <w:rFonts w:hint="eastAsia" w:ascii="宋体" w:hAnsi="宋体" w:cs="宋体"/>
          <w:color w:val="auto"/>
          <w:sz w:val="21"/>
          <w:szCs w:val="21"/>
          <w:highlight w:val="none"/>
          <w:u w:val="single"/>
        </w:rPr>
        <w:t xml:space="preserve">                      </w:t>
      </w:r>
    </w:p>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left="-117" w:leftChars="-42"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1、本表包含磋商文件第四章《采购需求》或其他部分对该项目所有要求的详细报价。“合计”及“报价金额合计”应与附件</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117" w:leftChars="-42" w:firstLine="315" w:firstLineChars="150"/>
        <w:rPr>
          <w:rFonts w:hint="eastAsia" w:ascii="宋体" w:hAnsi="宋体" w:cs="宋体"/>
          <w:b/>
          <w:color w:val="auto"/>
          <w:sz w:val="21"/>
          <w:szCs w:val="21"/>
          <w:highlight w:val="none"/>
        </w:rPr>
        <w:sectPr>
          <w:pgSz w:w="16838" w:h="11906" w:orient="landscape"/>
          <w:pgMar w:top="1474" w:right="232" w:bottom="1588" w:left="1474" w:header="851" w:footer="992" w:gutter="0"/>
          <w:pgNumType w:fmt="decimal"/>
          <w:cols w:space="720" w:num="1"/>
          <w:docGrid w:type="linesAndChars" w:linePitch="312" w:charSpace="0"/>
        </w:sectPr>
      </w:pPr>
      <w:r>
        <w:rPr>
          <w:rFonts w:hint="eastAsia" w:ascii="宋体" w:hAnsi="宋体" w:cs="宋体"/>
          <w:color w:val="auto"/>
          <w:sz w:val="21"/>
          <w:szCs w:val="21"/>
          <w:highlight w:val="none"/>
        </w:rPr>
        <w:t>2、“服务名称”是指整包分项服务的内容，品目分类是指分项服务费用构成的明细分类项。</w:t>
      </w:r>
    </w:p>
    <w:p>
      <w:pPr>
        <w:adjustRightInd w:val="0"/>
        <w:snapToGrid w:val="0"/>
        <w:spacing w:line="360" w:lineRule="auto"/>
        <w:ind w:left="-118" w:leftChars="-42"/>
        <w:jc w:val="center"/>
        <w:rPr>
          <w:rFonts w:hint="eastAsia" w:ascii="宋体" w:hAnsi="宋体" w:cs="宋体"/>
          <w:color w:val="auto"/>
          <w:sz w:val="30"/>
          <w:szCs w:val="30"/>
          <w:highlight w:val="none"/>
        </w:rPr>
      </w:pPr>
      <w:r>
        <w:rPr>
          <w:rFonts w:hint="eastAsia" w:ascii="宋体" w:hAnsi="宋体" w:cs="宋体"/>
          <w:b/>
          <w:color w:val="auto"/>
          <w:sz w:val="30"/>
          <w:szCs w:val="30"/>
          <w:highlight w:val="none"/>
        </w:rPr>
        <w:t>八</w:t>
      </w:r>
      <w:r>
        <w:rPr>
          <w:rFonts w:hint="eastAsia" w:ascii="宋体" w:hAnsi="宋体" w:cs="宋体"/>
          <w:b/>
          <w:bCs/>
          <w:color w:val="auto"/>
          <w:sz w:val="30"/>
          <w:szCs w:val="30"/>
          <w:highlight w:val="none"/>
        </w:rPr>
        <w:t>、供应商认为需要提供的其它资料</w:t>
      </w: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adjustRightInd w:val="0"/>
        <w:snapToGrid w:val="0"/>
        <w:spacing w:before="156" w:beforeLines="50"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九、最后报价</w:t>
      </w:r>
    </w:p>
    <w:p>
      <w:pPr>
        <w:adjustRightInd w:val="0"/>
        <w:snapToGrid w:val="0"/>
        <w:ind w:left="-118"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1、最后报价按第二章磋商须知第30条规定提供，格式按附件10、附件10-1提供。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2、最后报价需填列报价一览表</w:t>
      </w:r>
      <w:r>
        <w:rPr>
          <w:rFonts w:hint="eastAsia" w:ascii="宋体" w:hAnsi="宋体" w:cs="宋体"/>
          <w:b/>
          <w:bCs/>
          <w:color w:val="auto"/>
          <w:sz w:val="21"/>
          <w:szCs w:val="21"/>
          <w:highlight w:val="none"/>
        </w:rPr>
        <w:t>（此表请各投标供应商单独准备并提前准备自行携带至开标会现场）</w:t>
      </w:r>
      <w:r>
        <w:rPr>
          <w:rFonts w:hint="eastAsia" w:ascii="宋体" w:hAnsi="宋体" w:cs="宋体"/>
          <w:color w:val="auto"/>
          <w:sz w:val="21"/>
          <w:szCs w:val="21"/>
          <w:highlight w:val="none"/>
        </w:rPr>
        <w:t>。</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3、最后报价现场提供。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40"/>
        <w:ind w:left="560"/>
        <w:rPr>
          <w:rFonts w:hint="eastAsia"/>
          <w:color w:val="auto"/>
          <w:szCs w:val="21"/>
          <w:highlight w:val="none"/>
        </w:rPr>
      </w:pPr>
    </w:p>
    <w:sectPr>
      <w:footerReference r:id="rId20" w:type="default"/>
      <w:pgSz w:w="11906" w:h="16838"/>
      <w:pgMar w:top="1440" w:right="1800" w:bottom="1440" w:left="1800" w:header="992"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ail">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湖南阳光建设工程项目管理有限公司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pPr>
    <w:r>
      <mc:AlternateContent>
        <mc:Choice Requires="wps">
          <w:drawing>
            <wp:anchor distT="0" distB="0" distL="114300" distR="114300" simplePos="0" relativeHeight="25166745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745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D7ZiSA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ascii="宋体" w:hAnsi="宋体" w:cs="宋体"/>
        <w:bCs/>
        <w:kern w:val="0"/>
      </w:rPr>
      <w:t xml:space="preserve"> </w:t>
    </w: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rPr>
        <w:rFonts w:hint="eastAsia" w:ascii="宋体" w:hAnsi="宋体" w:cs="宋体"/>
        <w:bCs/>
        <w:sz w:val="21"/>
        <w:szCs w:val="21"/>
      </w:rPr>
    </w:pPr>
    <w:r>
      <mc:AlternateContent>
        <mc:Choice Requires="wps">
          <w:drawing>
            <wp:anchor distT="0" distB="0" distL="114300" distR="114300" simplePos="0" relativeHeight="251669504"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9504;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NLtJZ7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lang w:eastAsia="zh-CN"/>
      </w:rPr>
    </w:pPr>
    <w:r>
      <mc:AlternateContent>
        <mc:Choice Requires="wps">
          <w:drawing>
            <wp:anchor distT="0" distB="0" distL="114300" distR="114300" simplePos="0" relativeHeight="251661312"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1312;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BHhUnV1gEAALA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rPr>
    </w:pPr>
    <w:r>
      <mc:AlternateContent>
        <mc:Choice Requires="wps">
          <w:drawing>
            <wp:anchor distT="0" distB="0" distL="114300" distR="114300" simplePos="0" relativeHeight="25166028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028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ApYN3Q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rPr>
    </w:pPr>
    <w:r>
      <mc:AlternateContent>
        <mc:Choice Requires="wps">
          <w:drawing>
            <wp:anchor distT="0" distB="0" distL="114300" distR="114300" simplePos="0" relativeHeight="25166233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233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HTafXt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rPr>
        <w:rFonts w:ascii="宋体" w:hAnsi="宋体"/>
        <w:sz w:val="28"/>
        <w:szCs w:val="28"/>
      </w:rPr>
    </w:pPr>
    <w:r>
      <mc:AlternateContent>
        <mc:Choice Requires="wps">
          <w:drawing>
            <wp:anchor distT="0" distB="0" distL="114300" distR="114300" simplePos="0" relativeHeight="251663360"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3360;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qXAnvN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pPr>
    <w:r>
      <mc:AlternateContent>
        <mc:Choice Requires="wps">
          <w:drawing>
            <wp:anchor distT="0" distB="0" distL="114300" distR="114300" simplePos="0" relativeHeight="25166540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540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ID7JqL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6"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rPr>
        <w:u w:val="single"/>
      </w:rPr>
    </w:pPr>
    <w:r>
      <w:rPr>
        <w:rFonts w:hint="eastAsia"/>
      </w:rPr>
      <w:drawing>
        <wp:inline distT="0" distB="0" distL="114300" distR="114300">
          <wp:extent cx="629920" cy="517525"/>
          <wp:effectExtent l="0" t="0" r="17780" b="158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u w:val="single"/>
      </w:rPr>
    </w:pPr>
    <w:r>
      <w:rPr>
        <w:rFonts w:hint="eastAsia"/>
        <w:u w:val="single"/>
      </w:rPr>
      <w:t>湖南湘江城市运营管理</w:t>
    </w:r>
    <w:r>
      <w:rPr>
        <w:rFonts w:hint="eastAsia" w:ascii="宋体" w:hAnsi="宋体"/>
        <w:u w:val="single"/>
      </w:rPr>
      <w:t xml:space="preserve">有限公司                                                              </w:t>
    </w:r>
    <w:r>
      <w:rPr>
        <w:rFonts w:hint="eastAsia" w:ascii="宋体" w:hAnsi="宋体"/>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7"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rPr>
        <w:rFonts w:hint="eastAsia"/>
      </w:rPr>
    </w:pPr>
    <w:r>
      <w:rPr>
        <w:rFonts w:hint="eastAsia"/>
      </w:rPr>
      <w:drawing>
        <wp:inline distT="0" distB="0" distL="114300" distR="114300">
          <wp:extent cx="629920" cy="517525"/>
          <wp:effectExtent l="0" t="0" r="17780" b="158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18831"/>
    <w:multiLevelType w:val="singleLevel"/>
    <w:tmpl w:val="9A818831"/>
    <w:lvl w:ilvl="0" w:tentative="0">
      <w:start w:val="1"/>
      <w:numFmt w:val="decimal"/>
      <w:suff w:val="nothing"/>
      <w:lvlText w:val="（%1）"/>
      <w:lvlJc w:val="left"/>
    </w:lvl>
  </w:abstractNum>
  <w:abstractNum w:abstractNumId="1">
    <w:nsid w:val="9ABD3E4A"/>
    <w:multiLevelType w:val="singleLevel"/>
    <w:tmpl w:val="9ABD3E4A"/>
    <w:lvl w:ilvl="0" w:tentative="0">
      <w:start w:val="1"/>
      <w:numFmt w:val="decimal"/>
      <w:suff w:val="nothing"/>
      <w:lvlText w:val="%1、"/>
      <w:lvlJc w:val="left"/>
    </w:lvl>
  </w:abstractNum>
  <w:abstractNum w:abstractNumId="2">
    <w:nsid w:val="C6B26A2C"/>
    <w:multiLevelType w:val="singleLevel"/>
    <w:tmpl w:val="C6B26A2C"/>
    <w:lvl w:ilvl="0" w:tentative="0">
      <w:start w:val="1"/>
      <w:numFmt w:val="decimal"/>
      <w:lvlText w:val="%1."/>
      <w:lvlJc w:val="left"/>
      <w:pPr>
        <w:tabs>
          <w:tab w:val="left" w:pos="312"/>
        </w:tabs>
      </w:pPr>
    </w:lvl>
  </w:abstractNum>
  <w:abstractNum w:abstractNumId="3">
    <w:nsid w:val="E8816982"/>
    <w:multiLevelType w:val="singleLevel"/>
    <w:tmpl w:val="E8816982"/>
    <w:lvl w:ilvl="0" w:tentative="0">
      <w:start w:val="2"/>
      <w:numFmt w:val="chineseCounting"/>
      <w:suff w:val="space"/>
      <w:lvlText w:val="第%1条"/>
      <w:lvlJc w:val="left"/>
      <w:rPr>
        <w:rFonts w:hint="eastAsia"/>
      </w:rPr>
    </w:lvl>
  </w:abstractNum>
  <w:abstractNum w:abstractNumId="4">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3139E2F"/>
    <w:multiLevelType w:val="singleLevel"/>
    <w:tmpl w:val="03139E2F"/>
    <w:lvl w:ilvl="0" w:tentative="0">
      <w:start w:val="1"/>
      <w:numFmt w:val="decimal"/>
      <w:suff w:val="nothing"/>
      <w:lvlText w:val="（%1）"/>
      <w:lvlJc w:val="left"/>
    </w:lvl>
  </w:abstractNum>
  <w:abstractNum w:abstractNumId="7">
    <w:nsid w:val="5D83B9E4"/>
    <w:multiLevelType w:val="singleLevel"/>
    <w:tmpl w:val="5D83B9E4"/>
    <w:lvl w:ilvl="0" w:tentative="0">
      <w:start w:val="3"/>
      <w:numFmt w:val="decimal"/>
      <w:lvlText w:val="%1."/>
      <w:lvlJc w:val="left"/>
      <w:pPr>
        <w:tabs>
          <w:tab w:val="left" w:pos="312"/>
        </w:tabs>
      </w:p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zEyMjdjZTI4NTY0MzkxZTRjZjc5ZjQ5ZjYzNmYifQ=="/>
  </w:docVars>
  <w:rsids>
    <w:rsidRoot w:val="00172A27"/>
    <w:rsid w:val="000A60D8"/>
    <w:rsid w:val="001766BB"/>
    <w:rsid w:val="00177D19"/>
    <w:rsid w:val="00251144"/>
    <w:rsid w:val="005C6189"/>
    <w:rsid w:val="00706243"/>
    <w:rsid w:val="0089496F"/>
    <w:rsid w:val="00B00015"/>
    <w:rsid w:val="00E035F8"/>
    <w:rsid w:val="00FD77CD"/>
    <w:rsid w:val="02C2702E"/>
    <w:rsid w:val="062A6B5D"/>
    <w:rsid w:val="085E55CF"/>
    <w:rsid w:val="0CB942D8"/>
    <w:rsid w:val="0D0D671F"/>
    <w:rsid w:val="14D02DF5"/>
    <w:rsid w:val="16111102"/>
    <w:rsid w:val="16FA3688"/>
    <w:rsid w:val="1A565582"/>
    <w:rsid w:val="1A86783D"/>
    <w:rsid w:val="1D0F38D5"/>
    <w:rsid w:val="264325AC"/>
    <w:rsid w:val="2F2513E2"/>
    <w:rsid w:val="322B7BA2"/>
    <w:rsid w:val="354357F4"/>
    <w:rsid w:val="3BCC5A00"/>
    <w:rsid w:val="3C974EDC"/>
    <w:rsid w:val="3CB0308D"/>
    <w:rsid w:val="3E595E2E"/>
    <w:rsid w:val="451D186C"/>
    <w:rsid w:val="4991624D"/>
    <w:rsid w:val="4B2D0900"/>
    <w:rsid w:val="4C081DE7"/>
    <w:rsid w:val="4E3B5550"/>
    <w:rsid w:val="53F67336"/>
    <w:rsid w:val="55A82D9F"/>
    <w:rsid w:val="59DD504C"/>
    <w:rsid w:val="59EE008C"/>
    <w:rsid w:val="61975024"/>
    <w:rsid w:val="620837B8"/>
    <w:rsid w:val="639A0AA6"/>
    <w:rsid w:val="6C602047"/>
    <w:rsid w:val="74640AAD"/>
    <w:rsid w:val="7638764B"/>
    <w:rsid w:val="771D7B15"/>
    <w:rsid w:val="77E477A5"/>
    <w:rsid w:val="7AEF309B"/>
    <w:rsid w:val="7BAB1F36"/>
    <w:rsid w:val="7BF92B82"/>
    <w:rsid w:val="7C773B20"/>
    <w:rsid w:val="7E891005"/>
    <w:rsid w:val="7EB65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3">
    <w:name w:val="heading 1"/>
    <w:basedOn w:val="1"/>
    <w:next w:val="1"/>
    <w:link w:val="58"/>
    <w:qFormat/>
    <w:uiPriority w:val="0"/>
    <w:pPr>
      <w:keepNext/>
      <w:spacing w:line="360" w:lineRule="auto"/>
      <w:jc w:val="center"/>
      <w:outlineLvl w:val="0"/>
    </w:pPr>
    <w:rPr>
      <w:rFonts w:ascii="Times New Roman" w:hAnsi="Times New Roman"/>
      <w:b/>
      <w:bCs/>
      <w:sz w:val="30"/>
      <w:szCs w:val="20"/>
    </w:rPr>
  </w:style>
  <w:style w:type="paragraph" w:styleId="4">
    <w:name w:val="heading 2"/>
    <w:basedOn w:val="1"/>
    <w:next w:val="1"/>
    <w:link w:val="59"/>
    <w:qFormat/>
    <w:uiPriority w:val="0"/>
    <w:pPr>
      <w:keepNext/>
      <w:keepLines/>
      <w:spacing w:line="360" w:lineRule="auto"/>
      <w:jc w:val="center"/>
      <w:outlineLvl w:val="1"/>
    </w:pPr>
    <w:rPr>
      <w:rFonts w:ascii="Arial" w:hAnsi="Arial"/>
      <w:b/>
      <w:bCs/>
      <w:sz w:val="30"/>
      <w:szCs w:val="32"/>
    </w:rPr>
  </w:style>
  <w:style w:type="paragraph" w:styleId="5">
    <w:name w:val="heading 3"/>
    <w:basedOn w:val="1"/>
    <w:next w:val="1"/>
    <w:link w:val="60"/>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61"/>
    <w:qFormat/>
    <w:uiPriority w:val="0"/>
    <w:pPr>
      <w:keepNext/>
      <w:keepLines/>
      <w:spacing w:before="280" w:after="290" w:line="376" w:lineRule="auto"/>
      <w:outlineLvl w:val="3"/>
    </w:pPr>
    <w:rPr>
      <w:rFonts w:ascii="Arial" w:hAnsi="Arial" w:eastAsia="黑体"/>
      <w:b/>
      <w:bCs/>
      <w:szCs w:val="28"/>
    </w:rPr>
  </w:style>
  <w:style w:type="paragraph" w:styleId="7">
    <w:name w:val="heading 5"/>
    <w:basedOn w:val="1"/>
    <w:next w:val="1"/>
    <w:link w:val="62"/>
    <w:qFormat/>
    <w:uiPriority w:val="0"/>
    <w:pPr>
      <w:keepNext/>
      <w:keepLines/>
      <w:adjustRightInd w:val="0"/>
      <w:spacing w:before="280" w:after="290" w:line="376" w:lineRule="atLeast"/>
      <w:jc w:val="left"/>
      <w:textAlignment w:val="baseline"/>
      <w:outlineLvl w:val="4"/>
    </w:pPr>
    <w:rPr>
      <w:rFonts w:ascii="Times New Roman" w:hAnsi="Times New Roman"/>
      <w:b/>
      <w:bCs/>
      <w:kern w:val="0"/>
      <w:szCs w:val="28"/>
    </w:rPr>
  </w:style>
  <w:style w:type="paragraph" w:styleId="8">
    <w:name w:val="heading 6"/>
    <w:basedOn w:val="1"/>
    <w:next w:val="1"/>
    <w:link w:val="6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4"/>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0">
    <w:name w:val="heading 8"/>
    <w:basedOn w:val="1"/>
    <w:next w:val="1"/>
    <w:link w:val="6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6"/>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43">
    <w:name w:val="Default Paragraph Font"/>
    <w:qFormat/>
    <w:uiPriority w:val="0"/>
    <w:rPr>
      <w:rFonts w:ascii="Times New Roman" w:hAnsi="Times New Roman" w:eastAsia="宋体" w:cs="Times New Roman"/>
    </w:rPr>
  </w:style>
  <w:style w:type="table" w:default="1" w:styleId="41">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12">
    <w:name w:val="toc 7"/>
    <w:basedOn w:val="1"/>
    <w:next w:val="1"/>
    <w:qFormat/>
    <w:uiPriority w:val="0"/>
    <w:pPr>
      <w:ind w:left="2520" w:leftChars="1200"/>
    </w:pPr>
    <w:rPr>
      <w:rFonts w:ascii="Calibri" w:hAnsi="Calibri" w:eastAsia="宋体" w:cs="Times New Roman"/>
      <w:szCs w:val="22"/>
    </w:rPr>
  </w:style>
  <w:style w:type="paragraph" w:styleId="13">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4">
    <w:name w:val="Document Map"/>
    <w:basedOn w:val="1"/>
    <w:qFormat/>
    <w:uiPriority w:val="0"/>
    <w:pPr>
      <w:shd w:val="clear" w:color="auto" w:fill="000080"/>
    </w:pPr>
    <w:rPr>
      <w:rFonts w:ascii="Times New Roman" w:hAnsi="Times New Roman" w:eastAsia="宋体" w:cs="Times New Roman"/>
    </w:rPr>
  </w:style>
  <w:style w:type="paragraph" w:styleId="15">
    <w:name w:val="annotation text"/>
    <w:basedOn w:val="1"/>
    <w:link w:val="67"/>
    <w:qFormat/>
    <w:uiPriority w:val="0"/>
    <w:pPr>
      <w:jc w:val="left"/>
    </w:pPr>
    <w:rPr>
      <w:rFonts w:ascii="Times New Roman" w:hAnsi="Times New Roman"/>
      <w:sz w:val="21"/>
    </w:rPr>
  </w:style>
  <w:style w:type="paragraph" w:styleId="16">
    <w:name w:val="Salutation"/>
    <w:basedOn w:val="1"/>
    <w:next w:val="1"/>
    <w:qFormat/>
    <w:uiPriority w:val="0"/>
    <w:rPr>
      <w:rFonts w:ascii="仿宋_GB2312" w:hAnsi="Times New Roman" w:eastAsia="仿宋_GB2312" w:cs="Times New Roman"/>
      <w:sz w:val="24"/>
    </w:rPr>
  </w:style>
  <w:style w:type="paragraph" w:styleId="17">
    <w:name w:val="Body Text 3"/>
    <w:basedOn w:val="1"/>
    <w:qFormat/>
    <w:uiPriority w:val="0"/>
    <w:pPr>
      <w:autoSpaceDE w:val="0"/>
      <w:autoSpaceDN w:val="0"/>
      <w:adjustRightInd w:val="0"/>
      <w:spacing w:line="410" w:lineRule="atLeast"/>
      <w:jc w:val="left"/>
    </w:pPr>
    <w:rPr>
      <w:rFonts w:ascii="宋体" w:hAnsi="Times New Roman" w:eastAsia="宋体" w:cs="Times New Roman"/>
      <w:color w:val="000000"/>
      <w:kern w:val="0"/>
      <w:sz w:val="24"/>
      <w:szCs w:val="20"/>
    </w:rPr>
  </w:style>
  <w:style w:type="paragraph" w:styleId="18">
    <w:name w:val="Body Text Indent"/>
    <w:basedOn w:val="1"/>
    <w:next w:val="1"/>
    <w:link w:val="57"/>
    <w:qFormat/>
    <w:uiPriority w:val="0"/>
    <w:pPr>
      <w:spacing w:after="120"/>
      <w:ind w:left="420" w:leftChars="200"/>
    </w:pPr>
    <w:rPr>
      <w:rFonts w:ascii="Times New Roman" w:hAnsi="Times New Roman"/>
      <w:sz w:val="21"/>
    </w:rPr>
  </w:style>
  <w:style w:type="paragraph" w:styleId="19">
    <w:name w:val="Block Text"/>
    <w:basedOn w:val="1"/>
    <w:qFormat/>
    <w:uiPriority w:val="0"/>
    <w:pPr>
      <w:ind w:left="1171" w:right="91" w:hanging="1080"/>
    </w:pPr>
    <w:rPr>
      <w:rFonts w:ascii="Times New Roman" w:hAnsi="Times New Roman" w:eastAsia="楷体_GB2312" w:cs="Times New Roman"/>
      <w:szCs w:val="20"/>
    </w:rPr>
  </w:style>
  <w:style w:type="paragraph" w:styleId="20">
    <w:name w:val="toc 5"/>
    <w:basedOn w:val="1"/>
    <w:next w:val="1"/>
    <w:qFormat/>
    <w:uiPriority w:val="0"/>
    <w:pPr>
      <w:ind w:left="1680" w:leftChars="800"/>
    </w:pPr>
    <w:rPr>
      <w:rFonts w:ascii="Calibri" w:hAnsi="Calibri" w:eastAsia="宋体" w:cs="Times New Roman"/>
      <w:szCs w:val="22"/>
    </w:rPr>
  </w:style>
  <w:style w:type="paragraph" w:styleId="21">
    <w:name w:val="toc 3"/>
    <w:basedOn w:val="1"/>
    <w:next w:val="1"/>
    <w:qFormat/>
    <w:uiPriority w:val="0"/>
    <w:pPr>
      <w:ind w:left="840" w:leftChars="400"/>
    </w:pPr>
    <w:rPr>
      <w:rFonts w:ascii="Times New Roman" w:hAnsi="Times New Roman" w:eastAsia="宋体" w:cs="Times New Roman"/>
    </w:rPr>
  </w:style>
  <w:style w:type="paragraph" w:styleId="22">
    <w:name w:val="Plain Text"/>
    <w:basedOn w:val="1"/>
    <w:link w:val="68"/>
    <w:qFormat/>
    <w:uiPriority w:val="0"/>
    <w:rPr>
      <w:rFonts w:ascii="宋体" w:hAnsi="Courier New" w:cs="Courier New"/>
      <w:sz w:val="21"/>
      <w:szCs w:val="21"/>
    </w:rPr>
  </w:style>
  <w:style w:type="paragraph" w:styleId="23">
    <w:name w:val="toc 8"/>
    <w:basedOn w:val="1"/>
    <w:next w:val="1"/>
    <w:qFormat/>
    <w:uiPriority w:val="0"/>
    <w:pPr>
      <w:ind w:left="2940" w:leftChars="1400"/>
    </w:pPr>
    <w:rPr>
      <w:rFonts w:ascii="Calibri" w:hAnsi="Calibri" w:eastAsia="宋体" w:cs="Times New Roman"/>
      <w:szCs w:val="22"/>
    </w:rPr>
  </w:style>
  <w:style w:type="paragraph" w:styleId="24">
    <w:name w:val="Date"/>
    <w:basedOn w:val="1"/>
    <w:next w:val="1"/>
    <w:link w:val="69"/>
    <w:qFormat/>
    <w:uiPriority w:val="0"/>
    <w:rPr>
      <w:rFonts w:ascii="Times New Roman" w:hAnsi="Times New Roman"/>
      <w:sz w:val="24"/>
      <w:szCs w:val="20"/>
    </w:rPr>
  </w:style>
  <w:style w:type="paragraph" w:styleId="25">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26">
    <w:name w:val="Balloon Text"/>
    <w:basedOn w:val="1"/>
    <w:link w:val="70"/>
    <w:qFormat/>
    <w:uiPriority w:val="0"/>
    <w:rPr>
      <w:sz w:val="18"/>
      <w:szCs w:val="18"/>
    </w:rPr>
  </w:style>
  <w:style w:type="paragraph" w:styleId="27">
    <w:name w:val="footer"/>
    <w:basedOn w:val="1"/>
    <w:link w:val="71"/>
    <w:qFormat/>
    <w:uiPriority w:val="0"/>
    <w:pPr>
      <w:tabs>
        <w:tab w:val="center" w:pos="4153"/>
        <w:tab w:val="right" w:pos="8306"/>
      </w:tabs>
      <w:snapToGrid w:val="0"/>
      <w:jc w:val="left"/>
    </w:pPr>
    <w:rPr>
      <w:rFonts w:ascii="Times New Roman" w:hAnsi="Times New Roman"/>
      <w:sz w:val="18"/>
      <w:szCs w:val="18"/>
    </w:rPr>
  </w:style>
  <w:style w:type="paragraph" w:styleId="28">
    <w:name w:val="header"/>
    <w:basedOn w:val="1"/>
    <w:link w:val="7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9">
    <w:name w:val="toc 4"/>
    <w:basedOn w:val="1"/>
    <w:next w:val="1"/>
    <w:qFormat/>
    <w:uiPriority w:val="0"/>
    <w:pPr>
      <w:ind w:left="1260" w:leftChars="600"/>
    </w:pPr>
    <w:rPr>
      <w:rFonts w:ascii="Times New Roman" w:hAnsi="Times New Roman" w:eastAsia="宋体" w:cs="Times New Roman"/>
    </w:rPr>
  </w:style>
  <w:style w:type="paragraph" w:styleId="30">
    <w:name w:val="toc 6"/>
    <w:basedOn w:val="1"/>
    <w:next w:val="1"/>
    <w:qFormat/>
    <w:uiPriority w:val="0"/>
    <w:pPr>
      <w:ind w:left="2100" w:leftChars="1000"/>
    </w:pPr>
    <w:rPr>
      <w:rFonts w:ascii="Calibri" w:hAnsi="Calibri" w:eastAsia="宋体" w:cs="Times New Roman"/>
      <w:szCs w:val="22"/>
    </w:rPr>
  </w:style>
  <w:style w:type="paragraph" w:styleId="31">
    <w:name w:val="Body Text Indent 3"/>
    <w:basedOn w:val="1"/>
    <w:link w:val="73"/>
    <w:qFormat/>
    <w:uiPriority w:val="0"/>
    <w:pPr>
      <w:spacing w:after="120"/>
      <w:ind w:left="420" w:leftChars="200"/>
    </w:pPr>
    <w:rPr>
      <w:rFonts w:ascii="Times New Roman" w:hAnsi="Times New Roman"/>
      <w:sz w:val="16"/>
      <w:szCs w:val="16"/>
    </w:rPr>
  </w:style>
  <w:style w:type="paragraph" w:styleId="32">
    <w:name w:val="toc 2"/>
    <w:basedOn w:val="1"/>
    <w:next w:val="1"/>
    <w:qFormat/>
    <w:uiPriority w:val="0"/>
    <w:pPr>
      <w:ind w:left="420" w:leftChars="200"/>
    </w:pPr>
    <w:rPr>
      <w:rFonts w:ascii="Times New Roman" w:hAnsi="Times New Roman" w:eastAsia="宋体" w:cs="Times New Roman"/>
    </w:rPr>
  </w:style>
  <w:style w:type="paragraph" w:styleId="33">
    <w:name w:val="toc 9"/>
    <w:basedOn w:val="1"/>
    <w:next w:val="1"/>
    <w:qFormat/>
    <w:uiPriority w:val="0"/>
    <w:pPr>
      <w:ind w:left="3360" w:leftChars="1600"/>
    </w:pPr>
    <w:rPr>
      <w:rFonts w:ascii="Calibri" w:hAnsi="Calibri" w:eastAsia="宋体" w:cs="Times New Roman"/>
      <w:szCs w:val="22"/>
    </w:rPr>
  </w:style>
  <w:style w:type="paragraph" w:styleId="34">
    <w:name w:val="Body Text 2"/>
    <w:basedOn w:val="1"/>
    <w:qFormat/>
    <w:uiPriority w:val="0"/>
    <w:pPr>
      <w:spacing w:after="120" w:line="480" w:lineRule="auto"/>
    </w:pPr>
    <w:rPr>
      <w:rFonts w:ascii="Times New Roman" w:hAnsi="Times New Roman" w:eastAsia="宋体" w:cs="Times New Roman"/>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7">
    <w:name w:val="index 1"/>
    <w:basedOn w:val="1"/>
    <w:next w:val="1"/>
    <w:qFormat/>
    <w:uiPriority w:val="0"/>
    <w:pPr>
      <w:spacing w:line="220" w:lineRule="exact"/>
      <w:jc w:val="center"/>
    </w:pPr>
    <w:rPr>
      <w:rFonts w:ascii="仿宋_GB2312" w:hAnsi="Times New Roman" w:eastAsia="仿宋_GB2312" w:cs="Times New Roman"/>
      <w:szCs w:val="20"/>
    </w:rPr>
  </w:style>
  <w:style w:type="paragraph" w:styleId="38">
    <w:name w:val="Title"/>
    <w:basedOn w:val="1"/>
    <w:next w:val="1"/>
    <w:qFormat/>
    <w:uiPriority w:val="0"/>
    <w:pPr>
      <w:spacing w:before="240" w:after="60"/>
      <w:jc w:val="center"/>
      <w:outlineLvl w:val="0"/>
    </w:pPr>
    <w:rPr>
      <w:rFonts w:ascii="Cambria" w:hAnsi="Cambria" w:eastAsia="宋体" w:cs="Times New Roman"/>
      <w:b/>
      <w:sz w:val="32"/>
    </w:rPr>
  </w:style>
  <w:style w:type="paragraph" w:styleId="39">
    <w:name w:val="annotation subject"/>
    <w:basedOn w:val="15"/>
    <w:next w:val="15"/>
    <w:link w:val="74"/>
    <w:qFormat/>
    <w:uiPriority w:val="0"/>
    <w:rPr>
      <w:b/>
      <w:bCs/>
    </w:rPr>
  </w:style>
  <w:style w:type="paragraph" w:styleId="40">
    <w:name w:val="Body Text First Indent 2"/>
    <w:basedOn w:val="18"/>
    <w:qFormat/>
    <w:uiPriority w:val="0"/>
    <w:pPr>
      <w:ind w:firstLine="420" w:firstLineChars="200"/>
    </w:pPr>
    <w:rPr>
      <w:rFonts w:ascii="Times New Roman" w:hAnsi="Times New Roman" w:eastAsia="宋体" w:cs="Times New Roman"/>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rFonts w:ascii="Times New Roman" w:hAnsi="Times New Roman" w:eastAsia="宋体" w:cs="Times New Roman"/>
      <w:b/>
      <w:bCs/>
    </w:rPr>
  </w:style>
  <w:style w:type="character" w:styleId="45">
    <w:name w:val="page number"/>
    <w:qFormat/>
    <w:uiPriority w:val="0"/>
    <w:rPr>
      <w:rFonts w:ascii="Times New Roman" w:hAnsi="Times New Roman" w:eastAsia="宋体" w:cs="Times New Roman"/>
    </w:rPr>
  </w:style>
  <w:style w:type="character" w:styleId="46">
    <w:name w:val="FollowedHyperlink"/>
    <w:qFormat/>
    <w:uiPriority w:val="0"/>
    <w:rPr>
      <w:rFonts w:ascii="Times New Roman" w:hAnsi="Times New Roman" w:eastAsia="宋体" w:cs="Times New Roman"/>
      <w:color w:val="000000"/>
      <w:u w:val="none"/>
    </w:rPr>
  </w:style>
  <w:style w:type="character" w:styleId="47">
    <w:name w:val="Emphasis"/>
    <w:qFormat/>
    <w:uiPriority w:val="0"/>
    <w:rPr>
      <w:rFonts w:ascii="Times New Roman" w:hAnsi="Times New Roman" w:eastAsia="宋体" w:cs="Times New Roman"/>
    </w:rPr>
  </w:style>
  <w:style w:type="character" w:styleId="48">
    <w:name w:val="HTML Definition"/>
    <w:qFormat/>
    <w:uiPriority w:val="0"/>
    <w:rPr>
      <w:rFonts w:ascii="Times New Roman" w:hAnsi="Times New Roman" w:eastAsia="宋体" w:cs="Times New Roman"/>
    </w:rPr>
  </w:style>
  <w:style w:type="character" w:styleId="49">
    <w:name w:val="HTML Variable"/>
    <w:qFormat/>
    <w:uiPriority w:val="0"/>
    <w:rPr>
      <w:rFonts w:ascii="Times New Roman" w:hAnsi="Times New Roman" w:eastAsia="宋体" w:cs="Times New Roman"/>
    </w:rPr>
  </w:style>
  <w:style w:type="character" w:styleId="50">
    <w:name w:val="Hyperlink"/>
    <w:qFormat/>
    <w:uiPriority w:val="0"/>
    <w:rPr>
      <w:rFonts w:ascii="Times New Roman" w:hAnsi="Times New Roman" w:eastAsia="宋体" w:cs="Times New Roman"/>
      <w:color w:val="136EC2"/>
      <w:u w:val="singl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rFonts w:ascii="Times New Roman" w:hAnsi="Times New Roman" w:eastAsia="宋体" w:cs="Times New Roman"/>
      <w:sz w:val="21"/>
      <w:szCs w:val="21"/>
    </w:rPr>
  </w:style>
  <w:style w:type="character" w:styleId="53">
    <w:name w:val="HTML Cite"/>
    <w:qFormat/>
    <w:uiPriority w:val="0"/>
    <w:rPr>
      <w:rFonts w:ascii="Times New Roman" w:hAnsi="Times New Roman" w:eastAsia="宋体" w:cs="Times New Roman"/>
    </w:rPr>
  </w:style>
  <w:style w:type="character" w:styleId="54">
    <w:name w:val="HTML Keyboard"/>
    <w:qFormat/>
    <w:uiPriority w:val="0"/>
    <w:rPr>
      <w:rFonts w:ascii="Courier New" w:hAnsi="Courier New" w:eastAsia="Courier New" w:cs="Courier New"/>
      <w:sz w:val="20"/>
    </w:rPr>
  </w:style>
  <w:style w:type="character" w:styleId="55">
    <w:name w:val="HTML Sample"/>
    <w:qFormat/>
    <w:uiPriority w:val="0"/>
    <w:rPr>
      <w:rFonts w:ascii="Courier New" w:hAnsi="Courier New" w:eastAsia="Courier New" w:cs="Courier New"/>
    </w:rPr>
  </w:style>
  <w:style w:type="paragraph" w:customStyle="1" w:styleId="56">
    <w:name w:val="列出段落1"/>
    <w:basedOn w:val="1"/>
    <w:qFormat/>
    <w:uiPriority w:val="0"/>
    <w:pPr>
      <w:ind w:firstLine="420" w:firstLineChars="200"/>
    </w:pPr>
  </w:style>
  <w:style w:type="character" w:customStyle="1" w:styleId="57">
    <w:name w:val="正文文本缩进 Char"/>
    <w:link w:val="18"/>
    <w:qFormat/>
    <w:uiPriority w:val="0"/>
    <w:rPr>
      <w:rFonts w:ascii="Times New Roman" w:hAnsi="Times New Roman" w:eastAsia="宋体" w:cs="Times New Roman"/>
      <w:kern w:val="2"/>
      <w:sz w:val="21"/>
      <w:szCs w:val="24"/>
      <w:lang w:val="en-US" w:eastAsia="zh-CN" w:bidi="ar-SA"/>
    </w:rPr>
  </w:style>
  <w:style w:type="character" w:customStyle="1" w:styleId="58">
    <w:name w:val="标题 1 Char1"/>
    <w:link w:val="3"/>
    <w:qFormat/>
    <w:uiPriority w:val="0"/>
    <w:rPr>
      <w:rFonts w:ascii="Times New Roman" w:hAnsi="Times New Roman" w:eastAsia="宋体" w:cs="Times New Roman"/>
      <w:b/>
      <w:bCs/>
      <w:kern w:val="2"/>
      <w:sz w:val="30"/>
      <w:lang w:val="en-US" w:eastAsia="zh-CN" w:bidi="ar-SA"/>
    </w:rPr>
  </w:style>
  <w:style w:type="character" w:customStyle="1" w:styleId="59">
    <w:name w:val="标题 2 Char1"/>
    <w:link w:val="4"/>
    <w:qFormat/>
    <w:uiPriority w:val="0"/>
    <w:rPr>
      <w:rFonts w:ascii="Arial" w:hAnsi="Arial" w:eastAsia="宋体" w:cs="Times New Roman"/>
      <w:b/>
      <w:bCs/>
      <w:kern w:val="2"/>
      <w:sz w:val="30"/>
      <w:szCs w:val="32"/>
      <w:lang w:val="en-US" w:eastAsia="zh-CN" w:bidi="ar-SA"/>
    </w:rPr>
  </w:style>
  <w:style w:type="character" w:customStyle="1" w:styleId="60">
    <w:name w:val="标题 3 Char1"/>
    <w:link w:val="5"/>
    <w:qFormat/>
    <w:uiPriority w:val="0"/>
    <w:rPr>
      <w:rFonts w:ascii="Times New Roman" w:hAnsi="Times New Roman" w:eastAsia="宋体" w:cs="Times New Roman"/>
      <w:b/>
      <w:bCs/>
      <w:kern w:val="2"/>
      <w:sz w:val="32"/>
      <w:szCs w:val="32"/>
      <w:lang w:val="en-US" w:eastAsia="zh-CN" w:bidi="ar-SA"/>
    </w:rPr>
  </w:style>
  <w:style w:type="character" w:customStyle="1" w:styleId="61">
    <w:name w:val="标题 4 Char1"/>
    <w:link w:val="6"/>
    <w:qFormat/>
    <w:uiPriority w:val="0"/>
    <w:rPr>
      <w:rFonts w:ascii="Arial" w:hAnsi="Arial" w:eastAsia="黑体" w:cs="Times New Roman"/>
      <w:b/>
      <w:bCs/>
      <w:kern w:val="2"/>
      <w:sz w:val="28"/>
      <w:szCs w:val="28"/>
      <w:lang w:val="en-US" w:eastAsia="zh-CN" w:bidi="ar-SA"/>
    </w:rPr>
  </w:style>
  <w:style w:type="character" w:customStyle="1" w:styleId="62">
    <w:name w:val="标题 5 Char1"/>
    <w:link w:val="7"/>
    <w:qFormat/>
    <w:uiPriority w:val="0"/>
    <w:rPr>
      <w:rFonts w:ascii="Times New Roman" w:hAnsi="Times New Roman" w:eastAsia="宋体" w:cs="Times New Roman"/>
      <w:b/>
      <w:bCs/>
      <w:sz w:val="28"/>
      <w:szCs w:val="28"/>
      <w:lang w:val="en-US" w:eastAsia="zh-CN" w:bidi="ar-SA"/>
    </w:rPr>
  </w:style>
  <w:style w:type="character" w:customStyle="1" w:styleId="63">
    <w:name w:val="标题 6 Char1"/>
    <w:link w:val="8"/>
    <w:qFormat/>
    <w:uiPriority w:val="0"/>
    <w:rPr>
      <w:rFonts w:ascii="Arial" w:hAnsi="Arial" w:eastAsia="黑体" w:cs="Times New Roman"/>
      <w:b/>
      <w:bCs/>
      <w:sz w:val="24"/>
      <w:szCs w:val="24"/>
      <w:lang w:val="en-US" w:eastAsia="zh-CN" w:bidi="ar-SA"/>
    </w:rPr>
  </w:style>
  <w:style w:type="character" w:customStyle="1" w:styleId="64">
    <w:name w:val="标题 7 Char1"/>
    <w:link w:val="9"/>
    <w:qFormat/>
    <w:uiPriority w:val="0"/>
    <w:rPr>
      <w:rFonts w:ascii="Times New Roman" w:hAnsi="Times New Roman" w:eastAsia="宋体" w:cs="Times New Roman"/>
      <w:b/>
      <w:bCs/>
      <w:sz w:val="24"/>
      <w:szCs w:val="24"/>
      <w:lang w:val="en-US" w:eastAsia="zh-CN" w:bidi="ar-SA"/>
    </w:rPr>
  </w:style>
  <w:style w:type="character" w:customStyle="1" w:styleId="65">
    <w:name w:val="标题 8 Char1"/>
    <w:link w:val="10"/>
    <w:qFormat/>
    <w:uiPriority w:val="0"/>
    <w:rPr>
      <w:rFonts w:ascii="Arial" w:hAnsi="Arial" w:eastAsia="黑体" w:cs="Times New Roman"/>
      <w:sz w:val="24"/>
      <w:szCs w:val="24"/>
      <w:lang w:val="en-US" w:eastAsia="zh-CN" w:bidi="ar-SA"/>
    </w:rPr>
  </w:style>
  <w:style w:type="character" w:customStyle="1" w:styleId="66">
    <w:name w:val="标题 9 Char1"/>
    <w:link w:val="11"/>
    <w:qFormat/>
    <w:uiPriority w:val="0"/>
    <w:rPr>
      <w:rFonts w:ascii="Arial" w:hAnsi="Arial" w:eastAsia="黑体" w:cs="Times New Roman"/>
      <w:sz w:val="21"/>
      <w:szCs w:val="21"/>
      <w:lang w:val="en-US" w:eastAsia="zh-CN" w:bidi="ar-SA"/>
    </w:rPr>
  </w:style>
  <w:style w:type="character" w:customStyle="1" w:styleId="67">
    <w:name w:val="批注文字 Char1"/>
    <w:link w:val="15"/>
    <w:qFormat/>
    <w:uiPriority w:val="0"/>
    <w:rPr>
      <w:rFonts w:ascii="Times New Roman" w:hAnsi="Times New Roman" w:eastAsia="宋体" w:cs="Times New Roman"/>
      <w:kern w:val="2"/>
      <w:sz w:val="21"/>
      <w:szCs w:val="24"/>
      <w:lang w:val="en-US" w:eastAsia="zh-CN" w:bidi="ar-SA"/>
    </w:rPr>
  </w:style>
  <w:style w:type="character" w:customStyle="1" w:styleId="68">
    <w:name w:val="纯文本 Char"/>
    <w:link w:val="22"/>
    <w:qFormat/>
    <w:uiPriority w:val="0"/>
    <w:rPr>
      <w:rFonts w:ascii="宋体" w:hAnsi="Courier New" w:eastAsia="宋体" w:cs="Courier New"/>
      <w:kern w:val="2"/>
      <w:sz w:val="21"/>
      <w:szCs w:val="21"/>
      <w:lang w:val="en-US" w:eastAsia="zh-CN" w:bidi="ar-SA"/>
    </w:rPr>
  </w:style>
  <w:style w:type="character" w:customStyle="1" w:styleId="69">
    <w:name w:val="日期 Char1"/>
    <w:link w:val="24"/>
    <w:qFormat/>
    <w:uiPriority w:val="0"/>
    <w:rPr>
      <w:rFonts w:ascii="Times New Roman" w:hAnsi="Times New Roman" w:eastAsia="宋体" w:cs="Times New Roman"/>
      <w:kern w:val="2"/>
      <w:sz w:val="24"/>
      <w:lang w:val="en-US" w:eastAsia="zh-CN" w:bidi="ar-SA"/>
    </w:rPr>
  </w:style>
  <w:style w:type="character" w:customStyle="1" w:styleId="70">
    <w:name w:val="批注框文本 Char1"/>
    <w:link w:val="26"/>
    <w:qFormat/>
    <w:uiPriority w:val="0"/>
    <w:rPr>
      <w:rFonts w:ascii="Calibri" w:hAnsi="Calibri" w:eastAsia="宋体" w:cs="Times New Roman"/>
      <w:kern w:val="2"/>
      <w:sz w:val="18"/>
      <w:szCs w:val="18"/>
      <w:lang w:val="en-US" w:eastAsia="zh-CN" w:bidi="ar-SA"/>
    </w:rPr>
  </w:style>
  <w:style w:type="character" w:customStyle="1" w:styleId="71">
    <w:name w:val="页脚 Char1"/>
    <w:link w:val="27"/>
    <w:qFormat/>
    <w:uiPriority w:val="0"/>
    <w:rPr>
      <w:rFonts w:ascii="Times New Roman" w:hAnsi="Times New Roman" w:eastAsia="宋体" w:cs="Times New Roman"/>
      <w:kern w:val="2"/>
      <w:sz w:val="18"/>
      <w:szCs w:val="18"/>
      <w:lang w:val="en-US" w:eastAsia="zh-CN" w:bidi="ar-SA"/>
    </w:rPr>
  </w:style>
  <w:style w:type="character" w:customStyle="1" w:styleId="72">
    <w:name w:val="页眉 Char1"/>
    <w:link w:val="28"/>
    <w:qFormat/>
    <w:uiPriority w:val="0"/>
    <w:rPr>
      <w:rFonts w:ascii="Times New Roman" w:hAnsi="Times New Roman" w:eastAsia="宋体" w:cs="Times New Roman"/>
      <w:kern w:val="2"/>
      <w:sz w:val="18"/>
      <w:szCs w:val="18"/>
      <w:lang w:val="en-US" w:eastAsia="zh-CN" w:bidi="ar-SA"/>
    </w:rPr>
  </w:style>
  <w:style w:type="character" w:customStyle="1" w:styleId="73">
    <w:name w:val="正文文本缩进 3 Char1"/>
    <w:link w:val="31"/>
    <w:qFormat/>
    <w:uiPriority w:val="0"/>
    <w:rPr>
      <w:rFonts w:ascii="Times New Roman" w:hAnsi="Times New Roman" w:eastAsia="宋体" w:cs="Times New Roman"/>
      <w:kern w:val="2"/>
      <w:sz w:val="16"/>
      <w:szCs w:val="16"/>
      <w:lang w:val="en-US" w:eastAsia="zh-CN" w:bidi="ar-SA"/>
    </w:rPr>
  </w:style>
  <w:style w:type="character" w:customStyle="1" w:styleId="74">
    <w:name w:val="批注主题 Char1"/>
    <w:link w:val="39"/>
    <w:qFormat/>
    <w:uiPriority w:val="0"/>
    <w:rPr>
      <w:rFonts w:ascii="Times New Roman" w:hAnsi="Times New Roman" w:eastAsia="宋体" w:cs="Times New Roman"/>
      <w:b/>
      <w:bCs/>
      <w:kern w:val="2"/>
      <w:sz w:val="21"/>
      <w:szCs w:val="24"/>
      <w:lang w:val="en-US" w:eastAsia="zh-CN" w:bidi="ar-SA"/>
    </w:rPr>
  </w:style>
  <w:style w:type="character" w:customStyle="1" w:styleId="75">
    <w:name w:val="Font Style86"/>
    <w:qFormat/>
    <w:uiPriority w:val="0"/>
    <w:rPr>
      <w:rFonts w:hint="eastAsia" w:ascii="黑体" w:hAnsi="黑体" w:eastAsia="黑体" w:cs="Times New Roman"/>
      <w:spacing w:val="10"/>
      <w:sz w:val="30"/>
    </w:rPr>
  </w:style>
  <w:style w:type="character" w:customStyle="1" w:styleId="76">
    <w:name w:val="p0 Char Char"/>
    <w:qFormat/>
    <w:uiPriority w:val="0"/>
    <w:rPr>
      <w:rFonts w:ascii="Times New Roman" w:hAnsi="Times New Roman" w:eastAsia="宋体" w:cs="Times New Roman"/>
      <w:kern w:val="2"/>
      <w:sz w:val="21"/>
      <w:szCs w:val="21"/>
      <w:lang w:val="en-US" w:eastAsia="zh-CN" w:bidi="ar-SA"/>
    </w:rPr>
  </w:style>
  <w:style w:type="character" w:customStyle="1" w:styleId="77">
    <w:name w:val="标题 8 Char"/>
    <w:qFormat/>
    <w:uiPriority w:val="0"/>
    <w:rPr>
      <w:rFonts w:ascii="Arial" w:hAnsi="Arial" w:eastAsia="黑体" w:cs="Times New Roman"/>
      <w:sz w:val="24"/>
      <w:szCs w:val="24"/>
    </w:rPr>
  </w:style>
  <w:style w:type="character" w:customStyle="1" w:styleId="78">
    <w:name w:val="标题 3 Char"/>
    <w:qFormat/>
    <w:uiPriority w:val="0"/>
    <w:rPr>
      <w:rFonts w:ascii="Times New Roman" w:hAnsi="Times New Roman" w:eastAsia="宋体" w:cs="Times New Roman"/>
      <w:b/>
      <w:bCs/>
      <w:sz w:val="24"/>
      <w:szCs w:val="24"/>
    </w:rPr>
  </w:style>
  <w:style w:type="character" w:customStyle="1" w:styleId="79">
    <w:name w:val="页眉 Char"/>
    <w:qFormat/>
    <w:uiPriority w:val="99"/>
    <w:rPr>
      <w:rFonts w:ascii="Times New Roman" w:hAnsi="Times New Roman" w:eastAsia="宋体" w:cs="Times New Roman"/>
      <w:kern w:val="2"/>
      <w:sz w:val="18"/>
      <w:szCs w:val="18"/>
    </w:rPr>
  </w:style>
  <w:style w:type="character" w:customStyle="1" w:styleId="80">
    <w:name w:val="Font Style116"/>
    <w:qFormat/>
    <w:uiPriority w:val="0"/>
    <w:rPr>
      <w:rFonts w:hint="eastAsia" w:ascii="宋体" w:hAnsi="宋体" w:eastAsia="宋体" w:cs="Times New Roman"/>
      <w:spacing w:val="-20"/>
      <w:sz w:val="24"/>
    </w:rPr>
  </w:style>
  <w:style w:type="character" w:customStyle="1" w:styleId="81">
    <w:name w:val="批注文字 Char"/>
    <w:qFormat/>
    <w:uiPriority w:val="0"/>
    <w:rPr>
      <w:rFonts w:ascii="Times New Roman" w:hAnsi="Times New Roman" w:eastAsia="宋体" w:cs="Times New Roman"/>
      <w:kern w:val="2"/>
      <w:sz w:val="21"/>
      <w:szCs w:val="24"/>
    </w:rPr>
  </w:style>
  <w:style w:type="character" w:customStyle="1" w:styleId="82">
    <w:name w:val="批注文字 Char Char"/>
    <w:qFormat/>
    <w:uiPriority w:val="0"/>
    <w:rPr>
      <w:rFonts w:ascii="Times New Roman" w:hAnsi="Times New Roman" w:eastAsia="宋体" w:cs="Times New Roman"/>
      <w:kern w:val="2"/>
      <w:sz w:val="21"/>
      <w:szCs w:val="24"/>
      <w:lang w:bidi="ar-SA"/>
    </w:rPr>
  </w:style>
  <w:style w:type="character" w:customStyle="1" w:styleId="83">
    <w:name w:val="Font Style90"/>
    <w:qFormat/>
    <w:uiPriority w:val="0"/>
    <w:rPr>
      <w:rFonts w:hint="eastAsia" w:ascii="宋体" w:hAnsi="宋体" w:eastAsia="宋体" w:cs="Times New Roman"/>
      <w:b/>
      <w:spacing w:val="-20"/>
      <w:sz w:val="40"/>
    </w:rPr>
  </w:style>
  <w:style w:type="character" w:customStyle="1" w:styleId="84">
    <w:name w:val="NormalCharacter"/>
    <w:qFormat/>
    <w:uiPriority w:val="0"/>
    <w:rPr>
      <w:rFonts w:ascii="Calibri" w:hAnsi="Calibri" w:eastAsia="宋体" w:cs="Times New Roman"/>
      <w:kern w:val="2"/>
      <w:sz w:val="28"/>
      <w:szCs w:val="24"/>
      <w:lang w:val="en-US" w:eastAsia="zh-CN" w:bidi="ar-SA"/>
    </w:rPr>
  </w:style>
  <w:style w:type="character" w:customStyle="1" w:styleId="85">
    <w:name w:val="Font Style125"/>
    <w:qFormat/>
    <w:uiPriority w:val="0"/>
    <w:rPr>
      <w:rFonts w:hint="eastAsia" w:ascii="宋体" w:hAnsi="宋体" w:eastAsia="宋体" w:cs="Times New Roman"/>
      <w:b/>
      <w:sz w:val="26"/>
    </w:rPr>
  </w:style>
  <w:style w:type="character" w:customStyle="1" w:styleId="86">
    <w:name w:val="plus"/>
    <w:qFormat/>
    <w:uiPriority w:val="0"/>
    <w:rPr>
      <w:rFonts w:ascii="Times New Roman" w:hAnsi="Times New Roman" w:eastAsia="宋体" w:cs="Times New Roman"/>
      <w:b/>
      <w:vanish/>
      <w:color w:val="1F8DEF"/>
      <w:sz w:val="24"/>
      <w:szCs w:val="24"/>
    </w:rPr>
  </w:style>
  <w:style w:type="character" w:customStyle="1" w:styleId="87">
    <w:name w:val="标题 5 Char"/>
    <w:qFormat/>
    <w:uiPriority w:val="0"/>
    <w:rPr>
      <w:rFonts w:ascii="Times New Roman" w:hAnsi="Times New Roman" w:eastAsia="宋体" w:cs="Times New Roman"/>
      <w:b/>
      <w:bCs/>
      <w:kern w:val="2"/>
      <w:sz w:val="28"/>
      <w:szCs w:val="28"/>
    </w:rPr>
  </w:style>
  <w:style w:type="character" w:customStyle="1" w:styleId="88">
    <w:name w:val="bds_more8"/>
    <w:qFormat/>
    <w:uiPriority w:val="0"/>
    <w:rPr>
      <w:rFonts w:ascii="Times New Roman" w:hAnsi="Times New Roman" w:eastAsia="宋体" w:cs="Times New Roman"/>
    </w:rPr>
  </w:style>
  <w:style w:type="character" w:customStyle="1" w:styleId="89">
    <w:name w:val="sidecatalog-dot"/>
    <w:qFormat/>
    <w:uiPriority w:val="0"/>
    <w:rPr>
      <w:rFonts w:ascii="Times New Roman" w:hAnsi="Times New Roman" w:eastAsia="宋体" w:cs="Times New Roman"/>
    </w:rPr>
  </w:style>
  <w:style w:type="character" w:customStyle="1" w:styleId="90">
    <w:name w:val=" Char Char12"/>
    <w:qFormat/>
    <w:uiPriority w:val="0"/>
    <w:rPr>
      <w:rFonts w:ascii="Arial" w:hAnsi="Arial" w:eastAsia="黑体" w:cs="Times New Roman"/>
      <w:b/>
      <w:bCs/>
      <w:kern w:val="2"/>
      <w:sz w:val="28"/>
      <w:szCs w:val="28"/>
      <w:lang w:val="en-US" w:eastAsia="zh-CN" w:bidi="ar-SA"/>
    </w:rPr>
  </w:style>
  <w:style w:type="character" w:customStyle="1" w:styleId="91">
    <w:name w:val="Font Style134"/>
    <w:qFormat/>
    <w:uiPriority w:val="0"/>
    <w:rPr>
      <w:rFonts w:hint="eastAsia" w:ascii="宋体" w:hAnsi="宋体" w:eastAsia="宋体" w:cs="Times New Roman"/>
      <w:spacing w:val="20"/>
      <w:sz w:val="22"/>
    </w:rPr>
  </w:style>
  <w:style w:type="character" w:customStyle="1" w:styleId="92">
    <w:name w:val="font61"/>
    <w:qFormat/>
    <w:uiPriority w:val="0"/>
    <w:rPr>
      <w:rFonts w:hint="eastAsia" w:ascii="宋体" w:hAnsi="宋体" w:eastAsia="宋体" w:cs="宋体"/>
      <w:color w:val="000000"/>
      <w:sz w:val="20"/>
      <w:szCs w:val="20"/>
      <w:u w:val="none"/>
    </w:rPr>
  </w:style>
  <w:style w:type="character" w:customStyle="1" w:styleId="93">
    <w:name w:val="bds_nopic1"/>
    <w:qFormat/>
    <w:uiPriority w:val="0"/>
    <w:rPr>
      <w:rFonts w:ascii="Times New Roman" w:hAnsi="Times New Roman" w:eastAsia="宋体" w:cs="Times New Roman"/>
    </w:rPr>
  </w:style>
  <w:style w:type="character" w:customStyle="1" w:styleId="94">
    <w:name w:val="Font Style133"/>
    <w:qFormat/>
    <w:uiPriority w:val="0"/>
    <w:rPr>
      <w:rFonts w:hint="eastAsia" w:ascii="宋体" w:hAnsi="宋体" w:eastAsia="宋体" w:cs="Times New Roman"/>
      <w:spacing w:val="30"/>
      <w:sz w:val="24"/>
    </w:rPr>
  </w:style>
  <w:style w:type="character" w:customStyle="1" w:styleId="95">
    <w:name w:val="批注框文本 Char"/>
    <w:qFormat/>
    <w:uiPriority w:val="0"/>
    <w:rPr>
      <w:rFonts w:ascii="Times New Roman" w:hAnsi="Times New Roman" w:eastAsia="宋体" w:cs="Times New Roman"/>
      <w:kern w:val="2"/>
      <w:sz w:val="18"/>
      <w:szCs w:val="18"/>
    </w:rPr>
  </w:style>
  <w:style w:type="character" w:customStyle="1" w:styleId="96">
    <w:name w:val="sort1"/>
    <w:qFormat/>
    <w:uiPriority w:val="0"/>
    <w:rPr>
      <w:rFonts w:ascii="Times New Roman" w:hAnsi="Times New Roman" w:eastAsia="宋体" w:cs="Times New Roman"/>
    </w:rPr>
  </w:style>
  <w:style w:type="character" w:customStyle="1" w:styleId="97">
    <w:name w:val="标题 4 Char Char"/>
    <w:qFormat/>
    <w:uiPriority w:val="0"/>
    <w:rPr>
      <w:rFonts w:ascii="Arial" w:hAnsi="Arial" w:eastAsia="宋体" w:cs="Times New Roman"/>
      <w:b/>
      <w:bCs/>
      <w:kern w:val="2"/>
      <w:sz w:val="21"/>
      <w:szCs w:val="28"/>
      <w:lang w:val="en-US" w:eastAsia="zh-CN" w:bidi="ar-SA"/>
    </w:rPr>
  </w:style>
  <w:style w:type="character" w:customStyle="1" w:styleId="98">
    <w:name w:val="标题 9 Char"/>
    <w:qFormat/>
    <w:uiPriority w:val="0"/>
    <w:rPr>
      <w:rFonts w:ascii="Arial" w:hAnsi="Arial" w:eastAsia="黑体" w:cs="Times New Roman"/>
      <w:sz w:val="21"/>
      <w:szCs w:val="21"/>
    </w:rPr>
  </w:style>
  <w:style w:type="character" w:customStyle="1" w:styleId="99">
    <w:name w:val="Font Style122"/>
    <w:qFormat/>
    <w:uiPriority w:val="0"/>
    <w:rPr>
      <w:rFonts w:hint="eastAsia" w:ascii="宋体" w:hAnsi="宋体" w:eastAsia="宋体" w:cs="Times New Roman"/>
      <w:spacing w:val="20"/>
      <w:sz w:val="24"/>
    </w:rPr>
  </w:style>
  <w:style w:type="character" w:customStyle="1" w:styleId="100">
    <w:name w:val="标题 2 Char"/>
    <w:qFormat/>
    <w:uiPriority w:val="0"/>
    <w:rPr>
      <w:rFonts w:ascii="Cambria" w:hAnsi="Cambria" w:eastAsia="宋体" w:cs="Times New Roman"/>
      <w:b/>
      <w:bCs/>
      <w:kern w:val="2"/>
      <w:sz w:val="32"/>
      <w:szCs w:val="32"/>
    </w:rPr>
  </w:style>
  <w:style w:type="character" w:customStyle="1" w:styleId="101">
    <w:name w:val=" Char Char16"/>
    <w:qFormat/>
    <w:uiPriority w:val="0"/>
    <w:rPr>
      <w:rFonts w:ascii="宋体" w:hAnsi="Times New Roman" w:eastAsia="宋体" w:cs="Times New Roman"/>
      <w:b/>
      <w:sz w:val="24"/>
      <w:lang w:val="en-US" w:eastAsia="zh-CN" w:bidi="ar-SA"/>
    </w:rPr>
  </w:style>
  <w:style w:type="character" w:customStyle="1" w:styleId="102">
    <w:name w:val="bds_more6"/>
    <w:qFormat/>
    <w:uiPriority w:val="0"/>
    <w:rPr>
      <w:rFonts w:hint="eastAsia" w:ascii="宋体" w:hAnsi="宋体" w:eastAsia="宋体" w:cs="宋体"/>
    </w:rPr>
  </w:style>
  <w:style w:type="character" w:customStyle="1" w:styleId="103">
    <w:name w:val="正文文本缩进 3 Char"/>
    <w:qFormat/>
    <w:uiPriority w:val="0"/>
    <w:rPr>
      <w:rFonts w:ascii="宋体" w:hAnsi="MS Sans Serif" w:eastAsia="宋体" w:cs="Times New Roman"/>
      <w:color w:val="000000"/>
      <w:sz w:val="24"/>
    </w:rPr>
  </w:style>
  <w:style w:type="character" w:customStyle="1" w:styleId="104">
    <w:name w:val="标题 6 Char"/>
    <w:qFormat/>
    <w:uiPriority w:val="0"/>
    <w:rPr>
      <w:rFonts w:ascii="Arial" w:hAnsi="Arial" w:eastAsia="黑体" w:cs="Times New Roman"/>
      <w:b/>
      <w:bCs/>
      <w:sz w:val="24"/>
      <w:szCs w:val="24"/>
    </w:rPr>
  </w:style>
  <w:style w:type="character" w:customStyle="1" w:styleId="105">
    <w:name w:val="Font Style105"/>
    <w:qFormat/>
    <w:uiPriority w:val="0"/>
    <w:rPr>
      <w:rFonts w:hint="eastAsia" w:ascii="Times New Roman" w:hAnsi="Times New Roman" w:eastAsia="Times New Roman" w:cs="Times New Roman"/>
      <w:w w:val="60"/>
      <w:sz w:val="26"/>
    </w:rPr>
  </w:style>
  <w:style w:type="character" w:customStyle="1" w:styleId="106">
    <w:name w:val="批注主题 Char"/>
    <w:qFormat/>
    <w:uiPriority w:val="0"/>
    <w:rPr>
      <w:rFonts w:ascii="Times New Roman" w:hAnsi="Times New Roman" w:eastAsia="宋体" w:cs="Times New Roman"/>
      <w:b/>
      <w:bCs/>
      <w:kern w:val="2"/>
      <w:sz w:val="21"/>
      <w:szCs w:val="24"/>
    </w:rPr>
  </w:style>
  <w:style w:type="character" w:customStyle="1" w:styleId="107">
    <w:name w:val="font71"/>
    <w:qFormat/>
    <w:uiPriority w:val="0"/>
    <w:rPr>
      <w:rFonts w:hint="eastAsia" w:ascii="宋体" w:hAnsi="宋体" w:eastAsia="宋体" w:cs="宋体"/>
      <w:color w:val="FF0000"/>
      <w:sz w:val="22"/>
      <w:szCs w:val="22"/>
      <w:u w:val="none"/>
    </w:rPr>
  </w:style>
  <w:style w:type="character" w:customStyle="1" w:styleId="108">
    <w:name w:val=" Char Char15"/>
    <w:qFormat/>
    <w:uiPriority w:val="0"/>
    <w:rPr>
      <w:rFonts w:ascii="Times New Roman" w:hAnsi="Times New Roman" w:eastAsia="宋体" w:cs="Times New Roman"/>
      <w:b/>
      <w:bCs/>
      <w:sz w:val="24"/>
      <w:szCs w:val="24"/>
    </w:rPr>
  </w:style>
  <w:style w:type="character" w:customStyle="1" w:styleId="109">
    <w:name w:val="font41"/>
    <w:qFormat/>
    <w:uiPriority w:val="0"/>
    <w:rPr>
      <w:rFonts w:hint="eastAsia" w:ascii="仿宋_GB2312" w:eastAsia="仿宋_GB2312" w:cs="仿宋_GB2312"/>
      <w:color w:val="FF0000"/>
      <w:sz w:val="24"/>
      <w:szCs w:val="24"/>
      <w:u w:val="none"/>
    </w:rPr>
  </w:style>
  <w:style w:type="character" w:customStyle="1" w:styleId="110">
    <w:name w:val="font11"/>
    <w:qFormat/>
    <w:uiPriority w:val="0"/>
    <w:rPr>
      <w:rFonts w:hint="eastAsia" w:ascii="宋体" w:hAnsi="宋体" w:eastAsia="宋体" w:cs="宋体"/>
      <w:color w:val="000000"/>
      <w:sz w:val="21"/>
      <w:szCs w:val="21"/>
      <w:u w:val="none"/>
    </w:rPr>
  </w:style>
  <w:style w:type="character" w:customStyle="1" w:styleId="111">
    <w:name w:val="Font Style128"/>
    <w:qFormat/>
    <w:uiPriority w:val="0"/>
    <w:rPr>
      <w:rFonts w:hint="eastAsia" w:ascii="Times New Roman" w:hAnsi="Times New Roman" w:eastAsia="Times New Roman" w:cs="Times New Roman"/>
      <w:sz w:val="16"/>
    </w:rPr>
  </w:style>
  <w:style w:type="character" w:customStyle="1" w:styleId="112">
    <w:name w:val="Font Style126"/>
    <w:qFormat/>
    <w:uiPriority w:val="0"/>
    <w:rPr>
      <w:rFonts w:hint="eastAsia" w:ascii="宋体" w:hAnsi="宋体" w:eastAsia="宋体" w:cs="Times New Roman"/>
      <w:b/>
      <w:spacing w:val="-30"/>
      <w:sz w:val="28"/>
    </w:rPr>
  </w:style>
  <w:style w:type="character" w:customStyle="1" w:styleId="113">
    <w:name w:val="Font Style94"/>
    <w:qFormat/>
    <w:uiPriority w:val="0"/>
    <w:rPr>
      <w:rFonts w:hint="eastAsia" w:ascii="Times New Roman" w:hAnsi="Times New Roman" w:eastAsia="Times New Roman" w:cs="Times New Roman"/>
      <w:sz w:val="28"/>
    </w:rPr>
  </w:style>
  <w:style w:type="character" w:customStyle="1" w:styleId="114">
    <w:name w:val=" Char Char13"/>
    <w:qFormat/>
    <w:uiPriority w:val="0"/>
    <w:rPr>
      <w:rFonts w:ascii="Times New Roman" w:hAnsi="Times New Roman" w:eastAsia="宋体" w:cs="Times New Roman"/>
      <w:b/>
      <w:bCs/>
      <w:kern w:val="2"/>
      <w:sz w:val="24"/>
      <w:lang w:val="en-US" w:eastAsia="zh-CN" w:bidi="ar-SA"/>
    </w:rPr>
  </w:style>
  <w:style w:type="character" w:customStyle="1" w:styleId="115">
    <w:name w:val="Font Style131"/>
    <w:qFormat/>
    <w:uiPriority w:val="0"/>
    <w:rPr>
      <w:rFonts w:hint="eastAsia" w:ascii="Times New Roman" w:hAnsi="Times New Roman" w:eastAsia="Times New Roman" w:cs="Times New Roman"/>
      <w:sz w:val="18"/>
    </w:rPr>
  </w:style>
  <w:style w:type="character" w:customStyle="1" w:styleId="116">
    <w:name w:val="polysemyred"/>
    <w:qFormat/>
    <w:uiPriority w:val="0"/>
    <w:rPr>
      <w:rFonts w:ascii="Times New Roman" w:hAnsi="Times New Roman" w:eastAsia="宋体" w:cs="Times New Roman"/>
      <w:color w:val="FF6666"/>
      <w:sz w:val="18"/>
      <w:szCs w:val="18"/>
    </w:rPr>
  </w:style>
  <w:style w:type="character" w:customStyle="1" w:styleId="117">
    <w:name w:val="desc"/>
    <w:qFormat/>
    <w:uiPriority w:val="0"/>
    <w:rPr>
      <w:rFonts w:ascii="Times New Roman" w:hAnsi="Times New Roman" w:eastAsia="宋体" w:cs="Times New Roman"/>
      <w:color w:val="000000"/>
      <w:sz w:val="18"/>
      <w:szCs w:val="18"/>
    </w:rPr>
  </w:style>
  <w:style w:type="character" w:customStyle="1" w:styleId="118">
    <w:name w:val="Font Style104"/>
    <w:qFormat/>
    <w:uiPriority w:val="0"/>
    <w:rPr>
      <w:rFonts w:hint="eastAsia" w:ascii="宋体" w:hAnsi="宋体" w:eastAsia="宋体" w:cs="Times New Roman"/>
      <w:spacing w:val="30"/>
      <w:sz w:val="18"/>
    </w:rPr>
  </w:style>
  <w:style w:type="character" w:customStyle="1" w:styleId="119">
    <w:name w:val="标题 7 Char"/>
    <w:qFormat/>
    <w:uiPriority w:val="0"/>
    <w:rPr>
      <w:rFonts w:ascii="Times New Roman" w:hAnsi="Times New Roman" w:eastAsia="宋体" w:cs="Times New Roman"/>
      <w:b/>
      <w:bCs/>
      <w:sz w:val="24"/>
      <w:szCs w:val="24"/>
    </w:rPr>
  </w:style>
  <w:style w:type="character" w:customStyle="1" w:styleId="120">
    <w:name w:val="标题 2 字符"/>
    <w:qFormat/>
    <w:uiPriority w:val="0"/>
    <w:rPr>
      <w:rFonts w:ascii="Arial" w:hAnsi="Arial" w:eastAsia="仿宋" w:cs="Times New Roman"/>
      <w:b/>
      <w:color w:val="000000"/>
      <w:sz w:val="28"/>
      <w:szCs w:val="22"/>
    </w:rPr>
  </w:style>
  <w:style w:type="character" w:customStyle="1" w:styleId="121">
    <w:name w:val="sidecatalog-dot1"/>
    <w:qFormat/>
    <w:uiPriority w:val="0"/>
    <w:rPr>
      <w:rFonts w:ascii="Times New Roman" w:hAnsi="Times New Roman" w:eastAsia="宋体" w:cs="Times New Roman"/>
    </w:rPr>
  </w:style>
  <w:style w:type="character" w:customStyle="1" w:styleId="122">
    <w:name w:val="bds_nopic"/>
    <w:qFormat/>
    <w:uiPriority w:val="0"/>
    <w:rPr>
      <w:rFonts w:ascii="Times New Roman" w:hAnsi="Times New Roman" w:eastAsia="宋体" w:cs="Times New Roman"/>
    </w:rPr>
  </w:style>
  <w:style w:type="character" w:customStyle="1" w:styleId="123">
    <w:name w:val="Font Style115"/>
    <w:qFormat/>
    <w:uiPriority w:val="0"/>
    <w:rPr>
      <w:rFonts w:hint="eastAsia" w:ascii="Times New Roman" w:hAnsi="Times New Roman" w:eastAsia="Times New Roman" w:cs="Times New Roman"/>
      <w:sz w:val="16"/>
    </w:rPr>
  </w:style>
  <w:style w:type="character" w:customStyle="1" w:styleId="124">
    <w:name w:val="Font Style124"/>
    <w:qFormat/>
    <w:uiPriority w:val="0"/>
    <w:rPr>
      <w:rFonts w:hint="eastAsia" w:ascii="宋体" w:hAnsi="宋体" w:eastAsia="宋体" w:cs="Times New Roman"/>
      <w:spacing w:val="30"/>
      <w:sz w:val="24"/>
    </w:rPr>
  </w:style>
  <w:style w:type="character" w:customStyle="1" w:styleId="125">
    <w:name w:val="bds_more10"/>
    <w:qFormat/>
    <w:uiPriority w:val="0"/>
    <w:rPr>
      <w:rFonts w:ascii="Times New Roman" w:hAnsi="Times New Roman" w:eastAsia="宋体" w:cs="Times New Roman"/>
    </w:rPr>
  </w:style>
  <w:style w:type="character" w:customStyle="1" w:styleId="126">
    <w:name w:val="sort"/>
    <w:qFormat/>
    <w:uiPriority w:val="0"/>
    <w:rPr>
      <w:rFonts w:ascii="Times New Roman" w:hAnsi="Times New Roman" w:eastAsia="宋体" w:cs="Times New Roman"/>
      <w:color w:val="FFFFFF"/>
      <w:bdr w:val="single" w:color="auto" w:sz="24" w:space="0"/>
    </w:rPr>
  </w:style>
  <w:style w:type="character" w:customStyle="1" w:styleId="127">
    <w:name w:val="标题 Char"/>
    <w:qFormat/>
    <w:uiPriority w:val="0"/>
    <w:rPr>
      <w:rFonts w:ascii="Cambria" w:hAnsi="Cambria" w:eastAsia="宋体" w:cs="Times New Roman"/>
      <w:b/>
      <w:kern w:val="2"/>
      <w:sz w:val="32"/>
      <w:szCs w:val="24"/>
    </w:rPr>
  </w:style>
  <w:style w:type="character" w:customStyle="1" w:styleId="128">
    <w:name w:val="纯文本 Char1"/>
    <w:qFormat/>
    <w:uiPriority w:val="0"/>
    <w:rPr>
      <w:rFonts w:ascii="宋体" w:hAnsi="Courier New" w:eastAsia="宋体" w:cs="Courier New"/>
      <w:kern w:val="2"/>
      <w:sz w:val="21"/>
      <w:szCs w:val="21"/>
      <w:lang w:val="en-US" w:eastAsia="zh-CN" w:bidi="ar-SA"/>
    </w:rPr>
  </w:style>
  <w:style w:type="character" w:customStyle="1" w:styleId="129">
    <w:name w:val="Font Style127"/>
    <w:qFormat/>
    <w:uiPriority w:val="0"/>
    <w:rPr>
      <w:rFonts w:hint="eastAsia" w:ascii="Times New Roman" w:hAnsi="Times New Roman" w:eastAsia="Times New Roman" w:cs="Times New Roman"/>
      <w:sz w:val="20"/>
    </w:rPr>
  </w:style>
  <w:style w:type="character" w:customStyle="1" w:styleId="130">
    <w:name w:val=" Char Char17"/>
    <w:qFormat/>
    <w:uiPriority w:val="0"/>
    <w:rPr>
      <w:rFonts w:ascii="宋体" w:hAnsi="Times New Roman" w:eastAsia="宋体" w:cs="Times New Roman"/>
      <w:b/>
      <w:sz w:val="28"/>
      <w:lang w:val="en-US" w:eastAsia="zh-CN" w:bidi="ar-SA"/>
    </w:rPr>
  </w:style>
  <w:style w:type="character" w:customStyle="1" w:styleId="131">
    <w:name w:val="polysemyexp"/>
    <w:qFormat/>
    <w:uiPriority w:val="0"/>
    <w:rPr>
      <w:rFonts w:ascii="Times New Roman" w:hAnsi="Times New Roman" w:eastAsia="宋体" w:cs="Times New Roman"/>
      <w:color w:val="AAAAAA"/>
      <w:sz w:val="18"/>
      <w:szCs w:val="18"/>
    </w:rPr>
  </w:style>
  <w:style w:type="character" w:customStyle="1" w:styleId="132">
    <w:name w:val="bds_more7"/>
    <w:qFormat/>
    <w:uiPriority w:val="0"/>
    <w:rPr>
      <w:rFonts w:ascii="Times New Roman" w:hAnsi="Times New Roman" w:eastAsia="宋体" w:cs="Times New Roman"/>
    </w:rPr>
  </w:style>
  <w:style w:type="character" w:customStyle="1" w:styleId="133">
    <w:name w:val="Font Style121"/>
    <w:qFormat/>
    <w:uiPriority w:val="0"/>
    <w:rPr>
      <w:rFonts w:hint="eastAsia" w:ascii="宋体" w:hAnsi="宋体" w:eastAsia="宋体" w:cs="Times New Roman"/>
      <w:spacing w:val="-10"/>
      <w:sz w:val="30"/>
    </w:rPr>
  </w:style>
  <w:style w:type="character" w:customStyle="1" w:styleId="134">
    <w:name w:val="lemmatitleh12"/>
    <w:qFormat/>
    <w:uiPriority w:val="0"/>
    <w:rPr>
      <w:rFonts w:ascii="Times New Roman" w:hAnsi="Times New Roman" w:eastAsia="宋体" w:cs="Times New Roman"/>
    </w:rPr>
  </w:style>
  <w:style w:type="character" w:customStyle="1" w:styleId="135">
    <w:name w:val="Font Style119"/>
    <w:qFormat/>
    <w:uiPriority w:val="0"/>
    <w:rPr>
      <w:rFonts w:hint="eastAsia" w:ascii="宋体" w:hAnsi="宋体" w:eastAsia="宋体" w:cs="Times New Roman"/>
      <w:sz w:val="24"/>
    </w:rPr>
  </w:style>
  <w:style w:type="character" w:customStyle="1" w:styleId="136">
    <w:name w:val=" Char Char14"/>
    <w:qFormat/>
    <w:uiPriority w:val="0"/>
    <w:rPr>
      <w:rFonts w:ascii="Arial" w:hAnsi="Arial" w:eastAsia="黑体" w:cs="Times New Roman"/>
      <w:b/>
      <w:bCs/>
      <w:sz w:val="28"/>
      <w:szCs w:val="28"/>
      <w:lang w:val="en-US" w:eastAsia="zh-CN" w:bidi="ar-SA"/>
    </w:rPr>
  </w:style>
  <w:style w:type="character" w:customStyle="1" w:styleId="137">
    <w:name w:val="sidecatalog-index2"/>
    <w:qFormat/>
    <w:uiPriority w:val="0"/>
    <w:rPr>
      <w:rFonts w:ascii="Arail" w:hAnsi="Arail" w:eastAsia="Arail" w:cs="Arail"/>
      <w:color w:val="999999"/>
      <w:sz w:val="21"/>
      <w:szCs w:val="21"/>
    </w:rPr>
  </w:style>
  <w:style w:type="character" w:customStyle="1" w:styleId="138">
    <w:name w:val="morelink-item"/>
    <w:qFormat/>
    <w:uiPriority w:val="0"/>
    <w:rPr>
      <w:rFonts w:ascii="Times New Roman" w:hAnsi="Times New Roman" w:eastAsia="宋体" w:cs="Times New Roman"/>
    </w:rPr>
  </w:style>
  <w:style w:type="character" w:customStyle="1" w:styleId="139">
    <w:name w:val="sidecatalog-index1"/>
    <w:qFormat/>
    <w:uiPriority w:val="0"/>
    <w:rPr>
      <w:rFonts w:ascii="Arial" w:hAnsi="Arial" w:eastAsia="宋体" w:cs="Arial"/>
      <w:b/>
      <w:color w:val="999999"/>
      <w:sz w:val="21"/>
      <w:szCs w:val="21"/>
    </w:rPr>
  </w:style>
  <w:style w:type="character" w:customStyle="1" w:styleId="140">
    <w:name w:val="font51"/>
    <w:qFormat/>
    <w:uiPriority w:val="0"/>
    <w:rPr>
      <w:rFonts w:hint="eastAsia" w:ascii="仿宋_GB2312" w:eastAsia="仿宋_GB2312" w:cs="仿宋_GB2312"/>
      <w:color w:val="000000"/>
      <w:sz w:val="24"/>
      <w:szCs w:val="24"/>
      <w:u w:val="none"/>
    </w:rPr>
  </w:style>
  <w:style w:type="character" w:customStyle="1" w:styleId="141">
    <w:name w:val="标题 1 Char"/>
    <w:qFormat/>
    <w:uiPriority w:val="0"/>
    <w:rPr>
      <w:rFonts w:ascii="Cambria" w:hAnsi="Cambria" w:eastAsia="宋体" w:cs="Times New Roman"/>
      <w:b/>
      <w:bCs/>
      <w:kern w:val="32"/>
      <w:sz w:val="32"/>
      <w:szCs w:val="32"/>
    </w:rPr>
  </w:style>
  <w:style w:type="character" w:customStyle="1" w:styleId="142">
    <w:name w:val="font91"/>
    <w:qFormat/>
    <w:uiPriority w:val="0"/>
    <w:rPr>
      <w:rFonts w:hint="eastAsia" w:ascii="宋体" w:hAnsi="宋体" w:eastAsia="宋体" w:cs="宋体"/>
      <w:color w:val="000000"/>
      <w:sz w:val="22"/>
      <w:szCs w:val="22"/>
      <w:u w:val="none"/>
    </w:rPr>
  </w:style>
  <w:style w:type="character" w:customStyle="1" w:styleId="143">
    <w:name w:val="页脚 Char"/>
    <w:qFormat/>
    <w:uiPriority w:val="99"/>
    <w:rPr>
      <w:rFonts w:ascii="Times New Roman" w:hAnsi="Times New Roman" w:eastAsia="宋体" w:cs="Times New Roman"/>
      <w:kern w:val="2"/>
      <w:sz w:val="18"/>
      <w:szCs w:val="18"/>
    </w:rPr>
  </w:style>
  <w:style w:type="character" w:customStyle="1" w:styleId="144">
    <w:name w:val="标题 Char1"/>
    <w:qFormat/>
    <w:uiPriority w:val="0"/>
    <w:rPr>
      <w:rFonts w:ascii="Cambria" w:hAnsi="Cambria" w:eastAsia="宋体" w:cs="Times New Roman"/>
      <w:b/>
      <w:bCs/>
      <w:sz w:val="32"/>
      <w:szCs w:val="32"/>
    </w:rPr>
  </w:style>
  <w:style w:type="character" w:customStyle="1" w:styleId="145">
    <w:name w:val="Font Style117"/>
    <w:qFormat/>
    <w:uiPriority w:val="0"/>
    <w:rPr>
      <w:rFonts w:hint="eastAsia" w:ascii="宋体" w:hAnsi="宋体" w:eastAsia="宋体" w:cs="Times New Roman"/>
      <w:spacing w:val="20"/>
      <w:sz w:val="24"/>
    </w:rPr>
  </w:style>
  <w:style w:type="character" w:customStyle="1" w:styleId="146">
    <w:name w:val="bds_more9"/>
    <w:qFormat/>
    <w:uiPriority w:val="0"/>
    <w:rPr>
      <w:rFonts w:ascii="Times New Roman" w:hAnsi="Times New Roman" w:eastAsia="宋体" w:cs="Times New Roman"/>
    </w:rPr>
  </w:style>
  <w:style w:type="character" w:customStyle="1" w:styleId="147">
    <w:name w:val="标题 4 Char"/>
    <w:qFormat/>
    <w:uiPriority w:val="0"/>
    <w:rPr>
      <w:rFonts w:ascii="Arial" w:hAnsi="Arial" w:eastAsia="宋体" w:cs="Times New Roman"/>
      <w:b/>
      <w:bCs/>
      <w:szCs w:val="28"/>
    </w:rPr>
  </w:style>
  <w:style w:type="character" w:customStyle="1" w:styleId="148">
    <w:name w:val="日期 Char"/>
    <w:qFormat/>
    <w:uiPriority w:val="0"/>
    <w:rPr>
      <w:rFonts w:ascii="Times New Roman" w:hAnsi="Times New Roman" w:eastAsia="宋体" w:cs="Times New Roman"/>
      <w:kern w:val="2"/>
      <w:sz w:val="21"/>
      <w:szCs w:val="24"/>
    </w:rPr>
  </w:style>
  <w:style w:type="character" w:customStyle="1" w:styleId="149">
    <w:name w:val="p0 Char"/>
    <w:link w:val="150"/>
    <w:qFormat/>
    <w:uiPriority w:val="0"/>
    <w:rPr>
      <w:rFonts w:ascii="Times New Roman" w:hAnsi="Times New Roman" w:eastAsia="宋体" w:cs="Times New Roman"/>
      <w:sz w:val="21"/>
      <w:szCs w:val="21"/>
      <w:lang w:val="en-US" w:eastAsia="zh-CN" w:bidi="ar-SA"/>
    </w:rPr>
  </w:style>
  <w:style w:type="paragraph" w:customStyle="1" w:styleId="150">
    <w:name w:val="p0"/>
    <w:basedOn w:val="1"/>
    <w:link w:val="149"/>
    <w:qFormat/>
    <w:uiPriority w:val="0"/>
    <w:pPr>
      <w:widowControl/>
    </w:pPr>
    <w:rPr>
      <w:rFonts w:ascii="Times New Roman" w:hAnsi="Times New Roman"/>
      <w:kern w:val="0"/>
      <w:sz w:val="21"/>
      <w:szCs w:val="21"/>
    </w:rPr>
  </w:style>
  <w:style w:type="character" w:customStyle="1" w:styleId="151">
    <w:name w:val="font01"/>
    <w:qFormat/>
    <w:uiPriority w:val="0"/>
    <w:rPr>
      <w:rFonts w:hint="eastAsia" w:ascii="宋体" w:hAnsi="宋体" w:eastAsia="宋体" w:cs="宋体"/>
      <w:color w:val="000000"/>
      <w:sz w:val="22"/>
      <w:szCs w:val="22"/>
      <w:u w:val="none"/>
    </w:rPr>
  </w:style>
  <w:style w:type="character" w:customStyle="1" w:styleId="152">
    <w:name w:val="bds_nopic2"/>
    <w:qFormat/>
    <w:uiPriority w:val="0"/>
    <w:rPr>
      <w:rFonts w:ascii="Times New Roman" w:hAnsi="Times New Roman" w:eastAsia="宋体" w:cs="Times New Roman"/>
    </w:rPr>
  </w:style>
  <w:style w:type="character" w:customStyle="1" w:styleId="153">
    <w:name w:val="title_1"/>
    <w:qFormat/>
    <w:uiPriority w:val="0"/>
    <w:rPr>
      <w:rFonts w:ascii="Times New Roman" w:hAnsi="Times New Roman" w:eastAsia="宋体" w:cs="Times New Roman"/>
      <w:b/>
      <w:sz w:val="30"/>
      <w:szCs w:val="30"/>
    </w:rPr>
  </w:style>
  <w:style w:type="character" w:customStyle="1" w:styleId="154">
    <w:name w:val="Font Style123"/>
    <w:qFormat/>
    <w:uiPriority w:val="0"/>
    <w:rPr>
      <w:rFonts w:hint="eastAsia" w:ascii="宋体" w:hAnsi="宋体" w:eastAsia="宋体" w:cs="Times New Roman"/>
      <w:b/>
      <w:sz w:val="32"/>
    </w:rPr>
  </w:style>
  <w:style w:type="character" w:customStyle="1" w:styleId="155">
    <w:name w:val="无间隔 Char"/>
    <w:link w:val="156"/>
    <w:qFormat/>
    <w:uiPriority w:val="1"/>
    <w:rPr>
      <w:sz w:val="22"/>
      <w:szCs w:val="22"/>
      <w:lang w:val="en-US" w:eastAsia="zh-CN" w:bidi="ar-SA"/>
    </w:rPr>
  </w:style>
  <w:style w:type="paragraph" w:styleId="156">
    <w:name w:val="No Spacing"/>
    <w:link w:val="155"/>
    <w:qFormat/>
    <w:uiPriority w:val="1"/>
    <w:rPr>
      <w:rFonts w:ascii="Calibri" w:hAnsi="Calibri" w:eastAsia="宋体" w:cs="Times New Roman"/>
      <w:sz w:val="22"/>
      <w:szCs w:val="22"/>
      <w:lang w:val="en-US" w:eastAsia="zh-CN" w:bidi="ar-SA"/>
    </w:rPr>
  </w:style>
  <w:style w:type="paragraph" w:customStyle="1" w:styleId="157">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Style46"/>
    <w:basedOn w:val="1"/>
    <w:qFormat/>
    <w:uiPriority w:val="0"/>
    <w:pPr>
      <w:spacing w:line="672" w:lineRule="exact"/>
    </w:pPr>
    <w:rPr>
      <w:rFonts w:ascii="Times New Roman" w:hAnsi="Times New Roman" w:eastAsia="宋体" w:cs="Times New Roman"/>
    </w:rPr>
  </w:style>
  <w:style w:type="paragraph" w:customStyle="1" w:styleId="159">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Style47"/>
    <w:basedOn w:val="1"/>
    <w:qFormat/>
    <w:uiPriority w:val="0"/>
    <w:rPr>
      <w:rFonts w:ascii="Times New Roman" w:hAnsi="Times New Roman" w:eastAsia="宋体" w:cs="Times New Roman"/>
    </w:rPr>
  </w:style>
  <w:style w:type="paragraph" w:customStyle="1" w:styleId="161">
    <w:name w:val="1 Char Char Char Char"/>
    <w:basedOn w:val="1"/>
    <w:qFormat/>
    <w:uiPriority w:val="0"/>
    <w:rPr>
      <w:rFonts w:ascii="Times New Roman" w:hAnsi="Times New Roman" w:eastAsia="宋体" w:cs="Times New Roman"/>
    </w:rPr>
  </w:style>
  <w:style w:type="paragraph" w:customStyle="1" w:styleId="162">
    <w:name w:val="Style26"/>
    <w:basedOn w:val="1"/>
    <w:qFormat/>
    <w:uiPriority w:val="0"/>
    <w:rPr>
      <w:rFonts w:ascii="Times New Roman" w:hAnsi="Times New Roman" w:eastAsia="宋体" w:cs="Times New Roman"/>
    </w:rPr>
  </w:style>
  <w:style w:type="paragraph" w:customStyle="1" w:styleId="163">
    <w:name w:val="正文_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4">
    <w:name w:val="Style56"/>
    <w:basedOn w:val="1"/>
    <w:qFormat/>
    <w:uiPriority w:val="0"/>
    <w:rPr>
      <w:rFonts w:ascii="Times New Roman" w:hAnsi="Times New Roman" w:eastAsia="宋体" w:cs="Times New Roman"/>
    </w:rPr>
  </w:style>
  <w:style w:type="paragraph" w:customStyle="1" w:styleId="165">
    <w:name w:val="Style12"/>
    <w:basedOn w:val="1"/>
    <w:qFormat/>
    <w:uiPriority w:val="0"/>
    <w:pPr>
      <w:spacing w:line="564" w:lineRule="exact"/>
      <w:ind w:hanging="115"/>
    </w:pPr>
    <w:rPr>
      <w:rFonts w:ascii="Times New Roman" w:hAnsi="Times New Roman" w:eastAsia="宋体" w:cs="Times New Roman"/>
    </w:rPr>
  </w:style>
  <w:style w:type="paragraph" w:customStyle="1" w:styleId="166">
    <w:name w:val="BodyTextIndent3"/>
    <w:basedOn w:val="1"/>
    <w:qFormat/>
    <w:uiPriority w:val="0"/>
    <w:pPr>
      <w:spacing w:after="120" w:line="240" w:lineRule="auto"/>
      <w:ind w:left="420" w:leftChars="200"/>
      <w:jc w:val="both"/>
    </w:pPr>
    <w:rPr>
      <w:rFonts w:ascii="Calibri" w:hAnsi="Calibri" w:eastAsia="宋体" w:cs="Times New Roman"/>
      <w:kern w:val="2"/>
      <w:sz w:val="16"/>
      <w:szCs w:val="16"/>
      <w:lang w:val="en-US" w:eastAsia="zh-CN" w:bidi="ar-SA"/>
    </w:rPr>
  </w:style>
  <w:style w:type="paragraph" w:customStyle="1" w:styleId="167">
    <w:name w:val="Style27"/>
    <w:basedOn w:val="1"/>
    <w:qFormat/>
    <w:uiPriority w:val="0"/>
    <w:rPr>
      <w:rFonts w:ascii="Times New Roman" w:hAnsi="Times New Roman" w:eastAsia="宋体" w:cs="Times New Roman"/>
    </w:rPr>
  </w:style>
  <w:style w:type="paragraph" w:customStyle="1" w:styleId="168">
    <w:name w:val="Style52"/>
    <w:basedOn w:val="1"/>
    <w:qFormat/>
    <w:uiPriority w:val="0"/>
    <w:pPr>
      <w:spacing w:line="682" w:lineRule="exact"/>
      <w:ind w:firstLine="557"/>
    </w:pPr>
    <w:rPr>
      <w:rFonts w:ascii="Times New Roman" w:hAnsi="Times New Roman" w:eastAsia="宋体" w:cs="Times New Roman"/>
    </w:rPr>
  </w:style>
  <w:style w:type="paragraph" w:customStyle="1" w:styleId="169">
    <w:name w:val=" Char1 Char Char Char"/>
    <w:basedOn w:val="1"/>
    <w:qFormat/>
    <w:uiPriority w:val="0"/>
    <w:pPr>
      <w:widowControl/>
      <w:spacing w:after="160" w:line="240" w:lineRule="exact"/>
      <w:jc w:val="left"/>
    </w:pPr>
    <w:rPr>
      <w:rFonts w:ascii="Times New Roman" w:hAnsi="Times New Roman" w:eastAsia="宋体" w:cs="Times New Roman"/>
      <w:kern w:val="0"/>
      <w:sz w:val="24"/>
      <w:szCs w:val="20"/>
    </w:rPr>
  </w:style>
  <w:style w:type="paragraph" w:customStyle="1" w:styleId="170">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1">
    <w:name w:val="Style54"/>
    <w:basedOn w:val="1"/>
    <w:qFormat/>
    <w:uiPriority w:val="0"/>
    <w:rPr>
      <w:rFonts w:ascii="Times New Roman" w:hAnsi="Times New Roman" w:eastAsia="宋体" w:cs="Times New Roman"/>
    </w:rPr>
  </w:style>
  <w:style w:type="paragraph" w:customStyle="1" w:styleId="172">
    <w:name w:val="样式1"/>
    <w:basedOn w:val="1"/>
    <w:qFormat/>
    <w:uiPriority w:val="0"/>
    <w:pPr>
      <w:tabs>
        <w:tab w:val="left" w:pos="360"/>
      </w:tabs>
      <w:adjustRightInd w:val="0"/>
      <w:ind w:left="360" w:hanging="360"/>
      <w:textAlignment w:val="baseline"/>
    </w:pPr>
    <w:rPr>
      <w:rFonts w:ascii="宋体" w:hAnsi="宋体" w:eastAsia="宋体" w:cs="Times New Roman"/>
      <w:kern w:val="0"/>
      <w:szCs w:val="21"/>
    </w:rPr>
  </w:style>
  <w:style w:type="paragraph" w:customStyle="1" w:styleId="173">
    <w:name w:val="Style45"/>
    <w:basedOn w:val="1"/>
    <w:qFormat/>
    <w:uiPriority w:val="0"/>
    <w:rPr>
      <w:rFonts w:ascii="Times New Roman" w:hAnsi="Times New Roman" w:eastAsia="宋体" w:cs="Times New Roman"/>
    </w:rPr>
  </w:style>
  <w:style w:type="paragraph" w:customStyle="1" w:styleId="174">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NO3"/>
    <w:basedOn w:val="1"/>
    <w:qFormat/>
    <w:uiPriority w:val="0"/>
    <w:pPr>
      <w:tabs>
        <w:tab w:val="left" w:pos="907"/>
      </w:tabs>
      <w:spacing w:line="360" w:lineRule="auto"/>
    </w:pPr>
    <w:rPr>
      <w:rFonts w:ascii="宋体" w:hAnsi="宋体" w:eastAsia="宋体" w:cs="Times New Roman"/>
      <w:sz w:val="24"/>
    </w:rPr>
  </w:style>
  <w:style w:type="paragraph" w:customStyle="1" w:styleId="177">
    <w:name w:val="标题 1 +"/>
    <w:basedOn w:val="3"/>
    <w:next w:val="1"/>
    <w:qFormat/>
    <w:uiPriority w:val="0"/>
    <w:pPr>
      <w:keepLines/>
      <w:spacing w:line="600" w:lineRule="auto"/>
    </w:pPr>
    <w:rPr>
      <w:rFonts w:ascii="Times New Roman" w:hAnsi="Times New Roman" w:eastAsia="黑体" w:cs="Times New Roman"/>
      <w:kern w:val="0"/>
      <w:sz w:val="32"/>
      <w:szCs w:val="32"/>
    </w:rPr>
  </w:style>
  <w:style w:type="paragraph" w:customStyle="1" w:styleId="178">
    <w:name w:val="Style10"/>
    <w:basedOn w:val="1"/>
    <w:qFormat/>
    <w:uiPriority w:val="0"/>
    <w:pPr>
      <w:spacing w:line="538" w:lineRule="exact"/>
    </w:pPr>
    <w:rPr>
      <w:rFonts w:ascii="Times New Roman" w:hAnsi="Times New Roman" w:eastAsia="宋体" w:cs="Times New Roman"/>
    </w:rPr>
  </w:style>
  <w:style w:type="paragraph" w:customStyle="1" w:styleId="179">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0">
    <w:name w:val="Style62"/>
    <w:basedOn w:val="1"/>
    <w:qFormat/>
    <w:uiPriority w:val="0"/>
    <w:rPr>
      <w:rFonts w:ascii="Times New Roman" w:hAnsi="Times New Roman" w:eastAsia="宋体" w:cs="Times New Roman"/>
    </w:rPr>
  </w:style>
  <w:style w:type="paragraph" w:customStyle="1" w:styleId="181">
    <w:name w:val="Style60"/>
    <w:basedOn w:val="1"/>
    <w:qFormat/>
    <w:uiPriority w:val="0"/>
    <w:pPr>
      <w:spacing w:line="566" w:lineRule="exact"/>
    </w:pPr>
    <w:rPr>
      <w:rFonts w:ascii="Times New Roman" w:hAnsi="Times New Roman" w:eastAsia="宋体" w:cs="Times New Roman"/>
    </w:rPr>
  </w:style>
  <w:style w:type="paragraph" w:customStyle="1" w:styleId="182">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表正文"/>
    <w:qFormat/>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84">
    <w:name w:val="Style81"/>
    <w:basedOn w:val="1"/>
    <w:qFormat/>
    <w:uiPriority w:val="0"/>
    <w:pPr>
      <w:spacing w:line="547" w:lineRule="exact"/>
    </w:pPr>
    <w:rPr>
      <w:rFonts w:ascii="Times New Roman" w:hAnsi="Times New Roman" w:eastAsia="宋体" w:cs="Times New Roman"/>
    </w:rPr>
  </w:style>
  <w:style w:type="paragraph" w:customStyle="1" w:styleId="185">
    <w:name w:val="附录标识"/>
    <w:basedOn w:val="186"/>
    <w:qFormat/>
    <w:uiPriority w:val="0"/>
    <w:pPr>
      <w:tabs>
        <w:tab w:val="left" w:pos="360"/>
        <w:tab w:val="left" w:pos="720"/>
        <w:tab w:val="left" w:pos="6405"/>
      </w:tabs>
      <w:spacing w:after="200"/>
    </w:pPr>
    <w:rPr>
      <w:rFonts w:ascii="Times New Roman" w:hAnsi="Times New Roman" w:eastAsia="宋体" w:cs="Times New Roman"/>
      <w:sz w:val="21"/>
    </w:rPr>
  </w:style>
  <w:style w:type="paragraph" w:customStyle="1" w:styleId="186">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187">
    <w:name w:val="Style70"/>
    <w:basedOn w:val="1"/>
    <w:qFormat/>
    <w:uiPriority w:val="0"/>
    <w:pPr>
      <w:spacing w:line="549" w:lineRule="exact"/>
      <w:ind w:firstLine="686"/>
    </w:pPr>
    <w:rPr>
      <w:rFonts w:ascii="Times New Roman" w:hAnsi="Times New Roman" w:eastAsia="宋体" w:cs="Times New Roman"/>
    </w:rPr>
  </w:style>
  <w:style w:type="paragraph" w:customStyle="1" w:styleId="188">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9">
    <w:name w:val="Style65"/>
    <w:basedOn w:val="1"/>
    <w:qFormat/>
    <w:uiPriority w:val="0"/>
    <w:rPr>
      <w:rFonts w:ascii="Times New Roman" w:hAnsi="Times New Roman" w:eastAsia="宋体" w:cs="Times New Roman"/>
    </w:rPr>
  </w:style>
  <w:style w:type="paragraph" w:customStyle="1" w:styleId="190">
    <w:name w:val="Style78"/>
    <w:basedOn w:val="1"/>
    <w:qFormat/>
    <w:uiPriority w:val="0"/>
    <w:rPr>
      <w:rFonts w:ascii="Times New Roman" w:hAnsi="Times New Roman" w:eastAsia="宋体" w:cs="Times New Roman"/>
    </w:rPr>
  </w:style>
  <w:style w:type="paragraph" w:customStyle="1" w:styleId="191">
    <w:name w:val="默认段落字体 Para Char Char Char Char Char Char Char Char Char Char Char Char Char Char Char Char Char Char Char"/>
    <w:basedOn w:val="1"/>
    <w:qFormat/>
    <w:uiPriority w:val="0"/>
    <w:rPr>
      <w:rFonts w:ascii="Times New Roman" w:hAnsi="Times New Roman" w:eastAsia="宋体" w:cs="Times New Roman"/>
    </w:rPr>
  </w:style>
  <w:style w:type="paragraph" w:customStyle="1" w:styleId="192">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4">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rPr>
  </w:style>
  <w:style w:type="paragraph" w:customStyle="1" w:styleId="195">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6">
    <w:name w:val="Char1 Char Char Char 字元 Char Char 字元 Char 字元 Char1 Char Char Char"/>
    <w:basedOn w:val="1"/>
    <w:qFormat/>
    <w:uiPriority w:val="0"/>
    <w:rPr>
      <w:rFonts w:ascii="Times New Roman" w:hAnsi="Times New Roman" w:eastAsia="宋体" w:cs="Times New Roman"/>
      <w:szCs w:val="20"/>
    </w:rPr>
  </w:style>
  <w:style w:type="paragraph" w:customStyle="1" w:styleId="197">
    <w:name w:val="Style63"/>
    <w:basedOn w:val="1"/>
    <w:qFormat/>
    <w:uiPriority w:val="0"/>
    <w:pPr>
      <w:spacing w:line="564" w:lineRule="exact"/>
      <w:ind w:firstLine="682"/>
    </w:pPr>
    <w:rPr>
      <w:rFonts w:ascii="Times New Roman" w:hAnsi="Times New Roman" w:eastAsia="宋体" w:cs="Times New Roman"/>
    </w:rPr>
  </w:style>
  <w:style w:type="paragraph" w:customStyle="1" w:styleId="198">
    <w:name w:val="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9">
    <w:name w:val="样式 正文缩进 + 首行缩进:  2 字符"/>
    <w:basedOn w:val="13"/>
    <w:qFormat/>
    <w:uiPriority w:val="0"/>
    <w:pPr>
      <w:widowControl/>
      <w:spacing w:line="360" w:lineRule="auto"/>
      <w:ind w:firstLine="200" w:firstLineChars="0"/>
      <w:jc w:val="left"/>
    </w:pPr>
    <w:rPr>
      <w:rFonts w:ascii="Calibri" w:hAnsi="Calibri" w:eastAsia="宋体" w:cs="Times New Roman"/>
      <w:kern w:val="0"/>
      <w:sz w:val="24"/>
      <w:szCs w:val="22"/>
    </w:rPr>
  </w:style>
  <w:style w:type="paragraph" w:customStyle="1" w:styleId="20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eastAsia="宋体" w:cs="Times New Roman"/>
      <w:b/>
      <w:bCs/>
      <w:color w:val="000000"/>
      <w:kern w:val="0"/>
      <w:szCs w:val="20"/>
    </w:rPr>
  </w:style>
  <w:style w:type="paragraph" w:customStyle="1" w:styleId="201">
    <w:name w:val="Style41"/>
    <w:basedOn w:val="1"/>
    <w:qFormat/>
    <w:uiPriority w:val="0"/>
    <w:pPr>
      <w:spacing w:line="542" w:lineRule="exact"/>
      <w:ind w:firstLine="125"/>
    </w:pPr>
    <w:rPr>
      <w:rFonts w:ascii="Times New Roman" w:hAnsi="Times New Roman" w:eastAsia="宋体" w:cs="Times New Roman"/>
    </w:rPr>
  </w:style>
  <w:style w:type="paragraph" w:customStyle="1" w:styleId="202">
    <w:name w:val="Style23"/>
    <w:basedOn w:val="1"/>
    <w:qFormat/>
    <w:uiPriority w:val="0"/>
    <w:rPr>
      <w:rFonts w:ascii="Times New Roman" w:hAnsi="Times New Roman" w:eastAsia="宋体" w:cs="Times New Roman"/>
    </w:rPr>
  </w:style>
  <w:style w:type="paragraph" w:customStyle="1" w:styleId="203">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0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5">
    <w:name w:val="Style36"/>
    <w:basedOn w:val="1"/>
    <w:qFormat/>
    <w:uiPriority w:val="0"/>
    <w:rPr>
      <w:rFonts w:ascii="Times New Roman" w:hAnsi="Times New Roman" w:eastAsia="宋体" w:cs="Times New Roman"/>
    </w:rPr>
  </w:style>
  <w:style w:type="paragraph" w:customStyle="1" w:styleId="206">
    <w:name w:val="表格内容"/>
    <w:basedOn w:val="2"/>
    <w:qFormat/>
    <w:uiPriority w:val="0"/>
    <w:pPr>
      <w:suppressLineNumbers/>
      <w:suppressAutoHyphens/>
      <w:jc w:val="left"/>
    </w:pPr>
    <w:rPr>
      <w:rFonts w:ascii="Times New Roman" w:hAnsi="Times New Roman" w:eastAsia="宋体" w:cs="Tahoma"/>
      <w:kern w:val="0"/>
      <w:sz w:val="24"/>
    </w:rPr>
  </w:style>
  <w:style w:type="paragraph" w:customStyle="1" w:styleId="207">
    <w:name w:val="BodyText1I2"/>
    <w:basedOn w:val="208"/>
    <w:qFormat/>
    <w:uiPriority w:val="0"/>
    <w:pPr>
      <w:spacing w:after="120" w:line="240" w:lineRule="auto"/>
      <w:ind w:left="420" w:leftChars="200" w:firstLine="420" w:firstLineChars="200"/>
      <w:jc w:val="both"/>
    </w:pPr>
    <w:rPr>
      <w:rFonts w:ascii="Times New Roman" w:hAnsi="Times New Roman" w:eastAsia="宋体" w:cs="Times New Roman"/>
    </w:rPr>
  </w:style>
  <w:style w:type="paragraph" w:customStyle="1" w:styleId="208">
    <w:name w:val="BodyTextIndent"/>
    <w:basedOn w:val="1"/>
    <w:qFormat/>
    <w:uiPriority w:val="0"/>
    <w:pPr>
      <w:spacing w:after="120" w:line="240" w:lineRule="auto"/>
      <w:ind w:left="420" w:leftChars="200"/>
      <w:jc w:val="both"/>
    </w:pPr>
    <w:rPr>
      <w:rFonts w:ascii="Times New Roman" w:hAnsi="Times New Roman" w:eastAsia="宋体" w:cs="Times New Roman"/>
    </w:rPr>
  </w:style>
  <w:style w:type="paragraph" w:customStyle="1" w:styleId="209">
    <w:name w:val="Style68"/>
    <w:basedOn w:val="1"/>
    <w:qFormat/>
    <w:uiPriority w:val="0"/>
    <w:pPr>
      <w:spacing w:line="547" w:lineRule="exact"/>
    </w:pPr>
    <w:rPr>
      <w:rFonts w:ascii="Times New Roman" w:hAnsi="Times New Roman" w:eastAsia="宋体" w:cs="Times New Roman"/>
    </w:rPr>
  </w:style>
  <w:style w:type="paragraph" w:customStyle="1" w:styleId="210">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1">
    <w:name w:val="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12">
    <w:name w:val="Char Char1 Char Char Char Char Char1 Char Char Char Char"/>
    <w:basedOn w:val="14"/>
    <w:qFormat/>
    <w:uiPriority w:val="0"/>
    <w:rPr>
      <w:rFonts w:ascii="Tahoma" w:hAnsi="Tahoma" w:eastAsia="宋体" w:cs="Times New Roman"/>
    </w:rPr>
  </w:style>
  <w:style w:type="paragraph" w:customStyle="1" w:styleId="213">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14">
    <w:name w:val=" Char1 Char Char Char Char Char Char Char Char Char"/>
    <w:basedOn w:val="1"/>
    <w:qFormat/>
    <w:uiPriority w:val="0"/>
    <w:rPr>
      <w:rFonts w:ascii="Times New Roman" w:hAnsi="Times New Roman" w:eastAsia="宋体" w:cs="Times New Roman"/>
      <w:szCs w:val="20"/>
    </w:rPr>
  </w:style>
  <w:style w:type="paragraph" w:customStyle="1" w:styleId="215">
    <w:name w:val="Style58"/>
    <w:basedOn w:val="1"/>
    <w:qFormat/>
    <w:uiPriority w:val="0"/>
    <w:pPr>
      <w:spacing w:line="413" w:lineRule="exact"/>
    </w:pPr>
    <w:rPr>
      <w:rFonts w:ascii="Times New Roman" w:hAnsi="Times New Roman" w:eastAsia="宋体" w:cs="Times New Roman"/>
    </w:rPr>
  </w:style>
  <w:style w:type="paragraph" w:customStyle="1" w:styleId="216">
    <w:name w:val="Style21"/>
    <w:basedOn w:val="1"/>
    <w:qFormat/>
    <w:uiPriority w:val="0"/>
    <w:pPr>
      <w:spacing w:line="566" w:lineRule="exact"/>
      <w:ind w:firstLine="682"/>
    </w:pPr>
    <w:rPr>
      <w:rFonts w:ascii="Times New Roman" w:hAnsi="Times New Roman" w:eastAsia="宋体" w:cs="Times New Roman"/>
    </w:rPr>
  </w:style>
  <w:style w:type="paragraph" w:customStyle="1" w:styleId="217">
    <w:name w:val="Style48"/>
    <w:basedOn w:val="1"/>
    <w:qFormat/>
    <w:uiPriority w:val="0"/>
    <w:pPr>
      <w:spacing w:line="542" w:lineRule="exact"/>
      <w:jc w:val="right"/>
    </w:pPr>
    <w:rPr>
      <w:rFonts w:ascii="Times New Roman" w:hAnsi="Times New Roman" w:eastAsia="宋体" w:cs="Times New Roman"/>
    </w:rPr>
  </w:style>
  <w:style w:type="paragraph" w:customStyle="1" w:styleId="218">
    <w:name w:val="Char Char1 Char Char Char"/>
    <w:basedOn w:val="1"/>
    <w:qFormat/>
    <w:uiPriority w:val="0"/>
    <w:rPr>
      <w:rFonts w:ascii="Times New Roman" w:hAnsi="Times New Roman" w:eastAsia="宋体" w:cs="Times New Roman"/>
      <w:kern w:val="0"/>
      <w:sz w:val="20"/>
      <w:szCs w:val="20"/>
    </w:rPr>
  </w:style>
  <w:style w:type="paragraph" w:customStyle="1" w:styleId="219">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20">
    <w:name w:val="Style5"/>
    <w:basedOn w:val="1"/>
    <w:qFormat/>
    <w:uiPriority w:val="0"/>
    <w:rPr>
      <w:rFonts w:ascii="Times New Roman" w:hAnsi="Times New Roman" w:eastAsia="宋体" w:cs="Times New Roman"/>
    </w:rPr>
  </w:style>
  <w:style w:type="paragraph" w:customStyle="1" w:styleId="221">
    <w:name w:val="Style16"/>
    <w:basedOn w:val="1"/>
    <w:qFormat/>
    <w:uiPriority w:val="0"/>
    <w:pPr>
      <w:jc w:val="right"/>
    </w:pPr>
    <w:rPr>
      <w:rFonts w:ascii="Times New Roman" w:hAnsi="Times New Roman" w:eastAsia="宋体" w:cs="Times New Roman"/>
    </w:rPr>
  </w:style>
  <w:style w:type="paragraph" w:customStyle="1" w:styleId="222">
    <w:name w:val="Style11"/>
    <w:basedOn w:val="1"/>
    <w:qFormat/>
    <w:uiPriority w:val="0"/>
    <w:pPr>
      <w:spacing w:line="559" w:lineRule="exact"/>
      <w:ind w:firstLine="590"/>
    </w:pPr>
    <w:rPr>
      <w:rFonts w:ascii="Times New Roman" w:hAnsi="Times New Roman" w:eastAsia="宋体" w:cs="Times New Roman"/>
    </w:rPr>
  </w:style>
  <w:style w:type="paragraph" w:customStyle="1" w:styleId="223">
    <w:name w:val="Style13"/>
    <w:basedOn w:val="1"/>
    <w:qFormat/>
    <w:uiPriority w:val="0"/>
    <w:rPr>
      <w:rFonts w:ascii="Times New Roman" w:hAnsi="Times New Roman" w:eastAsia="宋体" w:cs="Times New Roman"/>
    </w:rPr>
  </w:style>
  <w:style w:type="paragraph" w:customStyle="1" w:styleId="224">
    <w:name w:val="Style24"/>
    <w:basedOn w:val="1"/>
    <w:qFormat/>
    <w:uiPriority w:val="0"/>
    <w:rPr>
      <w:rFonts w:ascii="Times New Roman" w:hAnsi="Times New Roman" w:eastAsia="宋体" w:cs="Times New Roman"/>
    </w:rPr>
  </w:style>
  <w:style w:type="paragraph" w:customStyle="1" w:styleId="225">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6">
    <w:name w:val="Style76"/>
    <w:basedOn w:val="1"/>
    <w:qFormat/>
    <w:uiPriority w:val="0"/>
    <w:rPr>
      <w:rFonts w:ascii="Times New Roman" w:hAnsi="Times New Roman" w:eastAsia="宋体" w:cs="Times New Roman"/>
    </w:rPr>
  </w:style>
  <w:style w:type="paragraph" w:customStyle="1" w:styleId="227">
    <w:name w:val="Char"/>
    <w:basedOn w:val="1"/>
    <w:qFormat/>
    <w:uiPriority w:val="0"/>
    <w:pPr>
      <w:tabs>
        <w:tab w:val="left" w:pos="360"/>
      </w:tabs>
      <w:ind w:left="360" w:hanging="360" w:hangingChars="200"/>
    </w:pPr>
    <w:rPr>
      <w:rFonts w:ascii="Times New Roman" w:hAnsi="Times New Roman" w:eastAsia="宋体" w:cs="Times New Roman"/>
      <w:sz w:val="24"/>
    </w:rPr>
  </w:style>
  <w:style w:type="paragraph" w:customStyle="1" w:styleId="228">
    <w:name w:val="Style77"/>
    <w:basedOn w:val="1"/>
    <w:qFormat/>
    <w:uiPriority w:val="0"/>
    <w:rPr>
      <w:rFonts w:ascii="Times New Roman" w:hAnsi="Times New Roman" w:eastAsia="宋体" w:cs="Times New Roman"/>
    </w:rPr>
  </w:style>
  <w:style w:type="paragraph" w:customStyle="1" w:styleId="229">
    <w:name w:val="Style8"/>
    <w:basedOn w:val="1"/>
    <w:qFormat/>
    <w:uiPriority w:val="0"/>
    <w:pPr>
      <w:spacing w:line="566" w:lineRule="exact"/>
      <w:jc w:val="center"/>
    </w:pPr>
    <w:rPr>
      <w:rFonts w:ascii="Times New Roman" w:hAnsi="Times New Roman" w:eastAsia="宋体" w:cs="Times New Roman"/>
    </w:rPr>
  </w:style>
  <w:style w:type="paragraph" w:customStyle="1" w:styleId="230">
    <w:name w:val="Style67"/>
    <w:basedOn w:val="1"/>
    <w:qFormat/>
    <w:uiPriority w:val="0"/>
    <w:pPr>
      <w:spacing w:line="566" w:lineRule="exact"/>
      <w:ind w:firstLine="552"/>
    </w:pPr>
    <w:rPr>
      <w:rFonts w:ascii="Times New Roman" w:hAnsi="Times New Roman" w:eastAsia="宋体" w:cs="Times New Roman"/>
    </w:rPr>
  </w:style>
  <w:style w:type="paragraph" w:customStyle="1" w:styleId="231">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2">
    <w:name w:val="Style4"/>
    <w:basedOn w:val="1"/>
    <w:qFormat/>
    <w:uiPriority w:val="0"/>
    <w:rPr>
      <w:rFonts w:ascii="Times New Roman" w:hAnsi="Times New Roman" w:eastAsia="宋体" w:cs="Times New Roman"/>
    </w:rPr>
  </w:style>
  <w:style w:type="paragraph" w:customStyle="1" w:styleId="233">
    <w:name w:val="Normal_0_1"/>
    <w:qFormat/>
    <w:uiPriority w:val="0"/>
    <w:rPr>
      <w:rFonts w:ascii="Calibri" w:hAnsi="Calibri" w:eastAsia="Times New Roman" w:cs="Times New Roman"/>
      <w:sz w:val="24"/>
      <w:szCs w:val="24"/>
      <w:lang w:bidi="ar-SA"/>
    </w:rPr>
  </w:style>
  <w:style w:type="paragraph" w:customStyle="1" w:styleId="234">
    <w:name w:val="_Style 39"/>
    <w:basedOn w:val="182"/>
    <w:qFormat/>
    <w:uiPriority w:val="0"/>
    <w:rPr>
      <w:rFonts w:ascii="Times New Roman" w:hAnsi="Times New Roman" w:eastAsia="宋体" w:cs="Times New Roman"/>
    </w:rPr>
  </w:style>
  <w:style w:type="paragraph" w:customStyle="1" w:styleId="235">
    <w:name w:val="Char Char1 Char Char Char Char Char Char Char"/>
    <w:basedOn w:val="1"/>
    <w:qFormat/>
    <w:uiPriority w:val="0"/>
    <w:pPr>
      <w:widowControl/>
      <w:spacing w:after="160" w:line="240" w:lineRule="exact"/>
      <w:jc w:val="left"/>
    </w:pPr>
    <w:rPr>
      <w:rFonts w:ascii="Times New Roman" w:hAnsi="Times New Roman" w:eastAsia="宋体" w:cs="Times New Roman"/>
    </w:rPr>
  </w:style>
  <w:style w:type="paragraph" w:customStyle="1" w:styleId="236">
    <w:name w:val="reader-word-layer reader-word-s1-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7">
    <w:name w:val="Style44"/>
    <w:basedOn w:val="1"/>
    <w:qFormat/>
    <w:uiPriority w:val="0"/>
    <w:rPr>
      <w:rFonts w:ascii="Times New Roman" w:hAnsi="Times New Roman" w:eastAsia="宋体" w:cs="Times New Roman"/>
    </w:rPr>
  </w:style>
  <w:style w:type="paragraph" w:customStyle="1" w:styleId="238">
    <w:name w:val="Style73"/>
    <w:basedOn w:val="1"/>
    <w:qFormat/>
    <w:uiPriority w:val="0"/>
    <w:pPr>
      <w:spacing w:line="538" w:lineRule="exact"/>
      <w:ind w:firstLine="533"/>
    </w:pPr>
    <w:rPr>
      <w:rFonts w:ascii="Times New Roman" w:hAnsi="Times New Roman" w:eastAsia="宋体" w:cs="Times New Roman"/>
    </w:rPr>
  </w:style>
  <w:style w:type="paragraph" w:customStyle="1" w:styleId="239">
    <w:name w:val="Style61"/>
    <w:basedOn w:val="1"/>
    <w:qFormat/>
    <w:uiPriority w:val="0"/>
    <w:rPr>
      <w:rFonts w:ascii="Times New Roman" w:hAnsi="Times New Roman" w:eastAsia="宋体" w:cs="Times New Roman"/>
    </w:rPr>
  </w:style>
  <w:style w:type="paragraph" w:customStyle="1" w:styleId="240">
    <w:name w:val="标题2"/>
    <w:basedOn w:val="38"/>
    <w:qFormat/>
    <w:uiPriority w:val="0"/>
    <w:pPr>
      <w:spacing w:after="240"/>
      <w:jc w:val="left"/>
    </w:pPr>
    <w:rPr>
      <w:rFonts w:ascii="Times New Roman" w:hAnsi="Times New Roman" w:eastAsia="宋体" w:cs="Times New Roman"/>
      <w:sz w:val="30"/>
    </w:rPr>
  </w:style>
  <w:style w:type="paragraph" w:customStyle="1" w:styleId="241">
    <w:name w:val="List Paragraph1"/>
    <w:basedOn w:val="1"/>
    <w:qFormat/>
    <w:uiPriority w:val="0"/>
    <w:pPr>
      <w:ind w:firstLine="420" w:firstLineChars="200"/>
    </w:pPr>
    <w:rPr>
      <w:rFonts w:ascii="Calibri" w:hAnsi="Calibri" w:eastAsia="宋体" w:cs="Calibri"/>
      <w:szCs w:val="21"/>
    </w:rPr>
  </w:style>
  <w:style w:type="paragraph" w:customStyle="1" w:styleId="242">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3">
    <w:name w:val=" Char Char Char1 Char"/>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4">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Style53"/>
    <w:basedOn w:val="1"/>
    <w:qFormat/>
    <w:uiPriority w:val="0"/>
    <w:pPr>
      <w:spacing w:line="533" w:lineRule="exact"/>
      <w:ind w:firstLine="581"/>
    </w:pPr>
    <w:rPr>
      <w:rFonts w:ascii="Times New Roman" w:hAnsi="Times New Roman" w:eastAsia="宋体" w:cs="Times New Roman"/>
    </w:rPr>
  </w:style>
  <w:style w:type="paragraph" w:customStyle="1" w:styleId="246">
    <w:name w:val=" Char Char Char"/>
    <w:basedOn w:val="1"/>
    <w:qFormat/>
    <w:uiPriority w:val="0"/>
    <w:rPr>
      <w:rFonts w:ascii="宋体" w:hAnsi="宋体" w:eastAsia="宋体" w:cs="Times New Roman"/>
      <w:b/>
      <w:sz w:val="28"/>
      <w:szCs w:val="28"/>
    </w:rPr>
  </w:style>
  <w:style w:type="paragraph" w:customStyle="1" w:styleId="247">
    <w:name w:val="Style59"/>
    <w:basedOn w:val="1"/>
    <w:qFormat/>
    <w:uiPriority w:val="0"/>
    <w:rPr>
      <w:rFonts w:ascii="Times New Roman" w:hAnsi="Times New Roman" w:eastAsia="宋体" w:cs="Times New Roman"/>
    </w:rPr>
  </w:style>
  <w:style w:type="paragraph" w:styleId="248">
    <w:name w:val="List Paragraph"/>
    <w:basedOn w:val="1"/>
    <w:qFormat/>
    <w:uiPriority w:val="0"/>
    <w:pPr>
      <w:ind w:firstLine="420" w:firstLineChars="200"/>
    </w:pPr>
    <w:rPr>
      <w:rFonts w:ascii="Calibri" w:hAnsi="Calibri" w:eastAsia="宋体" w:cs="Times New Roman"/>
      <w:szCs w:val="22"/>
    </w:rPr>
  </w:style>
  <w:style w:type="paragraph" w:customStyle="1" w:styleId="249">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样式 标题 2 + Times New Roman 四号 非加粗 段前: 5 磅 段后: 0 磅 行距: 固定值 20..."/>
    <w:basedOn w:val="4"/>
    <w:qFormat/>
    <w:uiPriority w:val="0"/>
    <w:pPr>
      <w:spacing w:before="100" w:line="400" w:lineRule="exact"/>
    </w:pPr>
    <w:rPr>
      <w:rFonts w:ascii="Times New Roman" w:hAnsi="Times New Roman" w:eastAsia="黑体" w:cs="Times New Roman"/>
      <w:b w:val="0"/>
      <w:bCs w:val="0"/>
      <w:sz w:val="28"/>
      <w:szCs w:val="20"/>
    </w:rPr>
  </w:style>
  <w:style w:type="paragraph" w:customStyle="1" w:styleId="251">
    <w:name w:val="Style74"/>
    <w:basedOn w:val="1"/>
    <w:qFormat/>
    <w:uiPriority w:val="0"/>
    <w:pPr>
      <w:spacing w:line="437" w:lineRule="exact"/>
    </w:pPr>
    <w:rPr>
      <w:rFonts w:ascii="Times New Roman" w:hAnsi="Times New Roman" w:eastAsia="宋体" w:cs="Times New Roman"/>
    </w:rPr>
  </w:style>
  <w:style w:type="paragraph" w:customStyle="1" w:styleId="252">
    <w:name w:val="Style64"/>
    <w:basedOn w:val="1"/>
    <w:qFormat/>
    <w:uiPriority w:val="0"/>
    <w:rPr>
      <w:rFonts w:ascii="Times New Roman" w:hAnsi="Times New Roman" w:eastAsia="宋体" w:cs="Times New Roman"/>
    </w:rPr>
  </w:style>
  <w:style w:type="paragraph" w:customStyle="1" w:styleId="253">
    <w:name w:val="Normal_0_2"/>
    <w:qFormat/>
    <w:uiPriority w:val="0"/>
    <w:rPr>
      <w:rFonts w:ascii="Calibri" w:hAnsi="Calibri" w:eastAsia="Times New Roman" w:cs="Times New Roman"/>
      <w:sz w:val="24"/>
      <w:szCs w:val="24"/>
      <w:lang w:bidi="ar-SA"/>
    </w:rPr>
  </w:style>
  <w:style w:type="paragraph" w:customStyle="1" w:styleId="254">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55">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6">
    <w:name w:val="Style80"/>
    <w:basedOn w:val="1"/>
    <w:qFormat/>
    <w:uiPriority w:val="0"/>
    <w:rPr>
      <w:rFonts w:ascii="Times New Roman" w:hAnsi="Times New Roman" w:eastAsia="宋体" w:cs="Times New Roman"/>
    </w:rPr>
  </w:style>
  <w:style w:type="paragraph" w:customStyle="1" w:styleId="257">
    <w:name w:val="Style15"/>
    <w:basedOn w:val="1"/>
    <w:qFormat/>
    <w:uiPriority w:val="0"/>
    <w:pPr>
      <w:spacing w:line="557" w:lineRule="exact"/>
      <w:ind w:firstLine="672"/>
    </w:pPr>
    <w:rPr>
      <w:rFonts w:ascii="Times New Roman" w:hAnsi="Times New Roman" w:eastAsia="宋体" w:cs="Times New Roman"/>
    </w:rPr>
  </w:style>
  <w:style w:type="paragraph" w:customStyle="1" w:styleId="258">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9">
    <w:name w:val="Style34"/>
    <w:basedOn w:val="1"/>
    <w:qFormat/>
    <w:uiPriority w:val="0"/>
    <w:pPr>
      <w:spacing w:line="375" w:lineRule="exact"/>
    </w:pPr>
    <w:rPr>
      <w:rFonts w:ascii="Times New Roman" w:hAnsi="Times New Roman" w:eastAsia="宋体" w:cs="Times New Roman"/>
    </w:rPr>
  </w:style>
  <w:style w:type="paragraph" w:customStyle="1" w:styleId="260">
    <w:name w:val="Style69"/>
    <w:basedOn w:val="1"/>
    <w:qFormat/>
    <w:uiPriority w:val="0"/>
    <w:pPr>
      <w:spacing w:line="557" w:lineRule="exact"/>
      <w:ind w:firstLine="1666"/>
    </w:pPr>
    <w:rPr>
      <w:rFonts w:ascii="Times New Roman" w:hAnsi="Times New Roman" w:eastAsia="宋体" w:cs="Times New Roman"/>
    </w:rPr>
  </w:style>
  <w:style w:type="paragraph" w:customStyle="1" w:styleId="261">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Style28"/>
    <w:basedOn w:val="1"/>
    <w:qFormat/>
    <w:uiPriority w:val="0"/>
    <w:pPr>
      <w:spacing w:line="552" w:lineRule="exact"/>
      <w:ind w:firstLine="547"/>
    </w:pPr>
    <w:rPr>
      <w:rFonts w:ascii="Times New Roman" w:hAnsi="Times New Roman" w:eastAsia="宋体" w:cs="Times New Roman"/>
    </w:rPr>
  </w:style>
  <w:style w:type="paragraph" w:customStyle="1" w:styleId="263">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4">
    <w:name w:val="1"/>
    <w:basedOn w:val="1"/>
    <w:qFormat/>
    <w:uiPriority w:val="0"/>
    <w:pPr>
      <w:spacing w:afterLines="50" w:line="360" w:lineRule="auto"/>
    </w:pPr>
    <w:rPr>
      <w:rFonts w:ascii="宋体" w:hAnsi="宋体" w:eastAsia="宋体" w:cs="Times New Roman"/>
      <w:b/>
      <w:sz w:val="30"/>
      <w:szCs w:val="21"/>
    </w:rPr>
  </w:style>
  <w:style w:type="paragraph" w:customStyle="1" w:styleId="265">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66">
    <w:name w:val="p16"/>
    <w:basedOn w:val="1"/>
    <w:qFormat/>
    <w:uiPriority w:val="0"/>
    <w:pPr>
      <w:widowControl/>
      <w:jc w:val="left"/>
    </w:pPr>
    <w:rPr>
      <w:rFonts w:ascii="Times New Roman" w:hAnsi="Times New Roman" w:eastAsia="宋体" w:cs="Times New Roman"/>
      <w:kern w:val="0"/>
      <w:szCs w:val="21"/>
    </w:rPr>
  </w:style>
  <w:style w:type="paragraph" w:customStyle="1" w:styleId="267">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标题3"/>
    <w:basedOn w:val="3"/>
    <w:qFormat/>
    <w:uiPriority w:val="0"/>
    <w:pPr>
      <w:spacing w:beforeLines="50" w:afterLines="50" w:line="400" w:lineRule="exact"/>
      <w:jc w:val="both"/>
    </w:pPr>
    <w:rPr>
      <w:rFonts w:ascii="宋体" w:hAnsi="宋体" w:eastAsia="宋体" w:cs="Times New Roman"/>
      <w:kern w:val="32"/>
      <w:szCs w:val="32"/>
    </w:rPr>
  </w:style>
  <w:style w:type="paragraph" w:customStyle="1" w:styleId="269">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eastAsia="宋体" w:cs="Times New Roman"/>
      <w:kern w:val="0"/>
      <w:sz w:val="21"/>
      <w:szCs w:val="20"/>
    </w:rPr>
  </w:style>
  <w:style w:type="paragraph" w:customStyle="1" w:styleId="270">
    <w:name w:val="Style42"/>
    <w:basedOn w:val="1"/>
    <w:qFormat/>
    <w:uiPriority w:val="0"/>
    <w:pPr>
      <w:spacing w:line="542" w:lineRule="exact"/>
      <w:ind w:firstLine="547"/>
    </w:pPr>
    <w:rPr>
      <w:rFonts w:ascii="Times New Roman" w:hAnsi="Times New Roman" w:eastAsia="宋体" w:cs="Times New Roman"/>
    </w:rPr>
  </w:style>
  <w:style w:type="paragraph" w:customStyle="1" w:styleId="271">
    <w:name w:val="Style72"/>
    <w:basedOn w:val="1"/>
    <w:qFormat/>
    <w:uiPriority w:val="0"/>
    <w:rPr>
      <w:rFonts w:ascii="Times New Roman" w:hAnsi="Times New Roman" w:eastAsia="宋体" w:cs="Times New Roman"/>
    </w:rPr>
  </w:style>
  <w:style w:type="paragraph" w:customStyle="1" w:styleId="272">
    <w:name w:val="Style9"/>
    <w:basedOn w:val="1"/>
    <w:qFormat/>
    <w:uiPriority w:val="0"/>
    <w:rPr>
      <w:rFonts w:ascii="Times New Roman" w:hAnsi="Times New Roman" w:eastAsia="宋体" w:cs="Times New Roman"/>
    </w:rPr>
  </w:style>
  <w:style w:type="paragraph" w:customStyle="1" w:styleId="2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74">
    <w:name w:val="_Style 272"/>
    <w:qFormat/>
    <w:uiPriority w:val="0"/>
    <w:rPr>
      <w:rFonts w:ascii="Calibri" w:hAnsi="Calibri" w:eastAsia="宋体" w:cs="Times New Roman"/>
      <w:kern w:val="2"/>
      <w:sz w:val="21"/>
      <w:szCs w:val="24"/>
      <w:lang w:val="en-US" w:eastAsia="zh-CN" w:bidi="ar-SA"/>
    </w:rPr>
  </w:style>
  <w:style w:type="paragraph" w:customStyle="1" w:styleId="275">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6">
    <w:name w:val="Style71"/>
    <w:basedOn w:val="1"/>
    <w:qFormat/>
    <w:uiPriority w:val="0"/>
    <w:pPr>
      <w:spacing w:line="538" w:lineRule="exact"/>
      <w:ind w:firstLine="101"/>
    </w:pPr>
    <w:rPr>
      <w:rFonts w:ascii="Times New Roman" w:hAnsi="Times New Roman" w:eastAsia="宋体" w:cs="Times New Roman"/>
    </w:rPr>
  </w:style>
  <w:style w:type="paragraph" w:customStyle="1" w:styleId="277">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Style50"/>
    <w:basedOn w:val="1"/>
    <w:qFormat/>
    <w:uiPriority w:val="0"/>
    <w:rPr>
      <w:rFonts w:ascii="Times New Roman" w:hAnsi="Times New Roman" w:eastAsia="宋体" w:cs="Times New Roman"/>
    </w:rPr>
  </w:style>
  <w:style w:type="paragraph" w:customStyle="1" w:styleId="280">
    <w:name w:val="Style29"/>
    <w:basedOn w:val="1"/>
    <w:qFormat/>
    <w:uiPriority w:val="0"/>
    <w:pPr>
      <w:spacing w:line="547" w:lineRule="exact"/>
      <w:ind w:firstLine="547"/>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7659</Words>
  <Characters>43660</Characters>
  <Lines>363</Lines>
  <Paragraphs>102</Paragraphs>
  <TotalTime>6</TotalTime>
  <ScaleCrop>false</ScaleCrop>
  <LinksUpToDate>false</LinksUpToDate>
  <CharactersWithSpaces>51217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2021-08-23T10:41:00Z</dcterms:created>
  <dc:creator>微软用户</dc:creator>
  <cp:lastModifiedBy>中采招标</cp:lastModifiedBy>
  <cp:lastPrinted>2020-01-19T09:37:00Z</cp:lastPrinted>
  <dcterms:modified xsi:type="dcterms:W3CDTF">2023-09-15T03:42:52Z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CCB90D6BDA8E45A9BADD3F1B43AC9B4F</vt:lpwstr>
  </property>
</Properties>
</file>