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jc w:val="center"/>
        <w:rPr>
          <w:rFonts w:hint="eastAsia" w:ascii="方正小标宋简体" w:hAnsi="方正小标宋简体" w:eastAsia="方正小标宋简体" w:cs="方正小标宋简体"/>
          <w:b w:val="0"/>
          <w:bCs w:val="0"/>
          <w:color w:val="000000" w:themeColor="text1"/>
          <w:sz w:val="36"/>
          <w:szCs w:val="21"/>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21"/>
          <w14:textFill>
            <w14:solidFill>
              <w14:schemeClr w14:val="tx1"/>
            </w14:solidFill>
          </w14:textFill>
        </w:rPr>
        <w:t>网络安全风险评估和渗透测试服务需求</w:t>
      </w:r>
    </w:p>
    <w:p>
      <w:pPr>
        <w:pStyle w:val="29"/>
        <w:spacing w:before="100" w:beforeAutospacing="1" w:after="100" w:afterAutospacing="1"/>
        <w:ind w:firstLine="320" w:firstLineChars="1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服务内容</w:t>
      </w:r>
    </w:p>
    <w:tbl>
      <w:tblPr>
        <w:tblStyle w:val="12"/>
        <w:tblW w:w="0" w:type="auto"/>
        <w:tblInd w:w="0" w:type="dxa"/>
        <w:shd w:val="clear" w:color="auto" w:fill="FFFFFF"/>
        <w:tblLayout w:type="autofit"/>
        <w:tblCellMar>
          <w:top w:w="15" w:type="dxa"/>
          <w:left w:w="15" w:type="dxa"/>
          <w:bottom w:w="15" w:type="dxa"/>
          <w:right w:w="15" w:type="dxa"/>
        </w:tblCellMar>
      </w:tblPr>
      <w:tblGrid>
        <w:gridCol w:w="250"/>
        <w:gridCol w:w="8086"/>
      </w:tblGrid>
      <w:tr>
        <w:tblPrEx>
          <w:shd w:val="clear" w:color="auto" w:fill="FFFFFF"/>
          <w:tblCellMar>
            <w:top w:w="15" w:type="dxa"/>
            <w:left w:w="15" w:type="dxa"/>
            <w:bottom w:w="15" w:type="dxa"/>
            <w:right w:w="15" w:type="dxa"/>
          </w:tblCellMar>
        </w:tblPrEx>
        <w:tc>
          <w:tcPr>
            <w:tcW w:w="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风险评估服务：按照相关法规和标准的要求，结合采购人的具体情况，每季度对采购人指定的关键信息基础设施进行一次全面的安全风险评估，在网络系统受到危害之前为管理员提供专业、有效的安全分析和修补建议，并配合采购人的安全加固工作，对涉及版本升级或者安全手段建设方面的安全隐患，给出明确的加固建议和指导。</w:t>
            </w:r>
          </w:p>
          <w:p>
            <w:pPr>
              <w:spacing w:after="100" w:afterAutospacing="1"/>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服务频率：每季度1次，一共8次。</w:t>
            </w:r>
          </w:p>
        </w:tc>
      </w:tr>
      <w:tr>
        <w:tblPrEx>
          <w:shd w:val="clear" w:color="auto" w:fill="FFFFFF"/>
          <w:tblCellMar>
            <w:top w:w="15" w:type="dxa"/>
            <w:left w:w="15" w:type="dxa"/>
            <w:bottom w:w="15" w:type="dxa"/>
            <w:right w:w="15" w:type="dxa"/>
          </w:tblCellMar>
        </w:tblPrEx>
        <w:tc>
          <w:tcPr>
            <w:tcW w:w="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渗透测试服务:根据《中华人名共和国网络安全法》和《关键信息基础设施安全保护条例》中的要求，投标人在服务期内提供现场渗透测试，原则上立足于黑盒方式，模拟黑客的攻击思路与技术手段，从攻击者角度，发现应用系统存在的安全隐患，检测相关系统的威胁防御能力，深度挖掘应用系统的安全漏洞，为采购人指定的应用系统提供渗透测试服务，包括但不限于网站和重要业务系统等。</w:t>
            </w:r>
          </w:p>
          <w:p>
            <w:pPr>
              <w:spacing w:after="100" w:afterAutospacing="1"/>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服务频率：每半年1次，一共4次。</w:t>
            </w:r>
          </w:p>
        </w:tc>
      </w:tr>
      <w:tr>
        <w:tblPrEx>
          <w:shd w:val="clear" w:color="auto" w:fill="FFFFFF"/>
          <w:tblCellMar>
            <w:top w:w="15" w:type="dxa"/>
            <w:left w:w="15" w:type="dxa"/>
            <w:bottom w:w="15" w:type="dxa"/>
            <w:right w:w="15" w:type="dxa"/>
          </w:tblCellMar>
        </w:tblPrEx>
        <w:tc>
          <w:tcPr>
            <w:tcW w:w="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hint="eastAsia"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100" w:afterAutospacing="1"/>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根据风险评估和渗透测试的结果分别进行修复或处置，处置后进行复测，复测</w:t>
            </w:r>
            <w:bookmarkStart w:id="0" w:name="_GoBack"/>
            <w:bookmarkEnd w:id="0"/>
            <w:r>
              <w:rPr>
                <w:rFonts w:hint="eastAsia"/>
                <w:b w:val="0"/>
                <w:bCs w:val="0"/>
                <w:color w:val="000000" w:themeColor="text1"/>
                <w:sz w:val="21"/>
                <w:szCs w:val="21"/>
                <w:lang w:val="en-US" w:eastAsia="zh-CN"/>
                <w14:textFill>
                  <w14:solidFill>
                    <w14:schemeClr w14:val="tx1"/>
                  </w14:solidFill>
                </w14:textFill>
              </w:rPr>
              <w:t>后仍需形成复测报告。</w:t>
            </w:r>
          </w:p>
        </w:tc>
      </w:tr>
    </w:tbl>
    <w:p>
      <w:pPr>
        <w:spacing w:line="360" w:lineRule="auto"/>
        <w:rPr>
          <w:b w:val="0"/>
          <w:bCs w:val="0"/>
          <w:color w:val="000000" w:themeColor="text1"/>
          <w14:textFill>
            <w14:solidFill>
              <w14:schemeClr w14:val="tx1"/>
            </w14:solidFill>
          </w14:textFill>
        </w:rPr>
      </w:pPr>
    </w:p>
    <w:p>
      <w:pPr>
        <w:spacing w:line="360" w:lineRule="auto"/>
        <w:rPr>
          <w:rFonts w:hint="eastAsia" w:ascii="黑体" w:hAnsi="黑体" w:eastAsia="黑体" w:cs="黑体"/>
          <w:b w:val="0"/>
          <w:bCs w:val="0"/>
          <w:color w:val="000000" w:themeColor="text1"/>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lang w:val="en-US" w:eastAsia="zh-CN" w:bidi="ar-SA"/>
          <w14:textFill>
            <w14:solidFill>
              <w14:schemeClr w14:val="tx1"/>
            </w14:solidFill>
          </w14:textFill>
        </w:rPr>
        <w:t>二、具体工作要求：</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422" w:firstLineChars="200"/>
        <w:textAlignment w:val="auto"/>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一</w:t>
      </w: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14:textFill>
            <w14:solidFill>
              <w14:schemeClr w14:val="tx1"/>
            </w14:solidFill>
          </w14:textFill>
        </w:rPr>
        <w:t>风险评估工作要求</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lang w:val="en-US" w:eastAsia="zh-CN"/>
          <w14:textFill>
            <w14:solidFill>
              <w14:schemeClr w14:val="tx1"/>
            </w14:solidFill>
          </w14:textFill>
        </w:rPr>
        <w:t>1、</w:t>
      </w:r>
      <w:r>
        <w:rPr>
          <w:rFonts w:hint="eastAsia"/>
          <w:b w:val="0"/>
          <w:bCs w:val="0"/>
          <w:color w:val="000000" w:themeColor="text1"/>
          <w:sz w:val="21"/>
          <w:szCs w:val="21"/>
          <w14:textFill>
            <w14:solidFill>
              <w14:schemeClr w14:val="tx1"/>
            </w14:solidFill>
          </w14:textFill>
        </w:rPr>
        <w:t>投标人须每季度对采购人指定的关键信息基础设施进行1次全面的安全风险评估。</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lang w:val="en-US" w:eastAsia="zh-CN"/>
          <w14:textFill>
            <w14:solidFill>
              <w14:schemeClr w14:val="tx1"/>
            </w14:solidFill>
          </w14:textFill>
        </w:rPr>
        <w:t>2、</w:t>
      </w:r>
      <w:r>
        <w:rPr>
          <w:rFonts w:hint="eastAsia"/>
          <w:b w:val="0"/>
          <w:bCs w:val="0"/>
          <w:color w:val="000000" w:themeColor="text1"/>
          <w:sz w:val="21"/>
          <w:szCs w:val="21"/>
          <w14:textFill>
            <w14:solidFill>
              <w14:schemeClr w14:val="tx1"/>
            </w14:solidFill>
          </w14:textFill>
        </w:rPr>
        <w:t>严格按照相关法规和标准的要求，结合采购人的具体情况，采用适当的方法与工具确定威胁利用脆弱性导致安全事件发生的可能性，并综合安全事件严重程度，判断安全事件造成的损失对采购人的影响。投标人须提供风险评估所涉及的检测工具，为采购人指定的范围提供漏洞检测、安全基线核查等服务。服务期间，因检测工具产生的一切费用由投标人自行承担。</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lang w:val="en-US" w:eastAsia="zh-CN"/>
          <w14:textFill>
            <w14:solidFill>
              <w14:schemeClr w14:val="tx1"/>
            </w14:solidFill>
          </w14:textFill>
        </w:rPr>
        <w:t>3、</w:t>
      </w:r>
      <w:r>
        <w:rPr>
          <w:rFonts w:hint="eastAsia"/>
          <w:b w:val="0"/>
          <w:bCs w:val="0"/>
          <w:color w:val="000000" w:themeColor="text1"/>
          <w:sz w:val="21"/>
          <w:szCs w:val="21"/>
          <w14:textFill>
            <w14:solidFill>
              <w14:schemeClr w14:val="tx1"/>
            </w14:solidFill>
          </w14:textFill>
        </w:rPr>
        <w:t>投标人须为采购人提供网络层、系统层、应用层等层面的安全检测与评估，在提交风险评估报告后，投标人</w:t>
      </w:r>
      <w:r>
        <w:rPr>
          <w:rFonts w:hint="eastAsia"/>
          <w:b w:val="0"/>
          <w:bCs w:val="0"/>
          <w:color w:val="000000" w:themeColor="text1"/>
          <w:sz w:val="21"/>
          <w:szCs w:val="21"/>
          <w:lang w:val="en-US" w:eastAsia="zh-CN"/>
          <w14:textFill>
            <w14:solidFill>
              <w14:schemeClr w14:val="tx1"/>
            </w14:solidFill>
          </w14:textFill>
        </w:rPr>
        <w:t>同时</w:t>
      </w:r>
      <w:r>
        <w:rPr>
          <w:rFonts w:hint="eastAsia"/>
          <w:b w:val="0"/>
          <w:bCs w:val="0"/>
          <w:color w:val="000000" w:themeColor="text1"/>
          <w:sz w:val="21"/>
          <w:szCs w:val="21"/>
          <w14:textFill>
            <w14:solidFill>
              <w14:schemeClr w14:val="tx1"/>
            </w14:solidFill>
          </w14:textFill>
        </w:rPr>
        <w:t>完成安全风险加固工作。在加固完成后对其进行复测，复测后提交复测报告。</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lang w:val="en-US" w:eastAsia="zh-CN"/>
          <w14:textFill>
            <w14:solidFill>
              <w14:schemeClr w14:val="tx1"/>
            </w14:solidFill>
          </w14:textFill>
        </w:rPr>
        <w:t>4、</w:t>
      </w:r>
      <w:r>
        <w:rPr>
          <w:rFonts w:hint="eastAsia"/>
          <w:b w:val="0"/>
          <w:bCs w:val="0"/>
          <w:color w:val="000000" w:themeColor="text1"/>
          <w:sz w:val="21"/>
          <w:szCs w:val="21"/>
          <w14:textFill>
            <w14:solidFill>
              <w14:schemeClr w14:val="tx1"/>
            </w14:solidFill>
          </w14:textFill>
        </w:rPr>
        <w:t>风险评估内容包括但不限于:</w:t>
      </w:r>
    </w:p>
    <w:p>
      <w:pPr>
        <w:ind w:firstLine="420" w:firstLineChars="200"/>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1</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安全设备状态检查</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14:textFill>
            <w14:solidFill>
              <w14:schemeClr w14:val="tx1"/>
            </w14:solidFill>
          </w14:textFill>
        </w:rPr>
        <w:t>查看安全设备的运行状态、设备负载等是否正常，同时对设备的版本进行检查，提出改进建议，经确认后，参与实施工作(根据实际情况升级等)。</w:t>
      </w:r>
    </w:p>
    <w:p>
      <w:pPr>
        <w:ind w:firstLine="420" w:firstLineChars="200"/>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2</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安全配置基线核查</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14:textFill>
            <w14:solidFill>
              <w14:schemeClr w14:val="tx1"/>
            </w14:solidFill>
          </w14:textFill>
        </w:rPr>
        <w:t>对主机、数据库、中间件、网络设备、安全设备等进行安全配置基线核查，检查内容包括但不限于系统版本补丁和基本信息、用户账号口令及身份、用户登录密码、系统授权验证、日志查看、系统网络应用配置等。通过对主机及应用系统日志记录、运行趋势进行分析，定期查验网络系统当前存在的安全防护薄弱环节，查找系统被入侵痕迹，查验系统可能存在的安全隐患。</w:t>
      </w:r>
    </w:p>
    <w:p>
      <w:pPr>
        <w:ind w:firstLine="420" w:firstLineChars="200"/>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3</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安全漏洞扫描</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14:textFill>
            <w14:solidFill>
              <w14:schemeClr w14:val="tx1"/>
            </w14:solidFill>
          </w14:textFill>
        </w:rPr>
        <w:t>对系统中的各种软硬件设备可能存在的安全漏洞问题进行扫描，扫描的对象包括系统中关键的服务器、网络设备、安全设备、商用软件及应用开发软件，扫描的范围包括但不限于以下内容:能够扫描发现网络设备、服务器(windows、linux、AIX)、防火墙、数据库、中间件、安全设备、应用开发软件中的安全漏洞。能够全面发现信息系统存在的各种脆弱性问题，包括信息探测类、后门程序类、域名服务类、Web安全类等安全漏洞、安全配置问题、应用系统安全漏洞。</w:t>
      </w:r>
    </w:p>
    <w:p>
      <w:pPr>
        <w:ind w:firstLine="420" w:firstLineChars="200"/>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4</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Web安全检查</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14:textFill>
            <w14:solidFill>
              <w14:schemeClr w14:val="tx1"/>
            </w14:solidFill>
          </w14:textFill>
        </w:rPr>
        <w:t>根据web多层面组成的特性，通过对Web的每一个层面进行评估和综合的关联分析，查找Web站点中可能存在的安全问题和安全隐患。检查内容包括但不限于Web服务是否安装了不必要的组件、运行身份是否正确设置、版本信息是否隐藏、目录遍历功能是否启用、是否启用IP访问限制、是否启用SSL传输加密、是否启用了日志记录、是否进行了严格的权限设置等。</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lang w:val="en-US" w:eastAsia="zh-CN"/>
          <w14:textFill>
            <w14:solidFill>
              <w14:schemeClr w14:val="tx1"/>
            </w14:solidFill>
          </w14:textFill>
        </w:rPr>
        <w:t>5、</w:t>
      </w:r>
      <w:r>
        <w:rPr>
          <w:rFonts w:hint="eastAsia"/>
          <w:b w:val="0"/>
          <w:bCs w:val="0"/>
          <w:color w:val="000000" w:themeColor="text1"/>
          <w:sz w:val="21"/>
          <w:szCs w:val="21"/>
          <w14:textFill>
            <w14:solidFill>
              <w14:schemeClr w14:val="tx1"/>
            </w14:solidFill>
          </w14:textFill>
        </w:rPr>
        <w:t>风险评估报告:根据检查内容形成整体风险评估报告，报告包含漏洞详述和修补方案</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在提交风险评估报告后，投标人</w:t>
      </w:r>
      <w:r>
        <w:rPr>
          <w:rFonts w:hint="eastAsia"/>
          <w:b w:val="0"/>
          <w:bCs w:val="0"/>
          <w:color w:val="000000" w:themeColor="text1"/>
          <w:sz w:val="21"/>
          <w:szCs w:val="21"/>
          <w:lang w:val="en-US" w:eastAsia="zh-CN"/>
          <w14:textFill>
            <w14:solidFill>
              <w14:schemeClr w14:val="tx1"/>
            </w14:solidFill>
          </w14:textFill>
        </w:rPr>
        <w:t>同时</w:t>
      </w:r>
      <w:r>
        <w:rPr>
          <w:rFonts w:hint="eastAsia"/>
          <w:b w:val="0"/>
          <w:bCs w:val="0"/>
          <w:color w:val="000000" w:themeColor="text1"/>
          <w:sz w:val="21"/>
          <w:szCs w:val="21"/>
          <w14:textFill>
            <w14:solidFill>
              <w14:schemeClr w14:val="tx1"/>
            </w14:solidFill>
          </w14:textFill>
        </w:rPr>
        <w:t>完成安全风险加固工作。在加固完成后对其进行复测，复测后提交复测报告。</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422" w:firstLineChars="200"/>
        <w:textAlignment w:val="auto"/>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二</w:t>
      </w: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14:textFill>
            <w14:solidFill>
              <w14:schemeClr w14:val="tx1"/>
            </w14:solidFill>
          </w14:textFill>
        </w:rPr>
        <w:t>渗透测试服务工作要求</w:t>
      </w:r>
    </w:p>
    <w:p>
      <w:pPr>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ab/>
      </w:r>
      <w:r>
        <w:rPr>
          <w:rFonts w:hint="eastAsia"/>
          <w:b w:val="0"/>
          <w:bCs w:val="0"/>
          <w:color w:val="000000" w:themeColor="text1"/>
          <w:sz w:val="21"/>
          <w:szCs w:val="21"/>
          <w:lang w:val="en-US" w:eastAsia="zh-CN"/>
          <w14:textFill>
            <w14:solidFill>
              <w14:schemeClr w14:val="tx1"/>
            </w14:solidFill>
          </w14:textFill>
        </w:rPr>
        <w:t>1、</w:t>
      </w:r>
      <w:r>
        <w:rPr>
          <w:rFonts w:hint="eastAsia"/>
          <w:b w:val="0"/>
          <w:bCs w:val="0"/>
          <w:color w:val="000000" w:themeColor="text1"/>
          <w:sz w:val="21"/>
          <w:szCs w:val="21"/>
          <w14:textFill>
            <w14:solidFill>
              <w14:schemeClr w14:val="tx1"/>
            </w14:solidFill>
          </w14:textFill>
        </w:rPr>
        <w:t>投标方应保证招标方信息系统正常运行前提下，模拟黑客攻击行为通过远程或本地方式对信息系统进行非破坏性的入侵测试，查找针对应用程序的各种漏洞，帮助招标方理解应用系统当前的安全状况，发现在系统复杂结构中的最脆弱链路并针对安全隐患提出解决办法，切实保证信息系统安全。</w:t>
      </w:r>
    </w:p>
    <w:p>
      <w:pPr>
        <w:ind w:firstLine="420" w:firstLineChars="200"/>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2、</w:t>
      </w:r>
      <w:r>
        <w:rPr>
          <w:rFonts w:hint="eastAsia"/>
          <w:b w:val="0"/>
          <w:bCs w:val="0"/>
          <w:color w:val="000000" w:themeColor="text1"/>
          <w:sz w:val="21"/>
          <w:szCs w:val="21"/>
          <w14:textFill>
            <w14:solidFill>
              <w14:schemeClr w14:val="tx1"/>
            </w14:solidFill>
          </w14:textFill>
        </w:rPr>
        <w:t>渗透测试服务包括但不限于:</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eastAsia="宋体"/>
          <w:b w:val="0"/>
          <w:bCs w:val="0"/>
          <w:color w:val="000000" w:themeColor="text1"/>
          <w:sz w:val="21"/>
          <w:szCs w:val="21"/>
          <w:lang w:eastAsia="zh-CN"/>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1</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采购人授权后，投标方应通过模拟黑客攻击行为通过本地或远程方式对目标对象进行非破坏性的入侵测试</w:t>
      </w:r>
      <w:r>
        <w:rPr>
          <w:rFonts w:hint="eastAsia"/>
          <w:b w:val="0"/>
          <w:bCs w:val="0"/>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2</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渗透测试应至少包括但不限于以下范围的漏洞：</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1.WEB应用系统渗透</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2.主机操作系统渗透</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3.数据库系统渗透</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3</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14:textFill>
            <w14:solidFill>
              <w14:schemeClr w14:val="tx1"/>
            </w14:solidFill>
          </w14:textFill>
        </w:rPr>
        <w:t>渗透测试内容包括但不限于：</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1.身份验证类</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2.会话管理类</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3.访问控制类</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4.输入处理类</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5.信息泄露类</w:t>
      </w:r>
    </w:p>
    <w:p>
      <w:pPr>
        <w:keepNext w:val="0"/>
        <w:keepLines w:val="0"/>
        <w:pageBreakBefore w:val="0"/>
        <w:widowControl/>
        <w:kinsoku/>
        <w:wordWrap/>
        <w:overflowPunct/>
        <w:topLinePunct w:val="0"/>
        <w:autoSpaceDE/>
        <w:autoSpaceDN/>
        <w:bidi w:val="0"/>
        <w:adjustRightInd/>
        <w:snapToGrid/>
        <w:ind w:firstLine="420" w:firstLineChars="200"/>
        <w:textAlignment w:val="auto"/>
        <w:rPr>
          <w:b w:val="0"/>
          <w:bCs w:val="0"/>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6.第三方应用类</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eastAsia="宋体"/>
          <w:b w:val="0"/>
          <w:bCs w:val="0"/>
          <w:color w:val="000000" w:themeColor="text1"/>
          <w:sz w:val="21"/>
          <w:szCs w:val="21"/>
          <w:lang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3、</w:t>
      </w:r>
      <w:r>
        <w:rPr>
          <w:rFonts w:hint="eastAsia"/>
          <w:b w:val="0"/>
          <w:bCs w:val="0"/>
          <w:color w:val="000000" w:themeColor="text1"/>
          <w:sz w:val="21"/>
          <w:szCs w:val="21"/>
          <w14:textFill>
            <w14:solidFill>
              <w14:schemeClr w14:val="tx1"/>
            </w14:solidFill>
          </w14:textFill>
        </w:rPr>
        <w:t>投标方渗透测试人员应针对使用不同技术手段发现不同</w:t>
      </w:r>
      <w:r>
        <w:rPr>
          <w:rFonts w:hint="eastAsia"/>
          <w:b w:val="0"/>
          <w:bCs w:val="0"/>
          <w:color w:val="000000" w:themeColor="text1"/>
          <w:sz w:val="21"/>
          <w:szCs w:val="21"/>
          <w:lang w:val="en-US" w:eastAsia="zh-CN"/>
          <w14:textFill>
            <w14:solidFill>
              <w14:schemeClr w14:val="tx1"/>
            </w14:solidFill>
          </w14:textFill>
        </w:rPr>
        <w:t>维度</w:t>
      </w:r>
      <w:r>
        <w:rPr>
          <w:rFonts w:hint="eastAsia"/>
          <w:b w:val="0"/>
          <w:bCs w:val="0"/>
          <w:color w:val="000000" w:themeColor="text1"/>
          <w:sz w:val="21"/>
          <w:szCs w:val="21"/>
          <w14:textFill>
            <w14:solidFill>
              <w14:schemeClr w14:val="tx1"/>
            </w14:solidFill>
          </w14:textFill>
        </w:rPr>
        <w:t>的漏洞，并进行验证，形成记录和报告</w:t>
      </w:r>
      <w:r>
        <w:rPr>
          <w:rFonts w:hint="eastAsia"/>
          <w:b w:val="0"/>
          <w:bCs w:val="0"/>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eastAsia="宋体"/>
          <w:b w:val="0"/>
          <w:bCs w:val="0"/>
          <w:color w:val="000000" w:themeColor="text1"/>
          <w:sz w:val="21"/>
          <w:szCs w:val="21"/>
          <w:lang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4、</w:t>
      </w:r>
      <w:r>
        <w:rPr>
          <w:rFonts w:hint="eastAsia"/>
          <w:b w:val="0"/>
          <w:bCs w:val="0"/>
          <w:color w:val="000000" w:themeColor="text1"/>
          <w:sz w:val="21"/>
          <w:szCs w:val="21"/>
          <w14:textFill>
            <w14:solidFill>
              <w14:schemeClr w14:val="tx1"/>
            </w14:solidFill>
          </w14:textFill>
        </w:rPr>
        <w:t>投标方渗透测试人员应在招标方授权许可的情况下以目标业务系统为跳板进行横向渗透，发掘更深层次的漏洞并展现漏洞被利用后的危害</w:t>
      </w:r>
      <w:r>
        <w:rPr>
          <w:rFonts w:hint="eastAsia"/>
          <w:b w:val="0"/>
          <w:bCs w:val="0"/>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default"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val="en-US" w:eastAsia="zh-CN"/>
          <w14:textFill>
            <w14:solidFill>
              <w14:schemeClr w14:val="tx1"/>
            </w14:solidFill>
          </w14:textFill>
        </w:rPr>
        <w:t>5、</w:t>
      </w:r>
      <w:r>
        <w:rPr>
          <w:rFonts w:hint="eastAsia"/>
          <w:b w:val="0"/>
          <w:bCs w:val="0"/>
          <w:color w:val="000000" w:themeColor="text1"/>
          <w:sz w:val="21"/>
          <w:szCs w:val="21"/>
          <w14:textFill>
            <w14:solidFill>
              <w14:schemeClr w14:val="tx1"/>
            </w14:solidFill>
          </w14:textFill>
        </w:rPr>
        <w:t>投标方应编写渗透测试报告并提交给招标方，报告应该阐明招标方业务系统中存在的安全隐患以及专业的漏洞风险处置建议，完成风险处置</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提交最终处置报告。</w:t>
      </w:r>
    </w:p>
    <w:p>
      <w:pPr>
        <w:rPr>
          <w:b w:val="0"/>
          <w:bCs w:val="0"/>
          <w:color w:val="000000" w:themeColor="text1"/>
          <w:sz w:val="21"/>
          <w:szCs w:val="21"/>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2</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xYjEzMGU4MjIzMjVkMjcxOTgxNTNkNDQ2NjE4YjQifQ=="/>
  </w:docVars>
  <w:rsids>
    <w:rsidRoot w:val="009E7495"/>
    <w:rsid w:val="00003F11"/>
    <w:rsid w:val="000155F9"/>
    <w:rsid w:val="00066CB3"/>
    <w:rsid w:val="00075D80"/>
    <w:rsid w:val="000870EC"/>
    <w:rsid w:val="000907CD"/>
    <w:rsid w:val="000A3EB3"/>
    <w:rsid w:val="000B0310"/>
    <w:rsid w:val="000C33D9"/>
    <w:rsid w:val="000C6471"/>
    <w:rsid w:val="000E04FC"/>
    <w:rsid w:val="000E7FB2"/>
    <w:rsid w:val="000F0DC2"/>
    <w:rsid w:val="000F492B"/>
    <w:rsid w:val="00102339"/>
    <w:rsid w:val="00105EF5"/>
    <w:rsid w:val="0012594B"/>
    <w:rsid w:val="0012690D"/>
    <w:rsid w:val="0014587C"/>
    <w:rsid w:val="00180B53"/>
    <w:rsid w:val="001834D5"/>
    <w:rsid w:val="00184D22"/>
    <w:rsid w:val="00186BA5"/>
    <w:rsid w:val="001A333B"/>
    <w:rsid w:val="001B0E09"/>
    <w:rsid w:val="001B2145"/>
    <w:rsid w:val="001B78D8"/>
    <w:rsid w:val="001C7922"/>
    <w:rsid w:val="001D1423"/>
    <w:rsid w:val="001D24DA"/>
    <w:rsid w:val="001D2639"/>
    <w:rsid w:val="001E0A8A"/>
    <w:rsid w:val="001E33C0"/>
    <w:rsid w:val="001F41A3"/>
    <w:rsid w:val="00200204"/>
    <w:rsid w:val="002015B6"/>
    <w:rsid w:val="002131C5"/>
    <w:rsid w:val="00250463"/>
    <w:rsid w:val="0028526D"/>
    <w:rsid w:val="002A2099"/>
    <w:rsid w:val="002A2F5C"/>
    <w:rsid w:val="002A6A4C"/>
    <w:rsid w:val="002B1F1B"/>
    <w:rsid w:val="002B5FF2"/>
    <w:rsid w:val="002E0F6E"/>
    <w:rsid w:val="002E79C1"/>
    <w:rsid w:val="0030078C"/>
    <w:rsid w:val="00300F23"/>
    <w:rsid w:val="0030497D"/>
    <w:rsid w:val="00332519"/>
    <w:rsid w:val="003903D0"/>
    <w:rsid w:val="003C399C"/>
    <w:rsid w:val="003F18E8"/>
    <w:rsid w:val="00400C6E"/>
    <w:rsid w:val="0040477D"/>
    <w:rsid w:val="00435751"/>
    <w:rsid w:val="00440ABC"/>
    <w:rsid w:val="0044714D"/>
    <w:rsid w:val="00464FBB"/>
    <w:rsid w:val="00485A7F"/>
    <w:rsid w:val="004927DF"/>
    <w:rsid w:val="00492F86"/>
    <w:rsid w:val="004B08ED"/>
    <w:rsid w:val="00544B7C"/>
    <w:rsid w:val="005461BB"/>
    <w:rsid w:val="00595F06"/>
    <w:rsid w:val="00595F9B"/>
    <w:rsid w:val="005C2969"/>
    <w:rsid w:val="005C4C10"/>
    <w:rsid w:val="00602BD0"/>
    <w:rsid w:val="00611AD2"/>
    <w:rsid w:val="006316B8"/>
    <w:rsid w:val="00633D2D"/>
    <w:rsid w:val="006439E2"/>
    <w:rsid w:val="00651AA4"/>
    <w:rsid w:val="00660586"/>
    <w:rsid w:val="00667C13"/>
    <w:rsid w:val="006B6677"/>
    <w:rsid w:val="006E2DC8"/>
    <w:rsid w:val="006E4CAB"/>
    <w:rsid w:val="00702326"/>
    <w:rsid w:val="00715E36"/>
    <w:rsid w:val="0075098B"/>
    <w:rsid w:val="00763BAE"/>
    <w:rsid w:val="0076607C"/>
    <w:rsid w:val="00770374"/>
    <w:rsid w:val="007711CA"/>
    <w:rsid w:val="007951C5"/>
    <w:rsid w:val="007B029E"/>
    <w:rsid w:val="007B18C7"/>
    <w:rsid w:val="007B2A22"/>
    <w:rsid w:val="00803146"/>
    <w:rsid w:val="008038E1"/>
    <w:rsid w:val="0083689B"/>
    <w:rsid w:val="00845FC0"/>
    <w:rsid w:val="00853093"/>
    <w:rsid w:val="00855566"/>
    <w:rsid w:val="008640EA"/>
    <w:rsid w:val="00881B17"/>
    <w:rsid w:val="0088631E"/>
    <w:rsid w:val="008A4706"/>
    <w:rsid w:val="008A4965"/>
    <w:rsid w:val="008B018B"/>
    <w:rsid w:val="008C5219"/>
    <w:rsid w:val="008E2F33"/>
    <w:rsid w:val="008F2FDA"/>
    <w:rsid w:val="0091563F"/>
    <w:rsid w:val="00933B5E"/>
    <w:rsid w:val="0094067F"/>
    <w:rsid w:val="00943838"/>
    <w:rsid w:val="009441B6"/>
    <w:rsid w:val="00962A73"/>
    <w:rsid w:val="0096788C"/>
    <w:rsid w:val="00976ADA"/>
    <w:rsid w:val="009A2068"/>
    <w:rsid w:val="009B318C"/>
    <w:rsid w:val="009C5070"/>
    <w:rsid w:val="009D1B9A"/>
    <w:rsid w:val="009E1461"/>
    <w:rsid w:val="009E7495"/>
    <w:rsid w:val="00A10665"/>
    <w:rsid w:val="00A739BD"/>
    <w:rsid w:val="00A90AF2"/>
    <w:rsid w:val="00A94577"/>
    <w:rsid w:val="00AA4C31"/>
    <w:rsid w:val="00AB2646"/>
    <w:rsid w:val="00AD7A23"/>
    <w:rsid w:val="00AE1C09"/>
    <w:rsid w:val="00AE7055"/>
    <w:rsid w:val="00AF09DD"/>
    <w:rsid w:val="00B1618F"/>
    <w:rsid w:val="00B47AFB"/>
    <w:rsid w:val="00B52B38"/>
    <w:rsid w:val="00B54BF2"/>
    <w:rsid w:val="00B65214"/>
    <w:rsid w:val="00B67E5D"/>
    <w:rsid w:val="00B85CF9"/>
    <w:rsid w:val="00BB0FAC"/>
    <w:rsid w:val="00BC2567"/>
    <w:rsid w:val="00BD6A3E"/>
    <w:rsid w:val="00C159F3"/>
    <w:rsid w:val="00C4519F"/>
    <w:rsid w:val="00C725BD"/>
    <w:rsid w:val="00CB5DE7"/>
    <w:rsid w:val="00CC4A4D"/>
    <w:rsid w:val="00D15435"/>
    <w:rsid w:val="00D50813"/>
    <w:rsid w:val="00D55A65"/>
    <w:rsid w:val="00D672D3"/>
    <w:rsid w:val="00D828E6"/>
    <w:rsid w:val="00DA45A2"/>
    <w:rsid w:val="00DB20D2"/>
    <w:rsid w:val="00DC523A"/>
    <w:rsid w:val="00DD54B6"/>
    <w:rsid w:val="00DD6539"/>
    <w:rsid w:val="00DE50F0"/>
    <w:rsid w:val="00DF1E48"/>
    <w:rsid w:val="00DF3C94"/>
    <w:rsid w:val="00E002C0"/>
    <w:rsid w:val="00E058DC"/>
    <w:rsid w:val="00E10796"/>
    <w:rsid w:val="00E26158"/>
    <w:rsid w:val="00E44FAB"/>
    <w:rsid w:val="00E45B9A"/>
    <w:rsid w:val="00E65489"/>
    <w:rsid w:val="00E745F4"/>
    <w:rsid w:val="00E823F0"/>
    <w:rsid w:val="00EA2DE2"/>
    <w:rsid w:val="00EC2597"/>
    <w:rsid w:val="00EC416A"/>
    <w:rsid w:val="00ED3C3F"/>
    <w:rsid w:val="00EE6393"/>
    <w:rsid w:val="00EF6C08"/>
    <w:rsid w:val="00F00D17"/>
    <w:rsid w:val="00F013F1"/>
    <w:rsid w:val="00F24DBF"/>
    <w:rsid w:val="00F647CF"/>
    <w:rsid w:val="00F75728"/>
    <w:rsid w:val="00F93347"/>
    <w:rsid w:val="00F97D0F"/>
    <w:rsid w:val="00FB12A0"/>
    <w:rsid w:val="00FC4A49"/>
    <w:rsid w:val="00FD0EA0"/>
    <w:rsid w:val="08E02B28"/>
    <w:rsid w:val="3C833A2C"/>
    <w:rsid w:val="43A33944"/>
    <w:rsid w:val="5F0D0843"/>
    <w:rsid w:val="5F2260EA"/>
    <w:rsid w:val="663012BB"/>
    <w:rsid w:val="75FE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link w:val="30"/>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rPr>
  </w:style>
  <w:style w:type="paragraph" w:styleId="3">
    <w:name w:val="heading 3"/>
    <w:basedOn w:val="1"/>
    <w:next w:val="1"/>
    <w:link w:val="33"/>
    <w:unhideWhenUsed/>
    <w:qFormat/>
    <w:uiPriority w:val="0"/>
    <w:pPr>
      <w:keepNext/>
      <w:keepLines/>
      <w:widowControl w:val="0"/>
      <w:spacing w:before="260" w:after="260" w:line="413" w:lineRule="auto"/>
      <w:jc w:val="both"/>
      <w:outlineLvl w:val="2"/>
    </w:pPr>
    <w:rPr>
      <w:rFonts w:asciiTheme="minorHAnsi" w:hAnsiTheme="minorHAnsi" w:eastAsiaTheme="minorEastAsia" w:cstheme="minorBidi"/>
      <w:b/>
      <w:kern w:val="2"/>
      <w:sz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5"/>
    <w:qFormat/>
    <w:uiPriority w:val="0"/>
    <w:pPr>
      <w:shd w:val="clear" w:color="auto" w:fill="000080"/>
    </w:pPr>
  </w:style>
  <w:style w:type="paragraph" w:styleId="5">
    <w:name w:val="annotation text"/>
    <w:basedOn w:val="1"/>
    <w:link w:val="18"/>
    <w:qFormat/>
    <w:uiPriority w:val="99"/>
    <w:rPr>
      <w:rFonts w:ascii="Calibri" w:hAnsi="Calibri" w:eastAsiaTheme="minorEastAsia" w:cstheme="minorBidi"/>
      <w:kern w:val="2"/>
      <w:sz w:val="21"/>
      <w:szCs w:val="22"/>
    </w:rPr>
  </w:style>
  <w:style w:type="paragraph" w:styleId="6">
    <w:name w:val="Balloon Text"/>
    <w:basedOn w:val="1"/>
    <w:link w:val="20"/>
    <w:uiPriority w:val="0"/>
    <w:rPr>
      <w:sz w:val="18"/>
      <w:szCs w:val="18"/>
    </w:rPr>
  </w:style>
  <w:style w:type="paragraph" w:styleId="7">
    <w:name w:val="footer"/>
    <w:basedOn w:val="1"/>
    <w:link w:val="23"/>
    <w:qFormat/>
    <w:uiPriority w:val="0"/>
    <w:pPr>
      <w:tabs>
        <w:tab w:val="center" w:pos="4153"/>
        <w:tab w:val="right" w:pos="8306"/>
      </w:tabs>
      <w:snapToGrid w:val="0"/>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9">
    <w:name w:val="HTML Preformatted"/>
    <w:basedOn w:val="1"/>
    <w:link w:val="3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0">
    <w:name w:val="Normal (Web)"/>
    <w:basedOn w:val="1"/>
    <w:unhideWhenUsed/>
    <w:qFormat/>
    <w:uiPriority w:val="99"/>
    <w:pPr>
      <w:spacing w:before="100" w:beforeAutospacing="1" w:after="100" w:afterAutospacing="1"/>
    </w:pPr>
  </w:style>
  <w:style w:type="paragraph" w:styleId="11">
    <w:name w:val="annotation subject"/>
    <w:basedOn w:val="5"/>
    <w:next w:val="5"/>
    <w:link w:val="16"/>
    <w:qFormat/>
    <w:uiPriority w:val="0"/>
    <w:rPr>
      <w:b/>
      <w:bCs/>
      <w:szCs w:val="24"/>
    </w:rPr>
  </w:style>
  <w:style w:type="character" w:styleId="14">
    <w:name w:val="page number"/>
    <w:basedOn w:val="13"/>
    <w:qFormat/>
    <w:uiPriority w:val="0"/>
  </w:style>
  <w:style w:type="character" w:styleId="15">
    <w:name w:val="annotation reference"/>
    <w:qFormat/>
    <w:uiPriority w:val="99"/>
    <w:rPr>
      <w:sz w:val="21"/>
      <w:szCs w:val="21"/>
    </w:rPr>
  </w:style>
  <w:style w:type="character" w:customStyle="1" w:styleId="16">
    <w:name w:val="批注主题 字符"/>
    <w:link w:val="11"/>
    <w:uiPriority w:val="0"/>
    <w:rPr>
      <w:rFonts w:ascii="Calibri" w:hAnsi="Calibri"/>
      <w:b/>
      <w:bCs/>
      <w:szCs w:val="24"/>
    </w:rPr>
  </w:style>
  <w:style w:type="character" w:customStyle="1" w:styleId="17">
    <w:name w:val="页眉 字符"/>
    <w:link w:val="8"/>
    <w:qFormat/>
    <w:uiPriority w:val="0"/>
    <w:rPr>
      <w:sz w:val="18"/>
      <w:szCs w:val="18"/>
    </w:rPr>
  </w:style>
  <w:style w:type="character" w:customStyle="1" w:styleId="18">
    <w:name w:val="批注文字 字符"/>
    <w:link w:val="5"/>
    <w:qFormat/>
    <w:uiPriority w:val="99"/>
    <w:rPr>
      <w:rFonts w:ascii="Calibri" w:hAnsi="Calibri"/>
    </w:rPr>
  </w:style>
  <w:style w:type="character" w:customStyle="1" w:styleId="19">
    <w:name w:val="15"/>
    <w:qFormat/>
    <w:uiPriority w:val="0"/>
    <w:rPr>
      <w:rFonts w:hint="default" w:ascii="Verdana" w:hAnsi="Verdana"/>
      <w:color w:val="C90000"/>
      <w:sz w:val="18"/>
    </w:rPr>
  </w:style>
  <w:style w:type="character" w:customStyle="1" w:styleId="20">
    <w:name w:val="批注框文本 字符"/>
    <w:basedOn w:val="13"/>
    <w:link w:val="6"/>
    <w:qFormat/>
    <w:uiPriority w:val="0"/>
    <w:rPr>
      <w:rFonts w:ascii="宋体" w:hAnsi="宋体" w:eastAsia="宋体" w:cs="宋体"/>
      <w:kern w:val="0"/>
      <w:sz w:val="18"/>
      <w:szCs w:val="18"/>
    </w:rPr>
  </w:style>
  <w:style w:type="character" w:customStyle="1" w:styleId="21">
    <w:name w:val="页眉 字符1"/>
    <w:basedOn w:val="13"/>
    <w:semiHidden/>
    <w:uiPriority w:val="99"/>
    <w:rPr>
      <w:rFonts w:ascii="宋体" w:hAnsi="宋体" w:eastAsia="宋体" w:cs="宋体"/>
      <w:kern w:val="0"/>
      <w:sz w:val="18"/>
      <w:szCs w:val="18"/>
    </w:rPr>
  </w:style>
  <w:style w:type="character" w:customStyle="1" w:styleId="22">
    <w:name w:val="批注文字 字符1"/>
    <w:basedOn w:val="13"/>
    <w:semiHidden/>
    <w:qFormat/>
    <w:uiPriority w:val="99"/>
    <w:rPr>
      <w:rFonts w:ascii="宋体" w:hAnsi="宋体" w:eastAsia="宋体" w:cs="宋体"/>
      <w:kern w:val="0"/>
      <w:sz w:val="24"/>
      <w:szCs w:val="24"/>
    </w:rPr>
  </w:style>
  <w:style w:type="character" w:customStyle="1" w:styleId="23">
    <w:name w:val="页脚 字符"/>
    <w:basedOn w:val="13"/>
    <w:link w:val="7"/>
    <w:qFormat/>
    <w:uiPriority w:val="0"/>
    <w:rPr>
      <w:rFonts w:ascii="宋体" w:hAnsi="宋体" w:eastAsia="宋体" w:cs="宋体"/>
      <w:kern w:val="0"/>
      <w:sz w:val="18"/>
      <w:szCs w:val="18"/>
    </w:rPr>
  </w:style>
  <w:style w:type="character" w:customStyle="1" w:styleId="24">
    <w:name w:val="批注主题 字符1"/>
    <w:basedOn w:val="22"/>
    <w:semiHidden/>
    <w:qFormat/>
    <w:uiPriority w:val="99"/>
    <w:rPr>
      <w:rFonts w:ascii="宋体" w:hAnsi="宋体" w:eastAsia="宋体" w:cs="宋体"/>
      <w:b/>
      <w:bCs/>
      <w:kern w:val="0"/>
      <w:sz w:val="24"/>
      <w:szCs w:val="24"/>
    </w:rPr>
  </w:style>
  <w:style w:type="character" w:customStyle="1" w:styleId="25">
    <w:name w:val="文档结构图 字符"/>
    <w:basedOn w:val="13"/>
    <w:link w:val="4"/>
    <w:qFormat/>
    <w:uiPriority w:val="0"/>
    <w:rPr>
      <w:rFonts w:ascii="宋体" w:hAnsi="宋体" w:eastAsia="宋体" w:cs="宋体"/>
      <w:kern w:val="0"/>
      <w:sz w:val="24"/>
      <w:szCs w:val="24"/>
      <w:shd w:val="clear" w:color="auto" w:fill="000080"/>
    </w:rPr>
  </w:style>
  <w:style w:type="paragraph" w:customStyle="1" w:styleId="26">
    <w:name w:val="0表格样式"/>
    <w:qFormat/>
    <w:uiPriority w:val="0"/>
    <w:rPr>
      <w:rFonts w:ascii="Calibri" w:hAnsi="Calibri" w:eastAsia="仿宋" w:cs="仿宋_GB2312"/>
      <w:kern w:val="2"/>
      <w:sz w:val="21"/>
      <w:szCs w:val="28"/>
      <w:lang w:val="en-US" w:eastAsia="zh-CN" w:bidi="ar-SA"/>
    </w:rPr>
  </w:style>
  <w:style w:type="paragraph" w:customStyle="1" w:styleId="27">
    <w:name w:val="彩色列表 - 着色 11"/>
    <w:basedOn w:val="1"/>
    <w:qFormat/>
    <w:uiPriority w:val="0"/>
    <w:pPr>
      <w:ind w:firstLine="420" w:firstLineChars="200"/>
    </w:pPr>
    <w:rPr>
      <w:rFonts w:ascii="Cambria" w:hAnsi="Cambria" w:cs="Times New Roman"/>
    </w:rPr>
  </w:style>
  <w:style w:type="paragraph" w:customStyle="1" w:styleId="28">
    <w:name w:val="SANGFOR_6_正文"/>
    <w:basedOn w:val="1"/>
    <w:qFormat/>
    <w:uiPriority w:val="0"/>
    <w:pPr>
      <w:spacing w:line="360" w:lineRule="auto"/>
    </w:pPr>
    <w:rPr>
      <w:szCs w:val="20"/>
    </w:rPr>
  </w:style>
  <w:style w:type="paragraph" w:styleId="29">
    <w:name w:val="List Paragraph"/>
    <w:basedOn w:val="1"/>
    <w:qFormat/>
    <w:uiPriority w:val="34"/>
    <w:pPr>
      <w:ind w:firstLine="420" w:firstLineChars="200"/>
    </w:pPr>
  </w:style>
  <w:style w:type="character" w:customStyle="1" w:styleId="30">
    <w:name w:val="标题 2 字符"/>
    <w:basedOn w:val="13"/>
    <w:link w:val="2"/>
    <w:qFormat/>
    <w:uiPriority w:val="9"/>
    <w:rPr>
      <w:rFonts w:asciiTheme="majorHAnsi" w:hAnsiTheme="majorHAnsi" w:eastAsiaTheme="majorEastAsia" w:cstheme="majorBidi"/>
      <w:b/>
      <w:bCs/>
      <w:sz w:val="32"/>
      <w:szCs w:val="32"/>
    </w:rPr>
  </w:style>
  <w:style w:type="character" w:customStyle="1" w:styleId="31">
    <w:name w:val="HTML 预设格式 字符"/>
    <w:basedOn w:val="13"/>
    <w:link w:val="9"/>
    <w:semiHidden/>
    <w:qFormat/>
    <w:uiPriority w:val="99"/>
    <w:rPr>
      <w:rFonts w:ascii="宋体" w:hAnsi="宋体" w:eastAsia="宋体" w:cs="宋体"/>
      <w:kern w:val="0"/>
      <w:sz w:val="24"/>
      <w:szCs w:val="24"/>
    </w:rPr>
  </w:style>
  <w:style w:type="paragraph" w:customStyle="1" w:styleId="32">
    <w:name w:val="列表段落1"/>
    <w:basedOn w:val="1"/>
    <w:qFormat/>
    <w:uiPriority w:val="34"/>
    <w:pPr>
      <w:widowControl w:val="0"/>
      <w:ind w:firstLine="420" w:firstLineChars="200"/>
      <w:jc w:val="both"/>
    </w:pPr>
    <w:rPr>
      <w:rFonts w:ascii="等线" w:hAnsi="等线" w:eastAsia="等线" w:cs="Times New Roman"/>
      <w:kern w:val="2"/>
      <w:sz w:val="21"/>
      <w:szCs w:val="22"/>
    </w:rPr>
  </w:style>
  <w:style w:type="character" w:customStyle="1" w:styleId="33">
    <w:name w:val="标题 3 字符"/>
    <w:basedOn w:val="13"/>
    <w:link w:val="3"/>
    <w:qFormat/>
    <w:uiPriority w:val="0"/>
    <w:rPr>
      <w:b/>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DoubleOX</Company>
  <Pages>2</Pages>
  <Words>1893</Words>
  <Characters>1934</Characters>
  <Lines>13</Lines>
  <Paragraphs>3</Paragraphs>
  <TotalTime>15</TotalTime>
  <ScaleCrop>false</ScaleCrop>
  <LinksUpToDate>false</LinksUpToDate>
  <CharactersWithSpaces>1944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2023-05-11T02:39:00Z</dcterms:created>
  <dc:creator>Windows 用户</dc:creator>
  <cp:lastModifiedBy>步~</cp:lastModifiedBy>
  <dcterms:modified xsi:type="dcterms:W3CDTF">2023-05-11T07:44:07Z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1CC3E1179E3C4442A355AAD208EDFC63_13</vt:lpwstr>
  </property>
</Properties>
</file>