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"/>
        <w:rPr>
          <w:rFonts w:hint="eastAsia" w:ascii="仿宋" w:hAnsi="仿宋" w:eastAsia="仿宋" w:cs="仿宋"/>
          <w:b/>
          <w:bCs w:val="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spacing w:val="0"/>
          <w:kern w:val="2"/>
          <w:sz w:val="32"/>
          <w:szCs w:val="32"/>
          <w:lang w:val="en-US" w:eastAsia="zh-CN" w:bidi="ar-SA"/>
        </w:rPr>
        <w:t>贵州文化旅游职业学院“数智校对+舆情监测”服务项目</w:t>
      </w:r>
    </w:p>
    <w:tbl>
      <w:tblPr>
        <w:tblStyle w:val="5"/>
        <w:tblpPr w:leftFromText="180" w:rightFromText="180" w:vertAnchor="text" w:horzAnchor="page" w:tblpX="1073" w:tblpY="1127"/>
        <w:tblOverlap w:val="never"/>
        <w:tblW w:w="98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763"/>
        <w:gridCol w:w="6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exac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服务项目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功能</w:t>
            </w:r>
          </w:p>
        </w:tc>
        <w:tc>
          <w:tcPr>
            <w:tcW w:w="66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功能介绍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舆情系统服务</w:t>
            </w:r>
          </w:p>
          <w:p>
            <w:pPr>
              <w:spacing w:line="360" w:lineRule="auto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舆情监测系统</w:t>
            </w:r>
          </w:p>
        </w:tc>
        <w:tc>
          <w:tcPr>
            <w:tcW w:w="66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提供全网舆情信息监测，来源包括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但不限于</w:t>
            </w:r>
            <w:r>
              <w:rPr>
                <w:rFonts w:hint="eastAsia" w:ascii="仿宋" w:hAnsi="仿宋" w:eastAsia="仿宋" w:cs="仿宋"/>
                <w:sz w:val="24"/>
              </w:rPr>
              <w:t>：微博、微信、新闻、网站、论坛、博客、贴吧、电子报刊、客户端、视频网站等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数据回溯期不小于18个月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预警账号</w:t>
            </w:r>
          </w:p>
        </w:tc>
        <w:tc>
          <w:tcPr>
            <w:tcW w:w="66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绑定不少于10个</w:t>
            </w:r>
            <w:r>
              <w:rPr>
                <w:rFonts w:hint="eastAsia" w:ascii="仿宋" w:hAnsi="仿宋" w:eastAsia="仿宋" w:cs="仿宋"/>
                <w:sz w:val="24"/>
              </w:rPr>
              <w:t>邮件、微信、PC弹窗、APP等多渠道预警下发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接收账号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舆情简报</w:t>
            </w:r>
          </w:p>
        </w:tc>
        <w:tc>
          <w:tcPr>
            <w:tcW w:w="66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系统导出月报12期，人工分析舆情简报4期（含半年报、年报）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全网事件分析</w:t>
            </w:r>
          </w:p>
        </w:tc>
        <w:tc>
          <w:tcPr>
            <w:tcW w:w="66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学校发生重大舆请时提供针对学校</w:t>
            </w:r>
            <w:r>
              <w:rPr>
                <w:rFonts w:hint="eastAsia" w:ascii="仿宋" w:hAnsi="仿宋" w:eastAsia="仿宋" w:cs="仿宋"/>
                <w:sz w:val="24"/>
              </w:rPr>
              <w:t>敏感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重大舆情</w:t>
            </w:r>
            <w:r>
              <w:rPr>
                <w:rFonts w:hint="eastAsia" w:ascii="仿宋" w:hAnsi="仿宋" w:eastAsia="仿宋" w:cs="仿宋"/>
                <w:sz w:val="24"/>
              </w:rPr>
              <w:t>事件全网分析报告及研判应对方案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全年关于全国教育行业热点舆情事件报告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定期优化系统舆情监测方案，提升负面舆情预警准确度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文本校对服务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文本校验帐号</w:t>
            </w:r>
          </w:p>
        </w:tc>
        <w:tc>
          <w:tcPr>
            <w:tcW w:w="6655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智能纠错、检测范围覆盖错别字和政治敏感等、支持数据库实时更新、快速的错误纠正学习能力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同时支持系统自定义词库。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网站检查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网站</w:t>
            </w:r>
            <w:r>
              <w:rPr>
                <w:rFonts w:hint="eastAsia" w:ascii="仿宋" w:hAnsi="仿宋" w:eastAsia="仿宋" w:cs="仿宋"/>
                <w:sz w:val="24"/>
              </w:rPr>
              <w:t>内容进行7*24小时全天监测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</w:rPr>
              <w:t>进行自动错敏巡检，精准定位错误，并给出纠错建议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及时微信预警</w:t>
            </w:r>
            <w:r>
              <w:rPr>
                <w:rFonts w:hint="eastAsia" w:ascii="仿宋" w:hAnsi="仿宋" w:eastAsia="仿宋" w:cs="仿宋"/>
                <w:sz w:val="24"/>
              </w:rPr>
              <w:t>。能检测死链（图片，文件，网址等）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无法打开检查、涉黄赌毒等风险的链接检查、快速在网站内容库中进行关键信息的检索等。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  <w:jc w:val="center"/>
        </w:trPr>
        <w:tc>
          <w:tcPr>
            <w:tcW w:w="1421" w:type="dxa"/>
            <w:vAlign w:val="center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新媒体检查</w:t>
            </w:r>
          </w:p>
        </w:tc>
        <w:tc>
          <w:tcPr>
            <w:tcW w:w="17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4"/>
              </w:rPr>
              <w:t>开设的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新媒体账号</w:t>
            </w:r>
            <w:r>
              <w:rPr>
                <w:rFonts w:hint="eastAsia" w:ascii="仿宋" w:hAnsi="仿宋" w:eastAsia="仿宋" w:cs="仿宋"/>
                <w:sz w:val="24"/>
              </w:rPr>
              <w:t>进行7*24小时全天监测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对</w:t>
            </w:r>
            <w:r>
              <w:rPr>
                <w:rFonts w:hint="eastAsia" w:ascii="仿宋" w:hAnsi="仿宋" w:eastAsia="仿宋" w:cs="仿宋"/>
                <w:sz w:val="24"/>
              </w:rPr>
              <w:t>更新、互动、内容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进行</w:t>
            </w:r>
            <w:r>
              <w:rPr>
                <w:rFonts w:hint="eastAsia" w:ascii="仿宋" w:hAnsi="仿宋" w:eastAsia="仿宋" w:cs="仿宋"/>
                <w:sz w:val="24"/>
              </w:rPr>
              <w:t>安全检测，自动统计账号在一个时间周期内是否更新、是否互动，内容中是否包含敏感词、错别字、不规范表述等情况，支持汇总和查看明细，可导出，便于汇报。发现问题及时通过微信、短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信方式通知相关负责人或联系人</w:t>
            </w:r>
          </w:p>
        </w:tc>
      </w:tr>
    </w:tbl>
    <w:p>
      <w:pPr>
        <w:pStyle w:val="2"/>
        <w:jc w:val="right"/>
        <w:rPr>
          <w:rFonts w:hint="default" w:asciiTheme="minorHAnsi" w:hAnsiTheme="minorHAnsi" w:eastAsiaTheme="minorEastAsia" w:cstheme="minorBidi"/>
          <w:b w:val="0"/>
          <w:bCs w:val="0"/>
          <w:spacing w:val="0"/>
          <w:kern w:val="2"/>
          <w:sz w:val="22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iMTdhNzBhN2RmYzZlYzI5M2E5NDA0OWQ3Yjc0YTQifQ=="/>
  </w:docVars>
  <w:rsids>
    <w:rsidRoot w:val="00000000"/>
    <w:rsid w:val="049A6E54"/>
    <w:rsid w:val="0FEC45C0"/>
    <w:rsid w:val="1A8678DD"/>
    <w:rsid w:val="1DCB3712"/>
    <w:rsid w:val="2E9E47DE"/>
    <w:rsid w:val="30544A2C"/>
    <w:rsid w:val="30AF4791"/>
    <w:rsid w:val="34296463"/>
    <w:rsid w:val="353E4427"/>
    <w:rsid w:val="3B842DDF"/>
    <w:rsid w:val="3D515E7F"/>
    <w:rsid w:val="3E85241A"/>
    <w:rsid w:val="487C15C2"/>
    <w:rsid w:val="519D3E2C"/>
    <w:rsid w:val="707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tabs>
        <w:tab w:val="left" w:pos="945"/>
      </w:tabs>
      <w:spacing w:before="240" w:after="60"/>
      <w:ind w:left="945" w:hanging="420"/>
      <w:jc w:val="center"/>
      <w:outlineLvl w:val="0"/>
    </w:pPr>
    <w:rPr>
      <w:rFonts w:ascii="Arial" w:hAnsi="Arial" w:cs="Arial"/>
      <w:b/>
      <w:bCs/>
      <w:spacing w:val="10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81"/>
    <w:basedOn w:val="6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572</Words>
  <Characters>584</Characters>
  <Lines>0</Lines>
  <Paragraphs>0</Paragraphs>
  <TotalTime>6</TotalTime>
  <ScaleCrop>false</ScaleCrop>
  <LinksUpToDate>false</LinksUpToDate>
  <CharactersWithSpaces>585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2023-05-16T08:43:00Z</dcterms:created>
  <dc:creator>lirong</dc:creator>
  <cp:lastModifiedBy>老潘</cp:lastModifiedBy>
  <dcterms:modified xsi:type="dcterms:W3CDTF">2023-05-29T08:06:01Z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55B9C44DAE204A6EA9666E113432B26B_13</vt:lpwstr>
  </property>
</Properties>
</file>