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陵兰云桌面系统升级</w:t>
      </w:r>
    </w:p>
    <w:p>
      <w:pPr>
        <w:jc w:val="center"/>
        <w:rPr>
          <w:rFonts w:hint="eastAsia"/>
          <w:b/>
          <w:bCs/>
          <w:sz w:val="32"/>
          <w:szCs w:val="32"/>
          <w:lang w:val="en-US" w:eastAsia="zh-CN"/>
        </w:rPr>
      </w:pPr>
      <w:bookmarkStart w:id="0" w:name="_GoBack"/>
      <w:bookmarkEnd w:id="0"/>
    </w:p>
    <w:p>
      <w:pPr>
        <w:jc w:val="both"/>
        <w:rPr>
          <w:rFonts w:hint="eastAsia"/>
          <w:b/>
          <w:bCs/>
          <w:sz w:val="24"/>
          <w:szCs w:val="24"/>
          <w:lang w:val="en-US" w:eastAsia="zh-CN"/>
        </w:rPr>
      </w:pPr>
      <w:r>
        <w:rPr>
          <w:rFonts w:hint="eastAsia"/>
          <w:b/>
          <w:bCs/>
          <w:sz w:val="24"/>
          <w:szCs w:val="24"/>
          <w:lang w:val="en-US" w:eastAsia="zh-CN"/>
        </w:rPr>
        <w:t>学院云桌面系统现状</w:t>
      </w:r>
    </w:p>
    <w:p>
      <w:pPr>
        <w:jc w:val="both"/>
        <w:rPr>
          <w:rFonts w:hint="default"/>
          <w:b w:val="0"/>
          <w:bCs w:val="0"/>
          <w:sz w:val="24"/>
          <w:szCs w:val="24"/>
          <w:lang w:val="en-US" w:eastAsia="zh-CN"/>
        </w:rPr>
      </w:pPr>
      <w:r>
        <w:rPr>
          <w:rFonts w:hint="eastAsia"/>
          <w:b w:val="0"/>
          <w:bCs w:val="0"/>
          <w:sz w:val="24"/>
          <w:szCs w:val="24"/>
          <w:lang w:val="en-US" w:eastAsia="zh-CN"/>
        </w:rPr>
        <w:t xml:space="preserve">    学院目前使用的云桌面系统为2019年11月27日采购的格陵兰云桌面系统，可实现功能为“云平台集中部署”、“云智能语音教学”、“听力阅读口语练习”、“口语翻译训练”、“云智能口语考试”、“协作式互助教学”等功能，质保期1年。</w:t>
      </w:r>
    </w:p>
    <w:p>
      <w:pPr>
        <w:jc w:val="both"/>
        <w:rPr>
          <w:rFonts w:hint="eastAsia"/>
          <w:b/>
          <w:bCs/>
          <w:sz w:val="24"/>
          <w:szCs w:val="24"/>
          <w:lang w:val="en-US" w:eastAsia="zh-CN"/>
        </w:rPr>
      </w:pPr>
      <w:r>
        <w:rPr>
          <w:rFonts w:hint="eastAsia"/>
          <w:b/>
          <w:bCs/>
          <w:sz w:val="24"/>
          <w:szCs w:val="24"/>
          <w:lang w:val="en-US" w:eastAsia="zh-CN"/>
        </w:rPr>
        <w:t>学院云桌面系统现存问题</w:t>
      </w:r>
    </w:p>
    <w:p>
      <w:pPr>
        <w:numPr>
          <w:ilvl w:val="0"/>
          <w:numId w:val="1"/>
        </w:numPr>
        <w:ind w:left="960" w:leftChars="0" w:firstLine="0" w:firstLineChars="0"/>
        <w:jc w:val="both"/>
        <w:rPr>
          <w:rFonts w:hint="eastAsia"/>
          <w:b w:val="0"/>
          <w:bCs w:val="0"/>
          <w:sz w:val="24"/>
          <w:szCs w:val="24"/>
          <w:lang w:val="en-US" w:eastAsia="zh-CN"/>
        </w:rPr>
      </w:pPr>
      <w:r>
        <w:rPr>
          <w:rFonts w:hint="eastAsia"/>
          <w:b w:val="0"/>
          <w:bCs w:val="0"/>
          <w:sz w:val="24"/>
          <w:szCs w:val="24"/>
          <w:lang w:val="en-US" w:eastAsia="zh-CN"/>
        </w:rPr>
        <w:t>原有软件平台为GC8120 -V3.0 已经使用近三年时间，部分功能已经无法匹配。</w:t>
      </w:r>
    </w:p>
    <w:p>
      <w:pPr>
        <w:numPr>
          <w:ilvl w:val="0"/>
          <w:numId w:val="1"/>
        </w:numPr>
        <w:ind w:left="960" w:leftChars="0" w:firstLine="0" w:firstLineChars="0"/>
        <w:jc w:val="both"/>
        <w:rPr>
          <w:rFonts w:hint="default"/>
          <w:b w:val="0"/>
          <w:bCs w:val="0"/>
          <w:sz w:val="24"/>
          <w:szCs w:val="24"/>
          <w:lang w:val="en-US" w:eastAsia="zh-CN"/>
        </w:rPr>
      </w:pPr>
      <w:r>
        <w:rPr>
          <w:rFonts w:hint="eastAsia"/>
          <w:b w:val="0"/>
          <w:bCs w:val="0"/>
          <w:sz w:val="24"/>
          <w:szCs w:val="24"/>
          <w:lang w:val="en-US" w:eastAsia="zh-CN"/>
        </w:rPr>
        <w:t>云桌面系统已经过质保期，无厂商维护，目前系统已于服务器断开全部无法使用，教学工作无法正常开展。</w:t>
      </w:r>
    </w:p>
    <w:p>
      <w:pPr>
        <w:numPr>
          <w:ilvl w:val="0"/>
          <w:numId w:val="1"/>
        </w:numPr>
        <w:ind w:left="960" w:leftChars="0" w:firstLine="0" w:firstLineChars="0"/>
        <w:jc w:val="both"/>
        <w:rPr>
          <w:rFonts w:hint="default"/>
          <w:b w:val="0"/>
          <w:bCs w:val="0"/>
          <w:sz w:val="24"/>
          <w:szCs w:val="24"/>
          <w:lang w:val="en-US" w:eastAsia="zh-CN"/>
        </w:rPr>
      </w:pPr>
      <w:r>
        <w:rPr>
          <w:rFonts w:hint="eastAsia"/>
          <w:b w:val="0"/>
          <w:bCs w:val="0"/>
          <w:sz w:val="24"/>
          <w:szCs w:val="24"/>
          <w:lang w:val="en-US" w:eastAsia="zh-CN"/>
        </w:rPr>
        <w:t>新进教师系统培训服务缺失，影响教学进度。</w:t>
      </w:r>
    </w:p>
    <w:p>
      <w:pPr>
        <w:jc w:val="both"/>
        <w:rPr>
          <w:rFonts w:hint="eastAsia"/>
          <w:b/>
          <w:bCs/>
          <w:sz w:val="24"/>
          <w:szCs w:val="24"/>
          <w:lang w:val="en-US" w:eastAsia="zh-CN"/>
        </w:rPr>
      </w:pPr>
      <w:r>
        <w:rPr>
          <w:rFonts w:hint="eastAsia"/>
          <w:b/>
          <w:bCs/>
          <w:sz w:val="24"/>
          <w:szCs w:val="24"/>
          <w:lang w:val="en-US" w:eastAsia="zh-CN"/>
        </w:rPr>
        <w:t>学院云桌面系统现存问题解决方案</w:t>
      </w:r>
    </w:p>
    <w:p>
      <w:pPr>
        <w:jc w:val="both"/>
        <w:rPr>
          <w:rFonts w:hint="eastAsia"/>
          <w:b w:val="0"/>
          <w:bCs w:val="0"/>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现需采购GC8120 -V7.0版本软件对现有系统进行升级服务，以解决功能适配问题，软件购买包含2年期的软件维护、更新以及平台使用培训服务。以解决目前系统问题以及新进教师培训问题。</w:t>
      </w: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pPr>
    </w:p>
    <w:p>
      <w:pPr>
        <w:jc w:val="both"/>
        <w:rPr>
          <w:rFonts w:hint="eastAsia"/>
          <w:b w:val="0"/>
          <w:bCs w:val="0"/>
          <w:sz w:val="24"/>
          <w:szCs w:val="24"/>
          <w:lang w:val="en-US" w:eastAsia="zh-CN"/>
        </w:rPr>
        <w:sectPr>
          <w:pgSz w:w="11906" w:h="16838"/>
          <w:pgMar w:top="1440" w:right="1800" w:bottom="1440" w:left="1800" w:header="851" w:footer="992" w:gutter="0"/>
          <w:cols w:space="425" w:num="1"/>
          <w:docGrid w:type="lines" w:linePitch="312" w:charSpace="0"/>
        </w:sectPr>
      </w:pPr>
    </w:p>
    <w:tbl>
      <w:tblPr>
        <w:tblStyle w:val="2"/>
        <w:tblW w:w="14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7"/>
        <w:gridCol w:w="767"/>
        <w:gridCol w:w="697"/>
        <w:gridCol w:w="750"/>
        <w:gridCol w:w="7745"/>
        <w:gridCol w:w="591"/>
        <w:gridCol w:w="606"/>
        <w:gridCol w:w="995"/>
        <w:gridCol w:w="923"/>
        <w:gridCol w:w="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1486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文旅学院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14860" w:type="dxa"/>
            <w:gridSpan w:val="10"/>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格陵兰云桌面系统升级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7" w:type="dxa"/>
            <w:tcBorders>
              <w:top w:val="single" w:color="000000" w:sz="4" w:space="0"/>
              <w:left w:val="single" w:color="000000" w:sz="4" w:space="0"/>
              <w:bottom w:val="single" w:color="000000" w:sz="4" w:space="0"/>
              <w:right w:val="single" w:color="000000" w:sz="4" w:space="0"/>
            </w:tcBorders>
            <w:shd w:val="clear" w:color="auto" w:fill="99CC00"/>
            <w:vAlign w:val="center"/>
          </w:tcPr>
          <w:p>
            <w:pPr>
              <w:keepNext w:val="0"/>
              <w:keepLines w:val="0"/>
              <w:widowControl/>
              <w:suppressLineNumbers w:val="0"/>
              <w:ind w:left="0" w:leftChars="0" w:firstLine="0" w:firstLineChars="0"/>
              <w:jc w:val="both"/>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序号</w:t>
            </w:r>
          </w:p>
        </w:tc>
        <w:tc>
          <w:tcPr>
            <w:tcW w:w="767" w:type="dxa"/>
            <w:tcBorders>
              <w:top w:val="single" w:color="000000" w:sz="4" w:space="0"/>
              <w:left w:val="single" w:color="000000" w:sz="4" w:space="0"/>
              <w:bottom w:val="single" w:color="000000" w:sz="4" w:space="0"/>
              <w:right w:val="single" w:color="000000" w:sz="4" w:space="0"/>
            </w:tcBorders>
            <w:shd w:val="clear" w:color="auto" w:fill="99CC00"/>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分项名 称</w:t>
            </w:r>
          </w:p>
        </w:tc>
        <w:tc>
          <w:tcPr>
            <w:tcW w:w="697" w:type="dxa"/>
            <w:tcBorders>
              <w:top w:val="single" w:color="000000" w:sz="4" w:space="0"/>
              <w:left w:val="single" w:color="000000" w:sz="4" w:space="0"/>
              <w:bottom w:val="single" w:color="000000" w:sz="4" w:space="0"/>
              <w:right w:val="single" w:color="000000" w:sz="4" w:space="0"/>
            </w:tcBorders>
            <w:shd w:val="clear" w:color="auto" w:fill="99CC00"/>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18"/>
                <w:szCs w:val="18"/>
                <w:u w:val="none"/>
                <w:lang w:val="en-US" w:eastAsia="zh-CN" w:bidi="ar"/>
              </w:rPr>
              <w:t>设备</w:t>
            </w:r>
          </w:p>
          <w:p>
            <w:pPr>
              <w:keepNext w:val="0"/>
              <w:keepLines w:val="0"/>
              <w:widowControl/>
              <w:suppressLineNumbers w:val="0"/>
              <w:ind w:left="0" w:leftChars="0" w:firstLine="0" w:firstLineChars="0"/>
              <w:jc w:val="both"/>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名称</w:t>
            </w:r>
          </w:p>
        </w:tc>
        <w:tc>
          <w:tcPr>
            <w:tcW w:w="750" w:type="dxa"/>
            <w:tcBorders>
              <w:top w:val="single" w:color="000000" w:sz="4" w:space="0"/>
              <w:left w:val="single" w:color="000000" w:sz="4" w:space="0"/>
              <w:bottom w:val="single" w:color="000000" w:sz="4" w:space="0"/>
              <w:right w:val="single" w:color="000000" w:sz="4" w:space="0"/>
            </w:tcBorders>
            <w:shd w:val="clear" w:color="auto" w:fill="99CC00"/>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型号</w:t>
            </w:r>
          </w:p>
        </w:tc>
        <w:tc>
          <w:tcPr>
            <w:tcW w:w="7745" w:type="dxa"/>
            <w:tcBorders>
              <w:top w:val="single" w:color="000000" w:sz="4" w:space="0"/>
              <w:left w:val="single" w:color="000000" w:sz="4" w:space="0"/>
              <w:bottom w:val="single" w:color="000000" w:sz="4" w:space="0"/>
              <w:right w:val="single" w:color="000000" w:sz="4" w:space="0"/>
            </w:tcBorders>
            <w:shd w:val="clear" w:color="auto" w:fill="99CC0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参数说明</w:t>
            </w:r>
          </w:p>
        </w:tc>
        <w:tc>
          <w:tcPr>
            <w:tcW w:w="591" w:type="dxa"/>
            <w:tcBorders>
              <w:top w:val="single" w:color="000000" w:sz="4" w:space="0"/>
              <w:left w:val="single" w:color="000000" w:sz="4" w:space="0"/>
              <w:bottom w:val="single" w:color="000000" w:sz="4" w:space="0"/>
              <w:right w:val="single" w:color="000000" w:sz="4" w:space="0"/>
            </w:tcBorders>
            <w:shd w:val="clear" w:color="auto" w:fill="99CC00"/>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单位</w:t>
            </w:r>
          </w:p>
        </w:tc>
        <w:tc>
          <w:tcPr>
            <w:tcW w:w="606" w:type="dxa"/>
            <w:tcBorders>
              <w:top w:val="single" w:color="000000" w:sz="4" w:space="0"/>
              <w:left w:val="single" w:color="000000" w:sz="4" w:space="0"/>
              <w:bottom w:val="single" w:color="000000" w:sz="4" w:space="0"/>
              <w:right w:val="single" w:color="000000" w:sz="4" w:space="0"/>
            </w:tcBorders>
            <w:shd w:val="clear" w:color="auto" w:fill="99CC00"/>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数量</w:t>
            </w:r>
          </w:p>
        </w:tc>
        <w:tc>
          <w:tcPr>
            <w:tcW w:w="995" w:type="dxa"/>
            <w:tcBorders>
              <w:top w:val="single" w:color="000000" w:sz="4" w:space="0"/>
              <w:left w:val="single" w:color="000000" w:sz="4" w:space="0"/>
              <w:bottom w:val="single" w:color="000000" w:sz="4" w:space="0"/>
              <w:right w:val="single" w:color="000000" w:sz="4" w:space="0"/>
            </w:tcBorders>
            <w:shd w:val="clear" w:color="auto" w:fill="99CC00"/>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综合单价（元）</w:t>
            </w:r>
          </w:p>
        </w:tc>
        <w:tc>
          <w:tcPr>
            <w:tcW w:w="923" w:type="dxa"/>
            <w:tcBorders>
              <w:top w:val="single" w:color="000000" w:sz="4" w:space="0"/>
              <w:left w:val="single" w:color="000000" w:sz="4" w:space="0"/>
              <w:bottom w:val="single" w:color="000000" w:sz="4" w:space="0"/>
              <w:right w:val="single" w:color="000000" w:sz="4" w:space="0"/>
            </w:tcBorders>
            <w:shd w:val="clear" w:color="auto" w:fill="99CC00"/>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综合总价（元）</w:t>
            </w:r>
          </w:p>
        </w:tc>
        <w:tc>
          <w:tcPr>
            <w:tcW w:w="979" w:type="dxa"/>
            <w:tcBorders>
              <w:top w:val="single" w:color="000000" w:sz="4" w:space="0"/>
              <w:left w:val="single" w:color="000000" w:sz="4" w:space="0"/>
              <w:bottom w:val="single" w:color="000000" w:sz="4" w:space="0"/>
              <w:right w:val="single" w:color="000000" w:sz="4" w:space="0"/>
            </w:tcBorders>
            <w:shd w:val="clear" w:color="auto" w:fill="99CC00"/>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9"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软件</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云平台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GC8120  V7.0 </w:t>
            </w:r>
          </w:p>
        </w:tc>
        <w:tc>
          <w:tcPr>
            <w:tcW w:w="7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集中部署：客户机从网络服务器加载镜像，一键安装部署，批量成功。支持在服务器端对认证用户，用户桌面，母盘镜像，物理主机进行统一的管理和维护，更新终端系统；具有自主更新功能，管理员对虚拟系统镜像的变更可先在指定范围内更新，确认无误后再更新到所有终端；</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2.扩容要求：单台服务器可以同时支持64个以上桌面镜像同时使用，系统扩容增加终端数量无需另外购置服务器或增加服务器数量及配置。</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3.备援方案： 两套独立模块构成具备冗余能力的运算系统，平时两套主机模块协同并行工作，当某一套故障，另一套系统可以独立支撑整个教室应急运行，在此模式，所有教学功能正常，能正常完成教学任务。</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4.灵活还原：支持手工还原、开机还原、快照还原等多种还原策略； 快照还原，可以生成指定场景的私有快照； </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5.重运算支持：系统可以支持1080p 视频点播，以及图形图像处理软件(如 photoshop，3Dmax等)的重运算能力；</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6.桌面平移：根据不同的教学场景要求，提供丰富的Windows7/10等教学场景支持，批量安装，快速切换；</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7.远程维护：远程开关机、远程重启、发送指令与消息、自动时间校对、文件分发、修改机器名等； </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8.基于VOI（Virtual OS Infrastructure）架构，充分利用终端硬件计算性能（CPU、GPU、网络），终端能够运用终端本地硬件进行相关的重运算的进行，不需要依托服务器的硬件来进行运算。</w:t>
            </w:r>
            <w:r>
              <w:rPr>
                <w:rFonts w:hint="eastAsia" w:ascii="仿宋" w:hAnsi="仿宋" w:eastAsia="仿宋" w:cs="仿宋"/>
                <w:i w:val="0"/>
                <w:iCs w:val="0"/>
                <w:color w:val="000000"/>
                <w:kern w:val="0"/>
                <w:sz w:val="18"/>
                <w:szCs w:val="18"/>
                <w:u w:val="none"/>
                <w:lang w:val="en-US" w:eastAsia="zh-CN" w:bidi="ar"/>
              </w:rPr>
              <w:br w:type="textWrapping"/>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套</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额外包含二年免费纯软件升级、维护、培训服务。硬件更换额外收费。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9"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云智能语音教学平台</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7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1.多语种操作界面：系统必须具备多语种操作界面，不关闭软件即可切换各种语言界面。</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2.变速不变调播放：区别美式发音和英式发音，支持教师广播音频，学生点播的音频文件进行无级变速不变调播放，语音播放速度范(50%~+200%)调整。（提供原厂商出具的软件功能界面截图材料加盖厂商公章）。</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3.外设音量控制：通过语音教学软件即可进行各类外接设备的音量控制以及管理，不需单独操作。</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4.实名登录：让学生自己选择实名注册，在教师端的操作界面上即可实时显示学生姓名、学号、性别等信息。</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5.电子备课：教师可以调用本地资源库、校园网（包括互联网）及外部设备（包括录像机、影碟机、实物展示台和卡座等）的多媒体资源进行处理，编辑制作成教案或电子试卷，存入本地资源库或校园网资源库。</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6.学生远程监控：教师对学生机进行个别、分组或全体控制，教师可在任意状态下监听和监看学生终端得运行情况和状态。支持文件收集、支持发送文件、支持删除文件、支持运行软件、支持打开网页、支持关闭程序、支持禁止软件。</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7.远程遥控：教师可直接控制、操作学生终端，同时将操作的界面内容广播到其他学生端。</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8.系统支持自带英汉互译词典。</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9.学生状态管理：黑屏警告、锁定键盘鼠标、全体重启、设定教室布局、设定学生名单、打开/保存教师配置文件、学生上机自主学习，提供记费管理，监听学生、监视学生屏幕。</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10.一键切换：一个学生端WINDOWS运行环境母本确认后，一键切换即可生成全班学生需要的操作系统，且生成系统的同时自动更改计算机名、IP地址等个体信息并立即联网运行。配置好一个学生WINDOWS母本后，一键切换，整个网络30秒立即自动更新并正常联网运行。</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11.广播屏幕:软件界面自带多路径广播，可以广播本地资源，还支持广播笔记本、展台、DVD、外接音视频信号通过以太网以数字方式直传到学生位置，无须多媒体中控台，软件自带多路径选择功能。</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12.系统支持学生界面语言设置。（需提供软件界面截图）</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13.系统支持实名登录,系统可监测到全班人数,已登录人数跟名单,未登录人数,支持将本节课登录学生情况导出为EXCEL保存。</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14.系统支持自主录音功能，录音模式支持MIC、MIC+SPK，回放录音支持全体回放，指定回放。（提供原厂商出具的软件功能界面截图材料加盖厂商公章）。</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15.系统支持AB点设置，在听音视频过程中对于疑难的单词或者句子，可以通过设置AB点反复收听。时间节点不受限制，同时配合变速不变调。</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16.人脸识别：系统认证支持人脸识别功能，可采集学生头像进行识别签到，学生头像可显示到教师授课界面中。17.示范：教师可以和学生（一个或多个）对话并同时和学生交互式操作软件，同时这个过程的语音和视频也可以实时示范给全班学生的屏幕和耳麦，被示范的学生有疑问可以电子举手请求发言。</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18.提问：教师可以选择任何一个学生进行课堂的随时提问。</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19.广播教学：支持将教师机的桌面广播给学生机，广播无延时、画面清晰流畅；支持Word、PPT等Office软件，DirectDraw、Direct3D、OpenGL、3DMax、AutoCAD、Flash、DVD光驱等为广播内容；或在线播放视频广播给学生；支持屏幕广播同时进行语音广播。</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20.分组讨论系统：教师可以将学生按每组2～10人分组；小组讨论结束后，可让各小组自听讨论录音，也可让小组间互听讨论录音，教师可任意选择讨论录音，进行示范或讲评。（提供原厂商出具的软件功能界面截图材料加盖厂商公章）。</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21.系统支持监听功能，在学生无任何感知情况下，教师可对任意学生启动监听。</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22.支持创建自主讨论，支持学生自由加入，支持教师可以随时查看讨论组学生成员。学生在选择加入讨论组时，可以先浏览谈论组的成员，加入或者退出都不影响讨论组其他成员讨论。</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23.教师演示：教师演示是通过广播屏幕的形式来实现的；教师演示的画面文字清晰、色彩饱满、鼠标移动轨迹实时；教学中演示软件操作、习题解答、观点论述、重点标注过程等需求，都可以通过教师演示功能完成。（需提供软件界面截图）</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24、转播示范：支持将任意学生的屏幕转播到其他学生的屏幕上；适应于多种教学场景，如PPT演示，软件使用，计算机操作，CAD、CorelDRAW、Photoshop制作等等。</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25、遥控辅导：在教学过程或者自主学习状态下，教师可以选择一个学生进行在线监控辅导，达到手把手教学的效果，搭配个别通话效果更佳。适应于多种教学场景，如PPT演示，软件使用，计算机操作，CAD、CorelDRAW、Photoshop制作等等。</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26、支持答题示范：答题示范是指老师指定某个学生操作教师计算机，并广播给其他学生计算机的过程。在此过程中，学生可以控制操作教师电脑，此学生充当“小教师”，其余同学同时同步收看此学生的操作，搭配提问效果更佳。（需提供软件界面截图）</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27.教师端支持在学生无察觉状态下监看学生屏幕，支持将监看的学生屏幕内容实时广播给全班学生。</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4"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听力阅读口语练习平台</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7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跟读评测：跟读做练习时，跟读的声音与原音在同一界面形成两道波形做对比，可以根据两道波形是否起伏一致或接近，来判断自己口语是否标准。支持回放原音及跟读录音，支持跟读时长、跟读音量、原音音量的设置，在该练习模式下支持与变速不变调功能协同练习。</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2.听写与组句练习：支持添加英文单词文档，软件系统提供单词发音，学生在指定区域拼写，系统支持自动统计正确和错误单词数量；组句练习可以掌握语句的句型，对比在不同语句句型中单词的发音区别。</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3.文本口语练习：口语训练平台可对自行组织的文本进行跟读，从多个角度进行效果评测，系统反应出跟读发音的准确程度，音调、音量的准确程度及跟读的流利程度，系统自带智能识别引擎，练习完成后系统会自动给出总评分成绩。</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4.译文同步显示：在语言学习中如果听到声音的同时，能显示出该音频对应的译文，支持译文对比。</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5.电影配音：支持角色扮演功能，学生作为媒体资源文件中角色的扮演者进行场景对话训练，模拟场景练习； 支持教师端控制是否播放媒体资源的原声。</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6"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口语翻译训练平台</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7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口译教学功能：系统必须具备同声传译、交替传译、视译训练、影子训练功能，满足口译教学的专业化教学要求；可进行同传教学训练，系统必须收听支持四种收听模式（原语、双耳译语、左源右译、原译混合）。教学背景图片可以根据用户的需要更换。</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1.同声传译（Simultaneous interpretation），简称“同传”，又称“同声翻译”、“同步口译”，是指译员在不打断讲话者讲话的情况下，不间断地将内容口译给听众的一种翻译方式，同声传译员通过专用的设备提供即时的翻译，这种方式适用于大型的研讨会和国际会议，通常由两名到三名译员轮换进行。同声传译效率高，能保证演讲或会议的流畅进行。</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2.交替传译（consecutive interpreting）- 口译员坐在会议室里，一面听源语讲话，一面记笔记。当讲者发言结束或停下来等候传译的时候，口译员用清楚、自然的目的语，准确、完整地重新表达源语发言的全部信息内容，就像自己在演讲一样。会议口译中的交替传译要求口译员能够听取长达五至十分钟连续不断的讲话，并运用良好的演讲技巧，完整、准确地译出其全部内容。</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3.视译训练(on-sight interpreting)是指同传译员拿着讲话人的发言稿，边听发言、边看原稿、边进行同声传译。受训人员坐在“箱子”里，能够清晰看到发言人的特写镜头的同时也可以通过显示器看到发言者的文稿。视译时可以用很短时间对原文通读一遍，了解发言人的主要内容并对语言、专业难点做“译前准备”。特点：译员看文本或者视频，听原语，进行同期翻译训练。</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4.影子练习（shadow-exercise），即跟读训练。这种方法就是用同一种语言几乎同步地跟读原语发言人的讲话，它可以训练听说同步技巧和注意力的分配。刚开始训练时可以和原语同步开始，待操练了一阵子后，可以迟于原语片刻至一句话的时间跟读。跟读时耳朵、嘴巴和大脑要一起派上用场，耳朵听、嘴巴说、脑子记。这是需要精神非常集中的一种练习，也是提高语速、提高理解速度、修改语音语调的最好方法。在高语速条件下，边跟读边完全理解语义是有相当难度的，但这种训练能为口译打下扎实的基础。各种新闻、谈话节目、研讨会、音乐体育节目、演讲等都是上好材料。</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云智能口语考试平台</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7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系统支持自主编辑试卷，支持答案、分值、考试时间编辑，其题型支持单选、多选、判断、填空、写作等题型的标准化考试。支持试卷维护功能，可以把现有试卷做为试卷模板供新建试卷使用，支持试卷中的试题导入题库功能，支持从题库中选择试题加入试卷功能。</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考试分析：考试分析可以统计出某一场考试里的，最高分、最低分、平均分；实际人数、及格人数、及格比例、参加比例、应参加人数、缺考人数等；还能对记录最早和最迟交卷的考生；耗时最长和最短的考生做记录。</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3.支持随堂测试跟抢答测试。</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4.口语考试系统：支持大学外语四、六级和专业四、八级考试、国家汉语水平考试（HSK）、国家翻译专业资格（水平）考试（CATTI）及更多其它语言类考试，支持手动录音口语考试。</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5.成绩分析：成绩分析功能可以根据用户的定义的分数段，通过图形方式显示出各个分数段考生的百分比。如60～100分的有几个人，占总人数的百分比是多少。</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4"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6</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协作式互助教学平台</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7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教师演示：教师演示是通过广播屏幕的形式来实现的；教师演示的画面文字清晰、色彩饱满、鼠标移动轨迹实时；教学中演示软件操作、习题解答、观点论述、重点标注过程等需求，都可以通过教师演示功能完成。</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2、转播示范：可以将任意学生的屏幕转播到其他学生的屏幕上，这样可以让一个学生做示范性的演示或讲解。适应于多种教学场景，如PPT演示，软件使用，计算机操作，CAD、CorelDRAW、Photoshop制作等等，尤其是让学生展示自己的作品或电子作业，通过转播示范，学生在自己的座位操作自己的电脑就可以完成展示。</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3、遥控辅导：教师可以随时接管学生的键盘鼠标对学生进行操作辅导，无需走到每个学生的位置去辅导；适应于多种教学场景，如PPT演示，软件使用，计算机操作，CAD、CorelDRAW、Photoshop制作等等。</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4、答题示范：教师可以任意指定一个学生来操作教师计算机进行示范性答题，此学生的答题过程会同步广播到所有学生端。教学中各类软件操作、习题解答等都可以通过答题示范的功能完成。答题示范时被指定的学生只需要在自己座位上操作教师计算机即可，解决了以往演示需要到教师端操作的弊端。答题示范功能操作简单、使用便捷、省时省力、能有效的提高教学质量。</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7"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仿宋" w:hAnsi="仿宋" w:eastAsia="仿宋" w:cs="仿宋"/>
                <w:b/>
                <w:bCs/>
                <w:i w:val="0"/>
                <w:iCs w:val="0"/>
                <w:color w:val="000000"/>
                <w:sz w:val="18"/>
                <w:szCs w:val="18"/>
                <w:u w:val="none"/>
              </w:rPr>
            </w:pPr>
          </w:p>
        </w:tc>
        <w:tc>
          <w:tcPr>
            <w:tcW w:w="9959" w:type="dxa"/>
            <w:gridSpan w:val="4"/>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ind w:firstLine="442" w:firstLineChars="20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费用包括系统设备、系统施工及调试设备、税金等各类费用</w:t>
            </w:r>
          </w:p>
        </w:tc>
        <w:tc>
          <w:tcPr>
            <w:tcW w:w="591"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仿宋" w:hAnsi="仿宋" w:eastAsia="仿宋" w:cs="仿宋"/>
                <w:b/>
                <w:bCs/>
                <w:i w:val="0"/>
                <w:iCs w:val="0"/>
                <w:color w:val="000000"/>
                <w:sz w:val="18"/>
                <w:szCs w:val="18"/>
                <w:u w:val="none"/>
              </w:rPr>
            </w:pPr>
          </w:p>
        </w:tc>
        <w:tc>
          <w:tcPr>
            <w:tcW w:w="606" w:type="dxa"/>
            <w:tcBorders>
              <w:top w:val="single" w:color="000000" w:sz="4" w:space="0"/>
              <w:left w:val="single" w:color="000000" w:sz="4" w:space="0"/>
              <w:bottom w:val="single" w:color="000000" w:sz="4" w:space="0"/>
              <w:right w:val="single" w:color="000000" w:sz="4" w:space="0"/>
            </w:tcBorders>
            <w:shd w:val="clear" w:color="auto" w:fill="FDE9D9"/>
            <w:vAlign w:val="center"/>
          </w:tcPr>
          <w:p>
            <w:pPr>
              <w:jc w:val="center"/>
              <w:rPr>
                <w:rFonts w:hint="eastAsia" w:ascii="仿宋" w:hAnsi="仿宋" w:eastAsia="仿宋" w:cs="仿宋"/>
                <w:b/>
                <w:bCs/>
                <w:i w:val="0"/>
                <w:iCs w:val="0"/>
                <w:color w:val="000000"/>
                <w:sz w:val="18"/>
                <w:szCs w:val="1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w:t>
            </w:r>
          </w:p>
        </w:tc>
        <w:tc>
          <w:tcPr>
            <w:tcW w:w="923"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ind w:left="0" w:leftChars="0" w:firstLine="0" w:firstLineChars="0"/>
              <w:jc w:val="both"/>
              <w:textAlignment w:val="center"/>
              <w:rPr>
                <w:rFonts w:hint="default" w:ascii="仿宋" w:hAnsi="仿宋" w:eastAsia="仿宋" w:cs="仿宋"/>
                <w:b/>
                <w:bCs/>
                <w:i w:val="0"/>
                <w:iCs w:val="0"/>
                <w:color w:val="000000"/>
                <w:sz w:val="18"/>
                <w:szCs w:val="18"/>
                <w:u w:val="none"/>
                <w:lang w:val="en-US"/>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000000"/>
                <w:sz w:val="18"/>
                <w:szCs w:val="18"/>
                <w:u w:val="none"/>
              </w:rPr>
            </w:pPr>
          </w:p>
        </w:tc>
      </w:tr>
    </w:tbl>
    <w:p>
      <w:pPr>
        <w:jc w:val="both"/>
        <w:rPr>
          <w:rFonts w:hint="default"/>
          <w:b w:val="0"/>
          <w:bCs w:val="0"/>
          <w:sz w:val="24"/>
          <w:szCs w:val="24"/>
          <w:lang w:val="en-US" w:eastAsia="zh-CN"/>
        </w:rPr>
      </w:pPr>
    </w:p>
    <w:sectPr>
      <w:pgSz w:w="16838" w:h="11906" w:orient="landscape"/>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1C020"/>
    <w:multiLevelType w:val="singleLevel"/>
    <w:tmpl w:val="05B1C020"/>
    <w:lvl w:ilvl="0" w:tentative="0">
      <w:start w:val="1"/>
      <w:numFmt w:val="decimal"/>
      <w:suff w:val="nothing"/>
      <w:lvlText w:val="%1、"/>
      <w:lvlJc w:val="left"/>
      <w:pPr>
        <w:ind w:left="9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MDExNmIxM2NmMTdhOGJmNmZlZTlhYzcyYTQ3NTIifQ=="/>
  </w:docVars>
  <w:rsids>
    <w:rsidRoot w:val="00000000"/>
    <w:rsid w:val="180A7BA6"/>
    <w:rsid w:val="23DB17F9"/>
    <w:rsid w:val="343D137F"/>
    <w:rsid w:val="4177667B"/>
    <w:rsid w:val="6BDF3ADF"/>
    <w:rsid w:val="6F561395"/>
    <w:rsid w:val="77662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02" w:firstLineChars="200"/>
      <w:jc w:val="left"/>
    </w:pPr>
    <w:rPr>
      <w:rFonts w:asciiTheme="minorAscii" w:hAnsiTheme="minorAscii" w:eastAsiaTheme="minorEastAsia"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5007</Words>
  <Characters>5456</Characters>
  <Lines>0</Lines>
  <Paragraphs>0</Paragraphs>
  <TotalTime>0</TotalTime>
  <ScaleCrop>false</ScaleCrop>
  <LinksUpToDate>false</LinksUpToDate>
  <CharactersWithSpaces>5487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2021-08-05T01:39:00Z</dcterms:created>
  <dc:creator>Administrator</dc:creator>
  <cp:lastModifiedBy>黄丽⊙▽⊙</cp:lastModifiedBy>
  <dcterms:modified xsi:type="dcterms:W3CDTF">2022-04-27T03:35:39Z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1E094C8D0A524AA8827B5031FD54C3A8</vt:lpwstr>
  </property>
</Properties>
</file>