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3B2" w:rsidRPr="001B0008" w:rsidRDefault="00E743B2" w:rsidP="00E743B2">
      <w:pPr>
        <w:jc w:val="center"/>
        <w:rPr>
          <w:rFonts w:ascii="宋体" w:eastAsia="宋体" w:hAnsi="宋体" w:cs="Times New Roman"/>
          <w:sz w:val="44"/>
          <w:szCs w:val="44"/>
        </w:rPr>
      </w:pPr>
      <w:r w:rsidRPr="001B0008">
        <w:rPr>
          <w:rFonts w:ascii="宋体" w:eastAsia="宋体" w:hAnsi="宋体" w:cs="Times New Roman"/>
          <w:sz w:val="44"/>
          <w:szCs w:val="44"/>
        </w:rPr>
        <w:t>应急预案修改说明</w:t>
      </w:r>
    </w:p>
    <w:p w:rsidR="00E743B2" w:rsidRPr="001B0008" w:rsidRDefault="00E743B2" w:rsidP="00464228">
      <w:pPr>
        <w:rPr>
          <w:rFonts w:ascii="宋体" w:eastAsia="宋体" w:hAnsi="宋体" w:cs="Times New Roman"/>
          <w:sz w:val="28"/>
          <w:szCs w:val="28"/>
        </w:rPr>
      </w:pPr>
      <w:r w:rsidRPr="001B0008">
        <w:rPr>
          <w:rFonts w:ascii="宋体" w:eastAsia="宋体" w:hAnsi="宋体" w:cs="Times New Roman"/>
          <w:sz w:val="28"/>
          <w:szCs w:val="28"/>
        </w:rPr>
        <w:t>预案名称：</w:t>
      </w:r>
      <w:r w:rsidR="00354EAA" w:rsidRPr="00354EAA">
        <w:rPr>
          <w:rFonts w:ascii="宋体" w:eastAsia="宋体" w:hAnsi="宋体" w:cs="Times New Roman" w:hint="eastAsia"/>
          <w:sz w:val="28"/>
          <w:szCs w:val="28"/>
        </w:rPr>
        <w:t>天津渤化化工发展有限公司应急预案</w:t>
      </w:r>
      <w:r w:rsidR="00464228" w:rsidRPr="001B0008">
        <w:rPr>
          <w:rFonts w:ascii="宋体" w:eastAsia="宋体" w:hAnsi="宋体" w:cs="Times New Roman"/>
          <w:sz w:val="28"/>
          <w:szCs w:val="28"/>
        </w:rPr>
        <w:t>突发环境事件应急预案</w:t>
      </w:r>
    </w:p>
    <w:tbl>
      <w:tblPr>
        <w:tblW w:w="14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686"/>
        <w:gridCol w:w="850"/>
        <w:gridCol w:w="7513"/>
        <w:gridCol w:w="1635"/>
      </w:tblGrid>
      <w:tr w:rsidR="00E743B2" w:rsidRPr="00D6652B" w:rsidTr="001C4A0B">
        <w:trPr>
          <w:trHeight w:val="452"/>
          <w:tblHeader/>
        </w:trPr>
        <w:tc>
          <w:tcPr>
            <w:tcW w:w="675" w:type="dxa"/>
            <w:shd w:val="clear" w:color="auto" w:fill="auto"/>
            <w:vAlign w:val="center"/>
          </w:tcPr>
          <w:p w:rsidR="00E743B2" w:rsidRPr="001B0008" w:rsidRDefault="00E743B2" w:rsidP="003859DF">
            <w:pPr>
              <w:spacing w:line="400" w:lineRule="exact"/>
              <w:jc w:val="center"/>
              <w:rPr>
                <w:rFonts w:ascii="宋体" w:eastAsia="宋体" w:hAnsi="宋体" w:cs="Times New Roman"/>
                <w:b/>
                <w:sz w:val="28"/>
                <w:szCs w:val="28"/>
              </w:rPr>
            </w:pPr>
            <w:r w:rsidRPr="001B0008">
              <w:rPr>
                <w:rFonts w:ascii="宋体" w:eastAsia="宋体" w:hAnsi="宋体" w:cs="Times New Roman"/>
                <w:b/>
                <w:sz w:val="28"/>
                <w:szCs w:val="28"/>
              </w:rPr>
              <w:t>序号</w:t>
            </w:r>
          </w:p>
        </w:tc>
        <w:tc>
          <w:tcPr>
            <w:tcW w:w="3686" w:type="dxa"/>
            <w:shd w:val="clear" w:color="auto" w:fill="auto"/>
            <w:vAlign w:val="center"/>
          </w:tcPr>
          <w:p w:rsidR="00E743B2" w:rsidRPr="001B0008" w:rsidRDefault="00E743B2" w:rsidP="003859DF">
            <w:pPr>
              <w:jc w:val="center"/>
              <w:rPr>
                <w:rFonts w:ascii="宋体" w:eastAsia="宋体" w:hAnsi="宋体" w:cs="Times New Roman"/>
                <w:b/>
                <w:sz w:val="28"/>
                <w:szCs w:val="28"/>
              </w:rPr>
            </w:pPr>
            <w:r w:rsidRPr="001B0008">
              <w:rPr>
                <w:rFonts w:ascii="宋体" w:eastAsia="宋体" w:hAnsi="宋体" w:cs="Times New Roman"/>
                <w:b/>
                <w:sz w:val="28"/>
                <w:szCs w:val="28"/>
              </w:rPr>
              <w:t>专家意见</w:t>
            </w:r>
          </w:p>
        </w:tc>
        <w:tc>
          <w:tcPr>
            <w:tcW w:w="850" w:type="dxa"/>
            <w:shd w:val="clear" w:color="auto" w:fill="auto"/>
            <w:vAlign w:val="center"/>
          </w:tcPr>
          <w:p w:rsidR="00E743B2" w:rsidRPr="001B0008" w:rsidRDefault="00E743B2" w:rsidP="003859DF">
            <w:pPr>
              <w:spacing w:line="400" w:lineRule="exact"/>
              <w:jc w:val="center"/>
              <w:rPr>
                <w:rFonts w:ascii="宋体" w:eastAsia="宋体" w:hAnsi="宋体" w:cs="Times New Roman"/>
                <w:b/>
                <w:sz w:val="28"/>
                <w:szCs w:val="28"/>
              </w:rPr>
            </w:pPr>
            <w:r w:rsidRPr="001B0008">
              <w:rPr>
                <w:rFonts w:ascii="宋体" w:eastAsia="宋体" w:hAnsi="宋体" w:cs="Times New Roman"/>
                <w:b/>
                <w:sz w:val="28"/>
                <w:szCs w:val="28"/>
              </w:rPr>
              <w:t>是否修改</w:t>
            </w:r>
          </w:p>
        </w:tc>
        <w:tc>
          <w:tcPr>
            <w:tcW w:w="7513" w:type="dxa"/>
            <w:shd w:val="clear" w:color="auto" w:fill="auto"/>
            <w:vAlign w:val="center"/>
          </w:tcPr>
          <w:p w:rsidR="00E743B2" w:rsidRPr="001B0008" w:rsidRDefault="00E743B2" w:rsidP="003859DF">
            <w:pPr>
              <w:jc w:val="center"/>
              <w:rPr>
                <w:rFonts w:ascii="宋体" w:eastAsia="宋体" w:hAnsi="宋体" w:cs="Times New Roman"/>
                <w:b/>
                <w:sz w:val="28"/>
                <w:szCs w:val="28"/>
              </w:rPr>
            </w:pPr>
            <w:r w:rsidRPr="001B0008">
              <w:rPr>
                <w:rFonts w:ascii="宋体" w:eastAsia="宋体" w:hAnsi="宋体" w:cs="Times New Roman"/>
                <w:b/>
                <w:sz w:val="28"/>
                <w:szCs w:val="28"/>
              </w:rPr>
              <w:t>修改内容及页码</w:t>
            </w:r>
          </w:p>
        </w:tc>
        <w:tc>
          <w:tcPr>
            <w:tcW w:w="1635" w:type="dxa"/>
            <w:shd w:val="clear" w:color="auto" w:fill="auto"/>
            <w:vAlign w:val="center"/>
          </w:tcPr>
          <w:p w:rsidR="00E743B2" w:rsidRPr="001B0008" w:rsidRDefault="00E743B2" w:rsidP="003859DF">
            <w:pPr>
              <w:jc w:val="center"/>
              <w:rPr>
                <w:rFonts w:ascii="宋体" w:eastAsia="宋体" w:hAnsi="宋体" w:cs="Times New Roman"/>
                <w:b/>
                <w:sz w:val="28"/>
                <w:szCs w:val="28"/>
              </w:rPr>
            </w:pPr>
            <w:r w:rsidRPr="001B0008">
              <w:rPr>
                <w:rFonts w:ascii="宋体" w:eastAsia="宋体" w:hAnsi="宋体" w:cs="Times New Roman"/>
                <w:b/>
                <w:sz w:val="28"/>
                <w:szCs w:val="28"/>
              </w:rPr>
              <w:t>未修改原因</w:t>
            </w:r>
          </w:p>
        </w:tc>
      </w:tr>
      <w:tr w:rsidR="00E743B2" w:rsidRPr="00D6652B" w:rsidTr="001C4A0B">
        <w:trPr>
          <w:trHeight w:val="759"/>
        </w:trPr>
        <w:tc>
          <w:tcPr>
            <w:tcW w:w="675" w:type="dxa"/>
            <w:shd w:val="clear" w:color="auto" w:fill="auto"/>
            <w:vAlign w:val="center"/>
          </w:tcPr>
          <w:p w:rsidR="00E743B2" w:rsidRPr="001B0008" w:rsidRDefault="00E743B2" w:rsidP="003859DF">
            <w:pPr>
              <w:jc w:val="center"/>
              <w:rPr>
                <w:rFonts w:ascii="Times New Roman" w:eastAsia="仿宋_GB2312" w:hAnsi="Times New Roman" w:cs="Times New Roman"/>
                <w:b/>
                <w:sz w:val="28"/>
                <w:szCs w:val="28"/>
              </w:rPr>
            </w:pPr>
            <w:r w:rsidRPr="001B0008">
              <w:rPr>
                <w:rFonts w:ascii="Times New Roman" w:eastAsia="仿宋_GB2312" w:hAnsi="Times New Roman" w:cs="Times New Roman"/>
                <w:b/>
                <w:sz w:val="28"/>
                <w:szCs w:val="28"/>
              </w:rPr>
              <w:t>1</w:t>
            </w:r>
          </w:p>
        </w:tc>
        <w:tc>
          <w:tcPr>
            <w:tcW w:w="3686" w:type="dxa"/>
            <w:shd w:val="clear" w:color="auto" w:fill="auto"/>
            <w:vAlign w:val="center"/>
          </w:tcPr>
          <w:p w:rsidR="00E743B2" w:rsidRPr="00586639" w:rsidRDefault="001C4A0B" w:rsidP="00BD29EC">
            <w:pPr>
              <w:jc w:val="center"/>
              <w:rPr>
                <w:rFonts w:ascii="Times New Roman" w:eastAsia="宋体" w:hAnsi="宋体" w:cs="Times New Roman"/>
                <w:sz w:val="24"/>
                <w:szCs w:val="20"/>
              </w:rPr>
            </w:pPr>
            <w:r w:rsidRPr="001C4A0B">
              <w:rPr>
                <w:rFonts w:ascii="Times New Roman" w:eastAsia="宋体" w:hAnsi="宋体" w:cs="Times New Roman" w:hint="eastAsia"/>
                <w:sz w:val="24"/>
                <w:szCs w:val="20"/>
              </w:rPr>
              <w:t>完善厂区主要原辅料用量、污染物排放及排放标准、大气及水环境风险受体相关内容介绍。</w:t>
            </w:r>
          </w:p>
        </w:tc>
        <w:tc>
          <w:tcPr>
            <w:tcW w:w="850" w:type="dxa"/>
            <w:shd w:val="clear" w:color="auto" w:fill="auto"/>
            <w:vAlign w:val="center"/>
          </w:tcPr>
          <w:p w:rsidR="00E743B2" w:rsidRPr="001B0008" w:rsidRDefault="003311EB" w:rsidP="00BD29EC">
            <w:pPr>
              <w:jc w:val="center"/>
              <w:rPr>
                <w:rFonts w:ascii="宋体" w:eastAsia="宋体" w:hAnsi="宋体" w:cs="Times New Roman"/>
                <w:sz w:val="24"/>
                <w:szCs w:val="24"/>
              </w:rPr>
            </w:pPr>
            <w:r w:rsidRPr="001B0008">
              <w:rPr>
                <w:rFonts w:ascii="宋体" w:eastAsia="宋体" w:hAnsi="宋体" w:cs="Times New Roman"/>
                <w:sz w:val="24"/>
                <w:szCs w:val="24"/>
              </w:rPr>
              <w:t>是</w:t>
            </w:r>
          </w:p>
        </w:tc>
        <w:tc>
          <w:tcPr>
            <w:tcW w:w="7513" w:type="dxa"/>
            <w:shd w:val="clear" w:color="auto" w:fill="auto"/>
            <w:vAlign w:val="center"/>
          </w:tcPr>
          <w:p w:rsidR="00E743B2" w:rsidRPr="001B0008" w:rsidRDefault="00586639" w:rsidP="00546DC0">
            <w:pPr>
              <w:jc w:val="center"/>
              <w:rPr>
                <w:rFonts w:ascii="宋体" w:eastAsia="宋体" w:hAnsi="宋体" w:cs="Times New Roman"/>
                <w:sz w:val="24"/>
                <w:szCs w:val="24"/>
              </w:rPr>
            </w:pPr>
            <w:r w:rsidRPr="00586639">
              <w:rPr>
                <w:rFonts w:ascii="Times New Roman" w:eastAsia="宋体" w:hAnsi="宋体" w:cs="Times New Roman" w:hint="eastAsia"/>
                <w:sz w:val="24"/>
                <w:szCs w:val="20"/>
              </w:rPr>
              <w:t>环境风险评估报告</w:t>
            </w:r>
            <w:r w:rsidR="00546DC0">
              <w:rPr>
                <w:rFonts w:ascii="Times New Roman" w:eastAsia="宋体" w:hAnsi="宋体" w:cs="Times New Roman" w:hint="eastAsia"/>
                <w:sz w:val="24"/>
                <w:szCs w:val="20"/>
              </w:rPr>
              <w:t>P18-20</w:t>
            </w:r>
            <w:r w:rsidR="00546DC0">
              <w:rPr>
                <w:rFonts w:ascii="Times New Roman" w:eastAsia="宋体" w:hAnsi="宋体" w:cs="Times New Roman" w:hint="eastAsia"/>
                <w:sz w:val="24"/>
                <w:szCs w:val="20"/>
              </w:rPr>
              <w:t>补充各装置区、质检中心主要原辅料消耗情况；</w:t>
            </w:r>
            <w:r w:rsidR="00546DC0">
              <w:rPr>
                <w:rFonts w:ascii="Times New Roman" w:eastAsia="宋体" w:hAnsi="宋体" w:cs="Times New Roman" w:hint="eastAsia"/>
                <w:sz w:val="24"/>
                <w:szCs w:val="20"/>
              </w:rPr>
              <w:t>P100-113</w:t>
            </w:r>
            <w:r w:rsidR="00546DC0">
              <w:rPr>
                <w:rFonts w:ascii="Times New Roman" w:eastAsia="宋体" w:hAnsi="宋体" w:cs="Times New Roman" w:hint="eastAsia"/>
                <w:sz w:val="24"/>
                <w:szCs w:val="20"/>
              </w:rPr>
              <w:t>完善了废气、废水及固废污染物排放及排放标准；</w:t>
            </w:r>
            <w:r w:rsidR="00546DC0">
              <w:rPr>
                <w:rFonts w:ascii="Times New Roman" w:eastAsia="宋体" w:hAnsi="宋体" w:cs="Times New Roman" w:hint="eastAsia"/>
                <w:sz w:val="24"/>
                <w:szCs w:val="20"/>
              </w:rPr>
              <w:t>P14-17</w:t>
            </w:r>
            <w:r w:rsidR="00546DC0">
              <w:rPr>
                <w:rFonts w:ascii="Times New Roman" w:eastAsia="宋体" w:hAnsi="宋体" w:cs="Times New Roman" w:hint="eastAsia"/>
                <w:sz w:val="24"/>
                <w:szCs w:val="20"/>
              </w:rPr>
              <w:t>完善了大气、水环境风险受体，核实了大气风险受体及人员，补充了水环境风险受体景观河、</w:t>
            </w:r>
            <w:r w:rsidR="00546DC0">
              <w:rPr>
                <w:sz w:val="24"/>
                <w:szCs w:val="24"/>
              </w:rPr>
              <w:t>红旗路南侧河道</w:t>
            </w:r>
            <w:r w:rsidR="00546DC0">
              <w:rPr>
                <w:rFonts w:hint="eastAsia"/>
                <w:sz w:val="24"/>
                <w:szCs w:val="24"/>
              </w:rPr>
              <w:t>、</w:t>
            </w:r>
            <w:r w:rsidR="00546DC0">
              <w:rPr>
                <w:sz w:val="24"/>
                <w:szCs w:val="24"/>
              </w:rPr>
              <w:t>海滨大道东侧河道</w:t>
            </w:r>
            <w:r w:rsidR="00546DC0">
              <w:rPr>
                <w:rFonts w:ascii="Times New Roman" w:eastAsia="宋体" w:hAnsi="宋体" w:cs="Times New Roman" w:hint="eastAsia"/>
                <w:sz w:val="24"/>
                <w:szCs w:val="20"/>
              </w:rPr>
              <w:t>。</w:t>
            </w:r>
          </w:p>
        </w:tc>
        <w:tc>
          <w:tcPr>
            <w:tcW w:w="1635" w:type="dxa"/>
            <w:shd w:val="clear" w:color="auto" w:fill="auto"/>
            <w:vAlign w:val="center"/>
          </w:tcPr>
          <w:p w:rsidR="00E743B2" w:rsidRPr="00D6652B" w:rsidRDefault="001C4A0B" w:rsidP="003859DF">
            <w:pPr>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p>
        </w:tc>
      </w:tr>
      <w:tr w:rsidR="00E743B2" w:rsidRPr="00D6652B" w:rsidTr="001C4A0B">
        <w:trPr>
          <w:trHeight w:val="754"/>
        </w:trPr>
        <w:tc>
          <w:tcPr>
            <w:tcW w:w="675" w:type="dxa"/>
            <w:shd w:val="clear" w:color="auto" w:fill="auto"/>
            <w:vAlign w:val="center"/>
          </w:tcPr>
          <w:p w:rsidR="00E743B2" w:rsidRPr="001B0008" w:rsidRDefault="00E743B2" w:rsidP="003859DF">
            <w:pPr>
              <w:jc w:val="center"/>
              <w:rPr>
                <w:rFonts w:ascii="Times New Roman" w:eastAsia="仿宋_GB2312" w:hAnsi="Times New Roman" w:cs="Times New Roman"/>
                <w:b/>
                <w:sz w:val="28"/>
                <w:szCs w:val="28"/>
              </w:rPr>
            </w:pPr>
            <w:r w:rsidRPr="001B0008">
              <w:rPr>
                <w:rFonts w:ascii="Times New Roman" w:eastAsia="仿宋_GB2312" w:hAnsi="Times New Roman" w:cs="Times New Roman"/>
                <w:b/>
                <w:sz w:val="28"/>
                <w:szCs w:val="28"/>
              </w:rPr>
              <w:t>2</w:t>
            </w:r>
          </w:p>
        </w:tc>
        <w:tc>
          <w:tcPr>
            <w:tcW w:w="3686" w:type="dxa"/>
            <w:shd w:val="clear" w:color="auto" w:fill="auto"/>
            <w:vAlign w:val="center"/>
          </w:tcPr>
          <w:p w:rsidR="00E743B2" w:rsidRPr="00586639" w:rsidRDefault="001C4A0B" w:rsidP="00F638E5">
            <w:pPr>
              <w:jc w:val="center"/>
              <w:rPr>
                <w:rFonts w:ascii="Times New Roman" w:eastAsia="宋体" w:hAnsi="宋体" w:cs="Times New Roman"/>
                <w:sz w:val="24"/>
                <w:szCs w:val="20"/>
              </w:rPr>
            </w:pPr>
            <w:r w:rsidRPr="001C4A0B">
              <w:rPr>
                <w:rFonts w:ascii="Times New Roman" w:eastAsia="宋体" w:hAnsi="宋体" w:cs="Times New Roman" w:hint="eastAsia"/>
                <w:sz w:val="24"/>
                <w:szCs w:val="20"/>
              </w:rPr>
              <w:t>完善环境风险评估内容，细化环境风险识别，充实大气、水环境污染事件环境防控与应急措施。</w:t>
            </w:r>
          </w:p>
        </w:tc>
        <w:tc>
          <w:tcPr>
            <w:tcW w:w="850" w:type="dxa"/>
            <w:shd w:val="clear" w:color="auto" w:fill="auto"/>
            <w:vAlign w:val="center"/>
          </w:tcPr>
          <w:p w:rsidR="00E743B2" w:rsidRPr="001B0008" w:rsidRDefault="00A26E78" w:rsidP="00BD29EC">
            <w:pPr>
              <w:jc w:val="center"/>
              <w:rPr>
                <w:rFonts w:ascii="宋体" w:eastAsia="宋体" w:hAnsi="宋体" w:cs="Times New Roman"/>
                <w:sz w:val="24"/>
                <w:szCs w:val="24"/>
              </w:rPr>
            </w:pPr>
            <w:r w:rsidRPr="001B0008">
              <w:rPr>
                <w:rFonts w:ascii="宋体" w:eastAsia="宋体" w:hAnsi="宋体" w:cs="Times New Roman"/>
                <w:sz w:val="24"/>
                <w:szCs w:val="24"/>
              </w:rPr>
              <w:t>是</w:t>
            </w:r>
          </w:p>
        </w:tc>
        <w:tc>
          <w:tcPr>
            <w:tcW w:w="7513" w:type="dxa"/>
            <w:shd w:val="clear" w:color="auto" w:fill="auto"/>
            <w:vAlign w:val="center"/>
          </w:tcPr>
          <w:p w:rsidR="00AD126E" w:rsidRPr="001B0008" w:rsidRDefault="00546DC0" w:rsidP="00183169">
            <w:pPr>
              <w:jc w:val="center"/>
              <w:rPr>
                <w:rFonts w:ascii="宋体" w:eastAsia="宋体" w:hAnsi="宋体" w:cs="Times New Roman"/>
                <w:sz w:val="24"/>
                <w:szCs w:val="24"/>
              </w:rPr>
            </w:pPr>
            <w:r w:rsidRPr="00586639">
              <w:rPr>
                <w:rFonts w:ascii="Times New Roman" w:eastAsia="宋体" w:hAnsi="宋体" w:cs="Times New Roman" w:hint="eastAsia"/>
                <w:sz w:val="24"/>
                <w:szCs w:val="20"/>
              </w:rPr>
              <w:t>环境风险评估报告</w:t>
            </w:r>
            <w:r>
              <w:rPr>
                <w:rFonts w:ascii="Times New Roman" w:eastAsia="宋体" w:hAnsi="宋体" w:cs="Times New Roman" w:hint="eastAsia"/>
                <w:sz w:val="24"/>
                <w:szCs w:val="20"/>
              </w:rPr>
              <w:t>P115</w:t>
            </w:r>
            <w:r>
              <w:rPr>
                <w:rFonts w:ascii="Times New Roman" w:eastAsia="宋体" w:hAnsi="宋体" w:cs="Times New Roman" w:hint="eastAsia"/>
                <w:sz w:val="24"/>
                <w:szCs w:val="20"/>
              </w:rPr>
              <w:t>细化了风险识别，补充识别了质检中心涉及的风险物质及风险单元，具体见表</w:t>
            </w:r>
            <w:r>
              <w:rPr>
                <w:rFonts w:ascii="Times New Roman" w:eastAsia="宋体" w:hAnsi="宋体" w:cs="Times New Roman" w:hint="eastAsia"/>
                <w:sz w:val="24"/>
                <w:szCs w:val="20"/>
              </w:rPr>
              <w:t>3.4-1</w:t>
            </w:r>
            <w:r>
              <w:rPr>
                <w:rFonts w:ascii="Times New Roman" w:eastAsia="宋体" w:hAnsi="宋体" w:cs="Times New Roman" w:hint="eastAsia"/>
                <w:sz w:val="24"/>
                <w:szCs w:val="20"/>
              </w:rPr>
              <w:t>，</w:t>
            </w:r>
            <w:r>
              <w:rPr>
                <w:rFonts w:ascii="Times New Roman" w:eastAsia="宋体" w:hAnsi="宋体" w:cs="Times New Roman" w:hint="eastAsia"/>
                <w:sz w:val="24"/>
                <w:szCs w:val="20"/>
              </w:rPr>
              <w:t>3.4-9</w:t>
            </w:r>
            <w:r>
              <w:rPr>
                <w:rFonts w:ascii="Times New Roman" w:eastAsia="宋体" w:hAnsi="宋体" w:cs="Times New Roman" w:hint="eastAsia"/>
                <w:sz w:val="24"/>
                <w:szCs w:val="20"/>
              </w:rPr>
              <w:t>。</w:t>
            </w:r>
            <w:r>
              <w:rPr>
                <w:rFonts w:ascii="Times New Roman" w:eastAsia="宋体" w:hAnsi="宋体" w:cs="Times New Roman" w:hint="eastAsia"/>
                <w:sz w:val="24"/>
                <w:szCs w:val="20"/>
              </w:rPr>
              <w:t>P273-318</w:t>
            </w:r>
            <w:r>
              <w:rPr>
                <w:rFonts w:ascii="Times New Roman" w:eastAsia="宋体" w:hAnsi="宋体" w:cs="Times New Roman" w:hint="eastAsia"/>
                <w:sz w:val="24"/>
                <w:szCs w:val="20"/>
              </w:rPr>
              <w:t>小节</w:t>
            </w:r>
            <w:r>
              <w:rPr>
                <w:rFonts w:ascii="Times New Roman" w:eastAsia="宋体" w:hAnsi="宋体" w:cs="Times New Roman" w:hint="eastAsia"/>
                <w:sz w:val="24"/>
                <w:szCs w:val="20"/>
              </w:rPr>
              <w:t>4.5</w:t>
            </w:r>
            <w:r>
              <w:rPr>
                <w:rFonts w:ascii="Times New Roman" w:eastAsia="宋体" w:hAnsi="宋体" w:cs="Times New Roman" w:hint="eastAsia"/>
                <w:sz w:val="24"/>
                <w:szCs w:val="20"/>
              </w:rPr>
              <w:t>对各装置区、专用罐区、公用工程及其他发生事故后</w:t>
            </w:r>
            <w:r w:rsidRPr="001C4A0B">
              <w:rPr>
                <w:rFonts w:ascii="Times New Roman" w:eastAsia="宋体" w:hAnsi="宋体" w:cs="Times New Roman" w:hint="eastAsia"/>
                <w:sz w:val="24"/>
                <w:szCs w:val="20"/>
              </w:rPr>
              <w:t>大气、水环境污染事件环境防控与应急措施</w:t>
            </w:r>
            <w:r>
              <w:rPr>
                <w:rFonts w:ascii="Times New Roman" w:eastAsia="宋体" w:hAnsi="宋体" w:cs="Times New Roman" w:hint="eastAsia"/>
                <w:sz w:val="24"/>
                <w:szCs w:val="20"/>
              </w:rPr>
              <w:t>进行了完善。</w:t>
            </w:r>
          </w:p>
        </w:tc>
        <w:tc>
          <w:tcPr>
            <w:tcW w:w="1635" w:type="dxa"/>
            <w:shd w:val="clear" w:color="auto" w:fill="auto"/>
            <w:vAlign w:val="center"/>
          </w:tcPr>
          <w:p w:rsidR="00E743B2" w:rsidRPr="00D6652B" w:rsidRDefault="001C4A0B" w:rsidP="003859DF">
            <w:pPr>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p>
        </w:tc>
      </w:tr>
      <w:tr w:rsidR="00E743B2" w:rsidRPr="00D6652B" w:rsidTr="001C4A0B">
        <w:trPr>
          <w:trHeight w:val="779"/>
        </w:trPr>
        <w:tc>
          <w:tcPr>
            <w:tcW w:w="675" w:type="dxa"/>
            <w:shd w:val="clear" w:color="auto" w:fill="auto"/>
            <w:vAlign w:val="center"/>
          </w:tcPr>
          <w:p w:rsidR="00E743B2" w:rsidRPr="001B0008" w:rsidRDefault="00E743B2" w:rsidP="003859DF">
            <w:pPr>
              <w:jc w:val="center"/>
              <w:rPr>
                <w:rFonts w:ascii="Times New Roman" w:eastAsia="仿宋_GB2312" w:hAnsi="Times New Roman" w:cs="Times New Roman"/>
                <w:b/>
                <w:sz w:val="28"/>
                <w:szCs w:val="28"/>
              </w:rPr>
            </w:pPr>
            <w:r w:rsidRPr="001B0008">
              <w:rPr>
                <w:rFonts w:ascii="Times New Roman" w:eastAsia="仿宋_GB2312" w:hAnsi="Times New Roman" w:cs="Times New Roman"/>
                <w:b/>
                <w:sz w:val="28"/>
                <w:szCs w:val="28"/>
              </w:rPr>
              <w:t>3</w:t>
            </w:r>
          </w:p>
        </w:tc>
        <w:tc>
          <w:tcPr>
            <w:tcW w:w="3686" w:type="dxa"/>
            <w:shd w:val="clear" w:color="auto" w:fill="auto"/>
            <w:vAlign w:val="center"/>
          </w:tcPr>
          <w:p w:rsidR="00E743B2" w:rsidRPr="00586639" w:rsidRDefault="001C4A0B" w:rsidP="00BD29EC">
            <w:pPr>
              <w:jc w:val="center"/>
              <w:rPr>
                <w:rFonts w:ascii="Times New Roman" w:eastAsia="宋体" w:hAnsi="宋体" w:cs="Times New Roman"/>
                <w:sz w:val="24"/>
                <w:szCs w:val="20"/>
              </w:rPr>
            </w:pPr>
            <w:r w:rsidRPr="001C4A0B">
              <w:rPr>
                <w:rFonts w:ascii="Times New Roman" w:eastAsia="宋体" w:hAnsi="宋体" w:cs="Times New Roman" w:hint="eastAsia"/>
                <w:sz w:val="24"/>
                <w:szCs w:val="20"/>
              </w:rPr>
              <w:t>完善事故状态下事故废水应急收集、暂存及处理措施，补充厂区三级防控简图，补充南港工业区三级防控措施介绍。</w:t>
            </w:r>
          </w:p>
        </w:tc>
        <w:tc>
          <w:tcPr>
            <w:tcW w:w="850" w:type="dxa"/>
            <w:shd w:val="clear" w:color="auto" w:fill="auto"/>
            <w:vAlign w:val="center"/>
          </w:tcPr>
          <w:p w:rsidR="00E743B2" w:rsidRPr="001B0008" w:rsidRDefault="00350806" w:rsidP="00BD29EC">
            <w:pPr>
              <w:jc w:val="center"/>
              <w:rPr>
                <w:rFonts w:ascii="宋体" w:eastAsia="宋体" w:hAnsi="宋体" w:cs="Times New Roman"/>
                <w:sz w:val="24"/>
                <w:szCs w:val="24"/>
              </w:rPr>
            </w:pPr>
            <w:r w:rsidRPr="001B0008">
              <w:rPr>
                <w:rFonts w:ascii="宋体" w:eastAsia="宋体" w:hAnsi="宋体" w:cs="Times New Roman"/>
                <w:sz w:val="24"/>
                <w:szCs w:val="24"/>
              </w:rPr>
              <w:t>是</w:t>
            </w:r>
          </w:p>
        </w:tc>
        <w:tc>
          <w:tcPr>
            <w:tcW w:w="7513" w:type="dxa"/>
            <w:shd w:val="clear" w:color="auto" w:fill="auto"/>
            <w:vAlign w:val="center"/>
          </w:tcPr>
          <w:p w:rsidR="00E743B2" w:rsidRPr="00366A6C" w:rsidRDefault="00366A6C" w:rsidP="00D5170B">
            <w:pPr>
              <w:pStyle w:val="4"/>
              <w:numPr>
                <w:ilvl w:val="0"/>
                <w:numId w:val="0"/>
              </w:numPr>
              <w:spacing w:line="240" w:lineRule="auto"/>
              <w:jc w:val="center"/>
              <w:rPr>
                <w:rFonts w:ascii="Times New Roman" w:eastAsia="宋体" w:hAnsi="宋体"/>
                <w:bCs w:val="0"/>
                <w:sz w:val="24"/>
                <w:szCs w:val="20"/>
              </w:rPr>
            </w:pPr>
            <w:r w:rsidRPr="00366A6C">
              <w:rPr>
                <w:rFonts w:ascii="Times New Roman" w:eastAsia="宋体" w:hAnsi="宋体" w:hint="eastAsia"/>
                <w:bCs w:val="0"/>
                <w:sz w:val="24"/>
                <w:szCs w:val="20"/>
              </w:rPr>
              <w:t>环境风险评估报告中</w:t>
            </w:r>
            <w:r w:rsidR="00546DC0">
              <w:rPr>
                <w:rFonts w:ascii="Times New Roman" w:eastAsia="宋体" w:hAnsi="宋体" w:hint="eastAsia"/>
                <w:bCs w:val="0"/>
                <w:sz w:val="24"/>
                <w:szCs w:val="20"/>
              </w:rPr>
              <w:t>P260-271</w:t>
            </w:r>
            <w:r w:rsidR="00546DC0" w:rsidRPr="001C4A0B">
              <w:rPr>
                <w:rFonts w:ascii="Times New Roman" w:eastAsia="宋体" w:hAnsi="宋体" w:hint="eastAsia"/>
                <w:sz w:val="24"/>
                <w:szCs w:val="20"/>
              </w:rPr>
              <w:t>完善事故状态下事故废水应急收集、暂存及处理措施</w:t>
            </w:r>
            <w:r w:rsidR="00D5170B">
              <w:rPr>
                <w:rFonts w:ascii="Times New Roman" w:eastAsia="宋体" w:hAnsi="宋体" w:hint="eastAsia"/>
                <w:sz w:val="24"/>
                <w:szCs w:val="20"/>
              </w:rPr>
              <w:t>，重新核算事故废水量，核算现有事故应急暂存能力，根据核算结果厂区</w:t>
            </w:r>
            <w:r w:rsidR="00D5170B" w:rsidRPr="00D5170B">
              <w:rPr>
                <w:rFonts w:ascii="Times New Roman" w:eastAsia="宋体" w:hAnsi="宋体" w:hint="eastAsia"/>
                <w:sz w:val="24"/>
                <w:szCs w:val="20"/>
              </w:rPr>
              <w:t>事故废水暂存能力能够满足事故状态下事故废水收集要求</w:t>
            </w:r>
            <w:r w:rsidR="00D5170B">
              <w:rPr>
                <w:rFonts w:ascii="Times New Roman" w:eastAsia="宋体" w:hAnsi="宋体" w:hint="eastAsia"/>
                <w:sz w:val="24"/>
                <w:szCs w:val="20"/>
              </w:rPr>
              <w:t>；</w:t>
            </w:r>
            <w:r w:rsidR="00D5170B">
              <w:rPr>
                <w:rFonts w:ascii="Times New Roman" w:eastAsia="宋体" w:hAnsi="宋体" w:hint="eastAsia"/>
                <w:bCs w:val="0"/>
                <w:sz w:val="24"/>
                <w:szCs w:val="20"/>
              </w:rPr>
              <w:t>P27</w:t>
            </w:r>
            <w:r w:rsidR="00D5170B">
              <w:rPr>
                <w:rFonts w:ascii="Times New Roman" w:eastAsia="宋体" w:hAnsi="宋体" w:hint="eastAsia"/>
                <w:bCs w:val="0"/>
                <w:sz w:val="24"/>
                <w:szCs w:val="20"/>
              </w:rPr>
              <w:t>补充</w:t>
            </w:r>
            <w:r w:rsidR="00D5170B">
              <w:rPr>
                <w:rFonts w:ascii="Times New Roman" w:eastAsia="宋体" w:hAnsi="宋体" w:hint="eastAsia"/>
                <w:sz w:val="24"/>
                <w:szCs w:val="20"/>
              </w:rPr>
              <w:t>了</w:t>
            </w:r>
            <w:r w:rsidR="00D5170B" w:rsidRPr="001C4A0B">
              <w:rPr>
                <w:rFonts w:ascii="Times New Roman" w:eastAsia="宋体" w:hAnsi="宋体" w:hint="eastAsia"/>
                <w:sz w:val="24"/>
                <w:szCs w:val="20"/>
              </w:rPr>
              <w:t>厂区三级防控简图</w:t>
            </w:r>
            <w:r w:rsidR="00D5170B">
              <w:rPr>
                <w:rFonts w:ascii="Times New Roman" w:eastAsia="宋体" w:hAnsi="宋体" w:hint="eastAsia"/>
                <w:sz w:val="24"/>
                <w:szCs w:val="20"/>
              </w:rPr>
              <w:t>，具体见图</w:t>
            </w:r>
            <w:r w:rsidR="00D5170B">
              <w:rPr>
                <w:rFonts w:ascii="Times New Roman" w:eastAsia="宋体" w:hAnsi="宋体" w:hint="eastAsia"/>
                <w:sz w:val="24"/>
                <w:szCs w:val="20"/>
              </w:rPr>
              <w:t>4.4-1</w:t>
            </w:r>
            <w:r w:rsidR="00D5170B">
              <w:rPr>
                <w:rFonts w:ascii="Times New Roman" w:eastAsia="宋体" w:hAnsi="宋体" w:hint="eastAsia"/>
                <w:sz w:val="24"/>
                <w:szCs w:val="20"/>
              </w:rPr>
              <w:t>；</w:t>
            </w:r>
            <w:r w:rsidR="00D5170B">
              <w:rPr>
                <w:rFonts w:ascii="Times New Roman" w:eastAsia="宋体" w:hAnsi="宋体" w:hint="eastAsia"/>
                <w:sz w:val="24"/>
                <w:szCs w:val="20"/>
              </w:rPr>
              <w:t>P</w:t>
            </w:r>
            <w:r w:rsidR="00D5170B">
              <w:rPr>
                <w:rFonts w:ascii="Times New Roman" w:eastAsia="宋体" w:hAnsi="宋体" w:hint="eastAsia"/>
                <w:bCs w:val="0"/>
                <w:sz w:val="24"/>
                <w:szCs w:val="20"/>
              </w:rPr>
              <w:t>268-271</w:t>
            </w:r>
            <w:r w:rsidR="00D5170B">
              <w:rPr>
                <w:rFonts w:ascii="Times New Roman" w:eastAsia="宋体" w:hAnsi="宋体" w:hint="eastAsia"/>
                <w:bCs w:val="0"/>
                <w:sz w:val="24"/>
                <w:szCs w:val="20"/>
              </w:rPr>
              <w:t>补充了</w:t>
            </w:r>
            <w:r w:rsidR="00D5170B" w:rsidRPr="001C4A0B">
              <w:rPr>
                <w:rFonts w:ascii="Times New Roman" w:eastAsia="宋体" w:hAnsi="宋体" w:hint="eastAsia"/>
                <w:sz w:val="24"/>
                <w:szCs w:val="20"/>
              </w:rPr>
              <w:t>南港工业区三级防控措施介绍</w:t>
            </w:r>
            <w:r>
              <w:rPr>
                <w:rFonts w:ascii="Times New Roman" w:eastAsia="宋体" w:hAnsi="宋体" w:hint="eastAsia"/>
                <w:sz w:val="24"/>
                <w:szCs w:val="20"/>
              </w:rPr>
              <w:t>。</w:t>
            </w:r>
          </w:p>
        </w:tc>
        <w:tc>
          <w:tcPr>
            <w:tcW w:w="1635" w:type="dxa"/>
            <w:shd w:val="clear" w:color="auto" w:fill="auto"/>
            <w:vAlign w:val="center"/>
          </w:tcPr>
          <w:p w:rsidR="00E743B2" w:rsidRPr="00D6652B" w:rsidRDefault="001C4A0B" w:rsidP="003859DF">
            <w:pPr>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p>
        </w:tc>
      </w:tr>
      <w:tr w:rsidR="00E743B2" w:rsidRPr="00D6652B" w:rsidTr="001C4A0B">
        <w:trPr>
          <w:trHeight w:val="774"/>
        </w:trPr>
        <w:tc>
          <w:tcPr>
            <w:tcW w:w="675" w:type="dxa"/>
            <w:shd w:val="clear" w:color="auto" w:fill="auto"/>
            <w:vAlign w:val="center"/>
          </w:tcPr>
          <w:p w:rsidR="00E743B2" w:rsidRPr="001B0008" w:rsidRDefault="00E743B2" w:rsidP="003859DF">
            <w:pPr>
              <w:jc w:val="center"/>
              <w:rPr>
                <w:rFonts w:ascii="Times New Roman" w:eastAsia="仿宋_GB2312" w:hAnsi="Times New Roman" w:cs="Times New Roman"/>
                <w:b/>
                <w:sz w:val="28"/>
                <w:szCs w:val="28"/>
              </w:rPr>
            </w:pPr>
            <w:r w:rsidRPr="001B0008">
              <w:rPr>
                <w:rFonts w:ascii="Times New Roman" w:eastAsia="仿宋_GB2312" w:hAnsi="Times New Roman" w:cs="Times New Roman"/>
                <w:b/>
                <w:sz w:val="28"/>
                <w:szCs w:val="28"/>
              </w:rPr>
              <w:t>4</w:t>
            </w:r>
          </w:p>
        </w:tc>
        <w:tc>
          <w:tcPr>
            <w:tcW w:w="3686" w:type="dxa"/>
            <w:shd w:val="clear" w:color="auto" w:fill="auto"/>
            <w:vAlign w:val="center"/>
          </w:tcPr>
          <w:p w:rsidR="00E743B2" w:rsidRPr="00586639" w:rsidRDefault="001C4A0B" w:rsidP="00BD29EC">
            <w:pPr>
              <w:jc w:val="center"/>
              <w:rPr>
                <w:rFonts w:ascii="Times New Roman" w:eastAsia="宋体" w:hAnsi="宋体" w:cs="Times New Roman"/>
                <w:sz w:val="24"/>
                <w:szCs w:val="20"/>
              </w:rPr>
            </w:pPr>
            <w:r w:rsidRPr="001C4A0B">
              <w:rPr>
                <w:rFonts w:ascii="Times New Roman" w:eastAsia="宋体" w:hAnsi="宋体" w:cs="Times New Roman" w:hint="eastAsia"/>
                <w:sz w:val="24"/>
                <w:szCs w:val="20"/>
              </w:rPr>
              <w:t>根据企业实际情况完善应急预案体系、应急组织机构组成及职责分工，完善应急监测内容。</w:t>
            </w:r>
          </w:p>
        </w:tc>
        <w:tc>
          <w:tcPr>
            <w:tcW w:w="850" w:type="dxa"/>
            <w:shd w:val="clear" w:color="auto" w:fill="auto"/>
            <w:vAlign w:val="center"/>
          </w:tcPr>
          <w:p w:rsidR="00E743B2" w:rsidRPr="001B0008" w:rsidRDefault="00350806" w:rsidP="00BD29EC">
            <w:pPr>
              <w:jc w:val="center"/>
              <w:rPr>
                <w:rFonts w:ascii="宋体" w:eastAsia="宋体" w:hAnsi="宋体" w:cs="Times New Roman"/>
                <w:sz w:val="24"/>
                <w:szCs w:val="24"/>
              </w:rPr>
            </w:pPr>
            <w:r w:rsidRPr="001B0008">
              <w:rPr>
                <w:rFonts w:ascii="宋体" w:eastAsia="宋体" w:hAnsi="宋体" w:cs="Times New Roman"/>
                <w:sz w:val="24"/>
                <w:szCs w:val="24"/>
              </w:rPr>
              <w:t>是</w:t>
            </w:r>
          </w:p>
        </w:tc>
        <w:tc>
          <w:tcPr>
            <w:tcW w:w="7513" w:type="dxa"/>
            <w:shd w:val="clear" w:color="auto" w:fill="auto"/>
            <w:vAlign w:val="center"/>
          </w:tcPr>
          <w:p w:rsidR="00A971EA" w:rsidRDefault="00D5170B" w:rsidP="00D5170B">
            <w:pPr>
              <w:pStyle w:val="a7"/>
              <w:keepNext/>
              <w:rPr>
                <w:rFonts w:eastAsia="宋体" w:hAnsi="宋体"/>
              </w:rPr>
            </w:pPr>
            <w:r>
              <w:rPr>
                <w:rFonts w:ascii="宋体" w:eastAsia="宋体" w:hAnsi="宋体" w:cstheme="minorBidi" w:hint="eastAsia"/>
                <w:szCs w:val="24"/>
              </w:rPr>
              <w:t>应急预案文本</w:t>
            </w:r>
            <w:r w:rsidRPr="00D5170B">
              <w:rPr>
                <w:rFonts w:eastAsia="宋体"/>
                <w:szCs w:val="24"/>
              </w:rPr>
              <w:t>P4</w:t>
            </w:r>
            <w:r w:rsidRPr="00D5170B">
              <w:rPr>
                <w:rFonts w:eastAsia="宋体"/>
                <w:szCs w:val="24"/>
              </w:rPr>
              <w:t>重新完善了</w:t>
            </w:r>
            <w:r w:rsidRPr="00D5170B">
              <w:rPr>
                <w:rFonts w:eastAsia="宋体"/>
              </w:rPr>
              <w:t>应急预案体系；</w:t>
            </w:r>
            <w:r w:rsidRPr="00D5170B">
              <w:rPr>
                <w:rFonts w:eastAsia="宋体"/>
              </w:rPr>
              <w:t>P16-24</w:t>
            </w:r>
            <w:r w:rsidRPr="00D5170B">
              <w:rPr>
                <w:rFonts w:eastAsia="宋体"/>
              </w:rPr>
              <w:t>完善了应急组织机构组成</w:t>
            </w:r>
            <w:r w:rsidRPr="001C4A0B">
              <w:rPr>
                <w:rFonts w:eastAsia="宋体" w:hAnsi="宋体" w:hint="eastAsia"/>
              </w:rPr>
              <w:t>及职责分工</w:t>
            </w:r>
            <w:r>
              <w:rPr>
                <w:rFonts w:eastAsia="宋体" w:hAnsi="宋体" w:hint="eastAsia"/>
              </w:rPr>
              <w:t>，补充了应急组织机构人员。</w:t>
            </w:r>
          </w:p>
          <w:p w:rsidR="00E743B2" w:rsidRPr="00183169" w:rsidRDefault="00D5170B" w:rsidP="00D5170B">
            <w:pPr>
              <w:pStyle w:val="a7"/>
              <w:keepNext/>
              <w:rPr>
                <w:rFonts w:ascii="宋体" w:eastAsia="宋体" w:hAnsi="宋体" w:cstheme="minorBidi"/>
                <w:szCs w:val="24"/>
              </w:rPr>
            </w:pPr>
            <w:r>
              <w:rPr>
                <w:rFonts w:eastAsia="宋体" w:hAnsi="宋体" w:hint="eastAsia"/>
              </w:rPr>
              <w:t>各专项预案中针对各事故情况完善了大气、水、土壤及地下水应急监测内容，补充</w:t>
            </w:r>
            <w:r w:rsidR="00A971EA">
              <w:rPr>
                <w:rFonts w:eastAsia="宋体" w:hAnsi="宋体" w:hint="eastAsia"/>
              </w:rPr>
              <w:t>完善</w:t>
            </w:r>
            <w:r>
              <w:rPr>
                <w:rFonts w:eastAsia="宋体" w:hAnsi="宋体" w:hint="eastAsia"/>
              </w:rPr>
              <w:t>了应急监测因子、</w:t>
            </w:r>
            <w:r w:rsidR="00A971EA">
              <w:rPr>
                <w:rFonts w:eastAsia="宋体" w:hAnsi="宋体" w:hint="eastAsia"/>
              </w:rPr>
              <w:t>监测布点等。</w:t>
            </w:r>
          </w:p>
        </w:tc>
        <w:tc>
          <w:tcPr>
            <w:tcW w:w="1635" w:type="dxa"/>
            <w:shd w:val="clear" w:color="auto" w:fill="auto"/>
            <w:vAlign w:val="center"/>
          </w:tcPr>
          <w:p w:rsidR="00E743B2" w:rsidRPr="00D6652B" w:rsidRDefault="001C4A0B" w:rsidP="003859DF">
            <w:pPr>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p>
        </w:tc>
      </w:tr>
      <w:tr w:rsidR="001C4A0B" w:rsidRPr="00D6652B" w:rsidTr="00A971EA">
        <w:trPr>
          <w:trHeight w:val="318"/>
        </w:trPr>
        <w:tc>
          <w:tcPr>
            <w:tcW w:w="675" w:type="dxa"/>
            <w:shd w:val="clear" w:color="auto" w:fill="auto"/>
            <w:vAlign w:val="center"/>
          </w:tcPr>
          <w:p w:rsidR="001C4A0B" w:rsidRPr="001B0008" w:rsidRDefault="001C4A0B" w:rsidP="003859DF">
            <w:pPr>
              <w:jc w:val="center"/>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5</w:t>
            </w:r>
          </w:p>
        </w:tc>
        <w:tc>
          <w:tcPr>
            <w:tcW w:w="3686" w:type="dxa"/>
            <w:shd w:val="clear" w:color="auto" w:fill="auto"/>
            <w:vAlign w:val="center"/>
          </w:tcPr>
          <w:p w:rsidR="001C4A0B" w:rsidRPr="001C4A0B" w:rsidRDefault="001C4A0B" w:rsidP="00BD29EC">
            <w:pPr>
              <w:jc w:val="center"/>
              <w:rPr>
                <w:rFonts w:ascii="Times New Roman" w:eastAsia="宋体" w:hAnsi="宋体" w:cs="Times New Roman"/>
                <w:sz w:val="24"/>
                <w:szCs w:val="20"/>
              </w:rPr>
            </w:pPr>
            <w:r w:rsidRPr="001C4A0B">
              <w:rPr>
                <w:rFonts w:ascii="Times New Roman" w:eastAsia="宋体" w:hAnsi="宋体" w:cs="Times New Roman" w:hint="eastAsia"/>
                <w:sz w:val="24"/>
                <w:szCs w:val="20"/>
              </w:rPr>
              <w:t>对照新要求完善应急资源调查报告，核实应</w:t>
            </w:r>
            <w:bookmarkStart w:id="0" w:name="_GoBack"/>
            <w:bookmarkEnd w:id="0"/>
            <w:r w:rsidRPr="001C4A0B">
              <w:rPr>
                <w:rFonts w:ascii="Times New Roman" w:eastAsia="宋体" w:hAnsi="宋体" w:cs="Times New Roman" w:hint="eastAsia"/>
                <w:sz w:val="24"/>
                <w:szCs w:val="20"/>
              </w:rPr>
              <w:t>急物资及设施种类、</w:t>
            </w:r>
            <w:r w:rsidRPr="001C4A0B">
              <w:rPr>
                <w:rFonts w:ascii="Times New Roman" w:eastAsia="宋体" w:hAnsi="宋体" w:cs="Times New Roman" w:hint="eastAsia"/>
                <w:sz w:val="24"/>
                <w:szCs w:val="20"/>
              </w:rPr>
              <w:lastRenderedPageBreak/>
              <w:t>数量及用途。</w:t>
            </w:r>
          </w:p>
        </w:tc>
        <w:tc>
          <w:tcPr>
            <w:tcW w:w="850" w:type="dxa"/>
            <w:shd w:val="clear" w:color="auto" w:fill="auto"/>
            <w:vAlign w:val="center"/>
          </w:tcPr>
          <w:p w:rsidR="001C4A0B" w:rsidRPr="001B0008" w:rsidRDefault="001C4A0B" w:rsidP="00BD29EC">
            <w:pPr>
              <w:jc w:val="center"/>
              <w:rPr>
                <w:rFonts w:ascii="宋体" w:eastAsia="宋体" w:hAnsi="宋体" w:cs="Times New Roman"/>
                <w:sz w:val="24"/>
                <w:szCs w:val="24"/>
              </w:rPr>
            </w:pPr>
          </w:p>
        </w:tc>
        <w:tc>
          <w:tcPr>
            <w:tcW w:w="7513" w:type="dxa"/>
            <w:shd w:val="clear" w:color="auto" w:fill="auto"/>
            <w:vAlign w:val="center"/>
          </w:tcPr>
          <w:p w:rsidR="001C4A0B" w:rsidRDefault="00A971EA" w:rsidP="00183169">
            <w:pPr>
              <w:pStyle w:val="a7"/>
              <w:keepNext/>
              <w:rPr>
                <w:rFonts w:ascii="宋体" w:eastAsia="宋体" w:hAnsi="宋体" w:cstheme="minorBidi"/>
                <w:szCs w:val="24"/>
              </w:rPr>
            </w:pPr>
            <w:r w:rsidRPr="001C4A0B">
              <w:rPr>
                <w:rFonts w:eastAsia="宋体" w:hAnsi="宋体" w:hint="eastAsia"/>
              </w:rPr>
              <w:t>应急资源调查报告</w:t>
            </w:r>
            <w:r>
              <w:rPr>
                <w:rFonts w:eastAsia="宋体" w:hAnsi="宋体" w:hint="eastAsia"/>
              </w:rPr>
              <w:t>P11-21</w:t>
            </w:r>
            <w:r>
              <w:rPr>
                <w:rFonts w:eastAsia="宋体" w:hAnsi="宋体" w:hint="eastAsia"/>
              </w:rPr>
              <w:t>完善了应急资源调查报告，核实了应急物资及设施种类，补充了应急发电机、消防沙、吸附棉等应急物资种类、</w:t>
            </w:r>
            <w:r>
              <w:rPr>
                <w:rFonts w:eastAsia="宋体" w:hAnsi="宋体" w:hint="eastAsia"/>
              </w:rPr>
              <w:lastRenderedPageBreak/>
              <w:t>数量及用途。</w:t>
            </w:r>
          </w:p>
        </w:tc>
        <w:tc>
          <w:tcPr>
            <w:tcW w:w="1635" w:type="dxa"/>
            <w:shd w:val="clear" w:color="auto" w:fill="auto"/>
            <w:vAlign w:val="center"/>
          </w:tcPr>
          <w:p w:rsidR="001C4A0B" w:rsidRPr="00D6652B" w:rsidRDefault="001C4A0B" w:rsidP="003859DF">
            <w:pPr>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lastRenderedPageBreak/>
              <w:t>/</w:t>
            </w:r>
          </w:p>
        </w:tc>
      </w:tr>
      <w:tr w:rsidR="00427AC1" w:rsidRPr="00D6652B" w:rsidTr="001C4A0B">
        <w:trPr>
          <w:trHeight w:val="774"/>
        </w:trPr>
        <w:tc>
          <w:tcPr>
            <w:tcW w:w="675" w:type="dxa"/>
            <w:shd w:val="clear" w:color="auto" w:fill="auto"/>
            <w:vAlign w:val="center"/>
          </w:tcPr>
          <w:p w:rsidR="00427AC1" w:rsidRPr="001B0008" w:rsidRDefault="001C4A0B" w:rsidP="003859DF">
            <w:pPr>
              <w:jc w:val="center"/>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lastRenderedPageBreak/>
              <w:t>6</w:t>
            </w:r>
          </w:p>
        </w:tc>
        <w:tc>
          <w:tcPr>
            <w:tcW w:w="3686" w:type="dxa"/>
            <w:shd w:val="clear" w:color="auto" w:fill="auto"/>
            <w:vAlign w:val="center"/>
          </w:tcPr>
          <w:p w:rsidR="00427AC1" w:rsidRPr="00586639" w:rsidRDefault="00586639" w:rsidP="00BD29EC">
            <w:pPr>
              <w:jc w:val="center"/>
              <w:rPr>
                <w:rFonts w:ascii="Times New Roman" w:eastAsia="宋体" w:hAnsi="宋体" w:cs="Times New Roman"/>
                <w:sz w:val="24"/>
                <w:szCs w:val="20"/>
              </w:rPr>
            </w:pPr>
            <w:r w:rsidRPr="00586639">
              <w:rPr>
                <w:rFonts w:ascii="Times New Roman" w:eastAsia="宋体" w:hAnsi="宋体" w:cs="Times New Roman" w:hint="eastAsia"/>
                <w:sz w:val="24"/>
                <w:szCs w:val="20"/>
              </w:rPr>
              <w:t>完善附图附件</w:t>
            </w:r>
          </w:p>
        </w:tc>
        <w:tc>
          <w:tcPr>
            <w:tcW w:w="850" w:type="dxa"/>
            <w:shd w:val="clear" w:color="auto" w:fill="auto"/>
            <w:vAlign w:val="center"/>
          </w:tcPr>
          <w:p w:rsidR="00427AC1" w:rsidRPr="001B0008" w:rsidRDefault="00586639" w:rsidP="00BD29EC">
            <w:pPr>
              <w:jc w:val="center"/>
              <w:rPr>
                <w:rFonts w:ascii="宋体" w:eastAsia="宋体" w:hAnsi="宋体" w:cs="Times New Roman"/>
                <w:sz w:val="24"/>
                <w:szCs w:val="24"/>
              </w:rPr>
            </w:pPr>
            <w:r>
              <w:rPr>
                <w:rFonts w:ascii="宋体" w:eastAsia="宋体" w:hAnsi="宋体" w:cs="Times New Roman" w:hint="eastAsia"/>
                <w:sz w:val="24"/>
                <w:szCs w:val="24"/>
              </w:rPr>
              <w:t>是</w:t>
            </w:r>
          </w:p>
        </w:tc>
        <w:tc>
          <w:tcPr>
            <w:tcW w:w="7513" w:type="dxa"/>
            <w:shd w:val="clear" w:color="auto" w:fill="auto"/>
            <w:vAlign w:val="center"/>
          </w:tcPr>
          <w:p w:rsidR="00427AC1" w:rsidRPr="00183169" w:rsidRDefault="00A971EA" w:rsidP="00A971EA">
            <w:pPr>
              <w:pStyle w:val="a7"/>
              <w:keepNext/>
              <w:rPr>
                <w:rFonts w:ascii="宋体" w:eastAsia="宋体" w:hAnsi="宋体" w:cstheme="minorBidi"/>
                <w:szCs w:val="24"/>
              </w:rPr>
            </w:pPr>
            <w:r>
              <w:rPr>
                <w:rFonts w:ascii="宋体" w:eastAsia="宋体" w:hAnsi="宋体" w:hint="eastAsia"/>
                <w:szCs w:val="24"/>
              </w:rPr>
              <w:t xml:space="preserve"> 附图2</w:t>
            </w:r>
            <w:proofErr w:type="gramStart"/>
            <w:r>
              <w:rPr>
                <w:rFonts w:ascii="宋体" w:eastAsia="宋体" w:hAnsi="宋体" w:hint="eastAsia"/>
                <w:szCs w:val="24"/>
              </w:rPr>
              <w:t>标出雨排口</w:t>
            </w:r>
            <w:proofErr w:type="gramEnd"/>
            <w:r>
              <w:rPr>
                <w:rFonts w:ascii="宋体" w:eastAsia="宋体" w:hAnsi="宋体" w:hint="eastAsia"/>
                <w:szCs w:val="24"/>
              </w:rPr>
              <w:t>下游10km范围内雨水路由及涉及的水环境风险受体，附图6完善了应急物资的位置，附图7明确了各区域事故水池、初期雨水池、截止阀、切换阀等具体位置。附件2补充危废协议，附件6根据各装置区情况完善应急处置卡，补充附件7告知会签到表</w:t>
            </w:r>
          </w:p>
        </w:tc>
        <w:tc>
          <w:tcPr>
            <w:tcW w:w="1635" w:type="dxa"/>
            <w:shd w:val="clear" w:color="auto" w:fill="auto"/>
            <w:vAlign w:val="center"/>
          </w:tcPr>
          <w:p w:rsidR="00427AC1" w:rsidRPr="00D6652B" w:rsidRDefault="001C4A0B" w:rsidP="003859DF">
            <w:pPr>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p>
        </w:tc>
      </w:tr>
      <w:tr w:rsidR="00586639" w:rsidRPr="00D6652B" w:rsidTr="001C4A0B">
        <w:trPr>
          <w:trHeight w:val="774"/>
        </w:trPr>
        <w:tc>
          <w:tcPr>
            <w:tcW w:w="675" w:type="dxa"/>
            <w:shd w:val="clear" w:color="auto" w:fill="auto"/>
            <w:vAlign w:val="center"/>
          </w:tcPr>
          <w:p w:rsidR="00586639" w:rsidRDefault="001C4A0B" w:rsidP="003859DF">
            <w:pPr>
              <w:jc w:val="center"/>
              <w:rPr>
                <w:rFonts w:ascii="Times New Roman" w:eastAsia="仿宋_GB2312" w:hAnsi="Times New Roman" w:cs="Times New Roman"/>
                <w:b/>
                <w:sz w:val="28"/>
                <w:szCs w:val="28"/>
              </w:rPr>
            </w:pPr>
            <w:r>
              <w:rPr>
                <w:rFonts w:ascii="Times New Roman" w:eastAsia="仿宋_GB2312" w:hAnsi="Times New Roman" w:cs="Times New Roman" w:hint="eastAsia"/>
                <w:b/>
                <w:sz w:val="28"/>
                <w:szCs w:val="28"/>
              </w:rPr>
              <w:t>7</w:t>
            </w:r>
          </w:p>
        </w:tc>
        <w:tc>
          <w:tcPr>
            <w:tcW w:w="3686" w:type="dxa"/>
            <w:shd w:val="clear" w:color="auto" w:fill="auto"/>
            <w:vAlign w:val="center"/>
          </w:tcPr>
          <w:p w:rsidR="00586639" w:rsidRPr="00586639" w:rsidRDefault="00586639" w:rsidP="00BD29EC">
            <w:pPr>
              <w:jc w:val="center"/>
              <w:rPr>
                <w:rFonts w:ascii="Times New Roman" w:eastAsia="宋体" w:hAnsi="宋体" w:cs="Times New Roman"/>
                <w:sz w:val="24"/>
                <w:szCs w:val="20"/>
              </w:rPr>
            </w:pPr>
            <w:r w:rsidRPr="00586639">
              <w:rPr>
                <w:rFonts w:ascii="Times New Roman" w:eastAsia="宋体" w:hAnsi="宋体" w:cs="Times New Roman" w:hint="eastAsia"/>
                <w:sz w:val="24"/>
                <w:szCs w:val="20"/>
              </w:rPr>
              <w:t>预防为主，切实加强培训宣贯（包括新员工的培训），做好环境事故应急演练；及时修订预案，做好应急物资更新及保障；</w:t>
            </w:r>
          </w:p>
        </w:tc>
        <w:tc>
          <w:tcPr>
            <w:tcW w:w="850" w:type="dxa"/>
            <w:shd w:val="clear" w:color="auto" w:fill="auto"/>
            <w:vAlign w:val="center"/>
          </w:tcPr>
          <w:p w:rsidR="00586639" w:rsidRDefault="00586639" w:rsidP="00BD29EC">
            <w:pPr>
              <w:jc w:val="center"/>
              <w:rPr>
                <w:rFonts w:ascii="宋体" w:eastAsia="宋体" w:hAnsi="宋体" w:cs="Times New Roman"/>
                <w:sz w:val="24"/>
                <w:szCs w:val="24"/>
              </w:rPr>
            </w:pPr>
            <w:r>
              <w:rPr>
                <w:rFonts w:ascii="宋体" w:eastAsia="宋体" w:hAnsi="宋体" w:cs="Times New Roman" w:hint="eastAsia"/>
                <w:sz w:val="24"/>
                <w:szCs w:val="24"/>
              </w:rPr>
              <w:t>/</w:t>
            </w:r>
          </w:p>
        </w:tc>
        <w:tc>
          <w:tcPr>
            <w:tcW w:w="7513" w:type="dxa"/>
            <w:shd w:val="clear" w:color="auto" w:fill="auto"/>
            <w:vAlign w:val="center"/>
          </w:tcPr>
          <w:p w:rsidR="00586639" w:rsidRDefault="00586639" w:rsidP="00183169">
            <w:pPr>
              <w:pStyle w:val="a7"/>
              <w:keepNext/>
              <w:rPr>
                <w:rFonts w:ascii="宋体" w:eastAsia="宋体" w:hAnsi="宋体" w:cstheme="minorBidi"/>
                <w:szCs w:val="24"/>
              </w:rPr>
            </w:pPr>
            <w:r>
              <w:rPr>
                <w:rFonts w:ascii="宋体" w:eastAsia="宋体" w:hAnsi="宋体" w:cstheme="minorBidi" w:hint="eastAsia"/>
                <w:szCs w:val="24"/>
              </w:rPr>
              <w:t>/</w:t>
            </w:r>
          </w:p>
        </w:tc>
        <w:tc>
          <w:tcPr>
            <w:tcW w:w="1635" w:type="dxa"/>
            <w:shd w:val="clear" w:color="auto" w:fill="auto"/>
            <w:vAlign w:val="center"/>
          </w:tcPr>
          <w:p w:rsidR="00586639" w:rsidRPr="00D6652B" w:rsidRDefault="001C4A0B" w:rsidP="003859DF">
            <w:pPr>
              <w:jc w:val="center"/>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w:t>
            </w:r>
          </w:p>
        </w:tc>
      </w:tr>
    </w:tbl>
    <w:p w:rsidR="00BC4923" w:rsidRPr="00D6652B" w:rsidRDefault="00941C23" w:rsidP="00941C23">
      <w:pPr>
        <w:tabs>
          <w:tab w:val="left" w:pos="6290"/>
          <w:tab w:val="center" w:pos="6979"/>
        </w:tabs>
        <w:jc w:val="left"/>
        <w:rPr>
          <w:rFonts w:ascii="Times New Roman" w:hAnsi="Times New Roman" w:cs="Times New Roman"/>
          <w:sz w:val="36"/>
        </w:rPr>
      </w:pPr>
      <w:r w:rsidRPr="00D6652B">
        <w:rPr>
          <w:rFonts w:ascii="Times New Roman" w:hAnsi="Times New Roman" w:cs="Times New Roman"/>
          <w:sz w:val="44"/>
          <w:szCs w:val="44"/>
        </w:rPr>
        <w:tab/>
      </w:r>
    </w:p>
    <w:sectPr w:rsidR="00BC4923" w:rsidRPr="00D6652B" w:rsidSect="00941C23">
      <w:footerReference w:type="default" r:id="rId9"/>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E3F" w:rsidRDefault="00941E3F" w:rsidP="00464228">
      <w:r>
        <w:separator/>
      </w:r>
    </w:p>
  </w:endnote>
  <w:endnote w:type="continuationSeparator" w:id="0">
    <w:p w:rsidR="00941E3F" w:rsidRDefault="00941E3F" w:rsidP="0046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fixed"/>
    <w:sig w:usb0="00000000"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2080738042"/>
      <w:docPartObj>
        <w:docPartGallery w:val="Page Numbers (Bottom of Page)"/>
        <w:docPartUnique/>
      </w:docPartObj>
    </w:sdtPr>
    <w:sdtContent>
      <w:p w:rsidR="00705194" w:rsidRPr="00705194" w:rsidRDefault="00705194">
        <w:pPr>
          <w:pStyle w:val="a6"/>
          <w:jc w:val="center"/>
          <w:rPr>
            <w:rFonts w:ascii="Times New Roman" w:hAnsi="Times New Roman" w:cs="Times New Roman"/>
          </w:rPr>
        </w:pPr>
        <w:r w:rsidRPr="00705194">
          <w:rPr>
            <w:rFonts w:ascii="Times New Roman" w:hAnsi="Times New Roman" w:cs="Times New Roman"/>
          </w:rPr>
          <w:fldChar w:fldCharType="begin"/>
        </w:r>
        <w:r w:rsidRPr="00705194">
          <w:rPr>
            <w:rFonts w:ascii="Times New Roman" w:hAnsi="Times New Roman" w:cs="Times New Roman"/>
          </w:rPr>
          <w:instrText>PAGE   \* MERGEFORMAT</w:instrText>
        </w:r>
        <w:r w:rsidRPr="00705194">
          <w:rPr>
            <w:rFonts w:ascii="Times New Roman" w:hAnsi="Times New Roman" w:cs="Times New Roman"/>
          </w:rPr>
          <w:fldChar w:fldCharType="separate"/>
        </w:r>
        <w:r w:rsidRPr="00705194">
          <w:rPr>
            <w:rFonts w:ascii="Times New Roman" w:hAnsi="Times New Roman" w:cs="Times New Roman"/>
            <w:noProof/>
            <w:lang w:val="zh-CN"/>
          </w:rPr>
          <w:t>1</w:t>
        </w:r>
        <w:r w:rsidRPr="00705194">
          <w:rPr>
            <w:rFonts w:ascii="Times New Roman" w:hAnsi="Times New Roman" w:cs="Times New Roman"/>
          </w:rPr>
          <w:fldChar w:fldCharType="end"/>
        </w:r>
      </w:p>
    </w:sdtContent>
  </w:sdt>
  <w:p w:rsidR="00705194" w:rsidRPr="00705194" w:rsidRDefault="00705194">
    <w:pPr>
      <w:pStyle w:val="a6"/>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E3F" w:rsidRDefault="00941E3F" w:rsidP="00464228">
      <w:r>
        <w:separator/>
      </w:r>
    </w:p>
  </w:footnote>
  <w:footnote w:type="continuationSeparator" w:id="0">
    <w:p w:rsidR="00941E3F" w:rsidRDefault="00941E3F" w:rsidP="004642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87105"/>
    <w:multiLevelType w:val="hybridMultilevel"/>
    <w:tmpl w:val="F858E56C"/>
    <w:lvl w:ilvl="0" w:tplc="EB1656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F030AA"/>
    <w:multiLevelType w:val="multilevel"/>
    <w:tmpl w:val="E8F0CCB2"/>
    <w:lvl w:ilvl="0">
      <w:start w:val="1"/>
      <w:numFmt w:val="decimal"/>
      <w:lvlText w:val="%1"/>
      <w:lvlJc w:val="left"/>
      <w:pPr>
        <w:ind w:left="432" w:hanging="432"/>
      </w:pPr>
      <w:rPr>
        <w:rFonts w:ascii="Times New Roman" w:hAnsi="Times New Roman" w:cs="Times New Roman" w:hint="default"/>
      </w:rPr>
    </w:lvl>
    <w:lvl w:ilvl="1">
      <w:start w:val="1"/>
      <w:numFmt w:val="decimal"/>
      <w:lvlText w:val="%1.%2"/>
      <w:lvlJc w:val="left"/>
      <w:pPr>
        <w:ind w:left="576" w:hanging="576"/>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color w:val="auto"/>
      </w:rPr>
    </w:lvl>
    <w:lvl w:ilvl="3">
      <w:start w:val="1"/>
      <w:numFmt w:val="decimal"/>
      <w:lvlText w:val="%1.%2.%3.%4"/>
      <w:lvlJc w:val="left"/>
      <w:pPr>
        <w:ind w:left="1148" w:hanging="864"/>
      </w:pPr>
      <w:rPr>
        <w:rFonts w:ascii="Times New Roman" w:hAnsi="Times New Roman" w:cs="Times New Roman" w:hint="default"/>
      </w:rPr>
    </w:lvl>
    <w:lvl w:ilvl="4">
      <w:start w:val="1"/>
      <w:numFmt w:val="decimal"/>
      <w:lvlText w:val="%1.%2.%3.%4.%5"/>
      <w:lvlJc w:val="left"/>
      <w:pPr>
        <w:ind w:left="1150" w:hanging="1008"/>
      </w:pPr>
      <w:rPr>
        <w:shd w:val="clear" w:color="auto" w:fill="auto"/>
      </w:r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3992530E"/>
    <w:multiLevelType w:val="hybridMultilevel"/>
    <w:tmpl w:val="12D82F00"/>
    <w:lvl w:ilvl="0" w:tplc="C51EA032">
      <w:start w:val="1"/>
      <w:numFmt w:val="lowerLetter"/>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D4805B1"/>
    <w:multiLevelType w:val="hybridMultilevel"/>
    <w:tmpl w:val="9F6C9B5A"/>
    <w:lvl w:ilvl="0" w:tplc="F0047504">
      <w:start w:val="1"/>
      <w:numFmt w:val="lowerLetter"/>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519A3E7E"/>
    <w:multiLevelType w:val="hybridMultilevel"/>
    <w:tmpl w:val="5A921D12"/>
    <w:lvl w:ilvl="0" w:tplc="E6F0413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51D50CF2"/>
    <w:multiLevelType w:val="hybridMultilevel"/>
    <w:tmpl w:val="7FBA933C"/>
    <w:lvl w:ilvl="0" w:tplc="5A48D1B4">
      <w:start w:val="1"/>
      <w:numFmt w:val="lowerLetter"/>
      <w:lvlText w:val="%1、"/>
      <w:lvlJc w:val="left"/>
      <w:pPr>
        <w:ind w:left="0" w:firstLine="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D901F7D"/>
    <w:multiLevelType w:val="hybridMultilevel"/>
    <w:tmpl w:val="C606828E"/>
    <w:lvl w:ilvl="0" w:tplc="927AC5F4">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5FF4551C"/>
    <w:multiLevelType w:val="hybridMultilevel"/>
    <w:tmpl w:val="E0247F12"/>
    <w:lvl w:ilvl="0" w:tplc="30988C74">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pStyle w:val="4"/>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662159D8"/>
    <w:multiLevelType w:val="hybridMultilevel"/>
    <w:tmpl w:val="BF7A4C3C"/>
    <w:lvl w:ilvl="0" w:tplc="4406E97C">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7"/>
  </w:num>
  <w:num w:numId="2">
    <w:abstractNumId w:val="5"/>
  </w:num>
  <w:num w:numId="3">
    <w:abstractNumId w:val="3"/>
  </w:num>
  <w:num w:numId="4">
    <w:abstractNumId w:val="2"/>
  </w:num>
  <w:num w:numId="5">
    <w:abstractNumId w:val="6"/>
  </w:num>
  <w:num w:numId="6">
    <w:abstractNumId w:val="8"/>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5641"/>
    <w:rsid w:val="00003FC1"/>
    <w:rsid w:val="00061860"/>
    <w:rsid w:val="000724F4"/>
    <w:rsid w:val="00072808"/>
    <w:rsid w:val="000E31C0"/>
    <w:rsid w:val="00105641"/>
    <w:rsid w:val="0017519A"/>
    <w:rsid w:val="001804C8"/>
    <w:rsid w:val="00183169"/>
    <w:rsid w:val="001B0008"/>
    <w:rsid w:val="001C4A0B"/>
    <w:rsid w:val="001D0FB6"/>
    <w:rsid w:val="001E2611"/>
    <w:rsid w:val="001F1BAB"/>
    <w:rsid w:val="002042AA"/>
    <w:rsid w:val="002119FC"/>
    <w:rsid w:val="00222E98"/>
    <w:rsid w:val="00227E68"/>
    <w:rsid w:val="00232674"/>
    <w:rsid w:val="00242085"/>
    <w:rsid w:val="00270566"/>
    <w:rsid w:val="002773D9"/>
    <w:rsid w:val="00281C9B"/>
    <w:rsid w:val="00284E58"/>
    <w:rsid w:val="00292ED3"/>
    <w:rsid w:val="0029372F"/>
    <w:rsid w:val="00293EA2"/>
    <w:rsid w:val="00315320"/>
    <w:rsid w:val="003311EB"/>
    <w:rsid w:val="00350806"/>
    <w:rsid w:val="00354EAA"/>
    <w:rsid w:val="00366A41"/>
    <w:rsid w:val="00366A6C"/>
    <w:rsid w:val="00367D28"/>
    <w:rsid w:val="003813D7"/>
    <w:rsid w:val="003859DF"/>
    <w:rsid w:val="003C4738"/>
    <w:rsid w:val="00427AC1"/>
    <w:rsid w:val="00427CED"/>
    <w:rsid w:val="00436644"/>
    <w:rsid w:val="00464228"/>
    <w:rsid w:val="004E1627"/>
    <w:rsid w:val="00546DC0"/>
    <w:rsid w:val="0058598A"/>
    <w:rsid w:val="00586639"/>
    <w:rsid w:val="006258B5"/>
    <w:rsid w:val="00642826"/>
    <w:rsid w:val="006B4709"/>
    <w:rsid w:val="006D131E"/>
    <w:rsid w:val="00705194"/>
    <w:rsid w:val="007053C3"/>
    <w:rsid w:val="00725059"/>
    <w:rsid w:val="00736679"/>
    <w:rsid w:val="00794F90"/>
    <w:rsid w:val="00795E4D"/>
    <w:rsid w:val="007D0AB7"/>
    <w:rsid w:val="007F6699"/>
    <w:rsid w:val="007F776D"/>
    <w:rsid w:val="00871A37"/>
    <w:rsid w:val="008D1C0C"/>
    <w:rsid w:val="00941C23"/>
    <w:rsid w:val="00941E3F"/>
    <w:rsid w:val="00957070"/>
    <w:rsid w:val="00957FC6"/>
    <w:rsid w:val="00970F1B"/>
    <w:rsid w:val="009C7733"/>
    <w:rsid w:val="00A141C5"/>
    <w:rsid w:val="00A21B8A"/>
    <w:rsid w:val="00A267AD"/>
    <w:rsid w:val="00A26E78"/>
    <w:rsid w:val="00A613BC"/>
    <w:rsid w:val="00A93729"/>
    <w:rsid w:val="00A971EA"/>
    <w:rsid w:val="00AA40E5"/>
    <w:rsid w:val="00AC3D3D"/>
    <w:rsid w:val="00AD06D8"/>
    <w:rsid w:val="00AD126E"/>
    <w:rsid w:val="00AD1438"/>
    <w:rsid w:val="00B14CFF"/>
    <w:rsid w:val="00B1783C"/>
    <w:rsid w:val="00B413DA"/>
    <w:rsid w:val="00B868B6"/>
    <w:rsid w:val="00BA7105"/>
    <w:rsid w:val="00BB62D2"/>
    <w:rsid w:val="00BC0817"/>
    <w:rsid w:val="00BC4923"/>
    <w:rsid w:val="00BC670C"/>
    <w:rsid w:val="00BD29EC"/>
    <w:rsid w:val="00C06938"/>
    <w:rsid w:val="00C11CDB"/>
    <w:rsid w:val="00C1689D"/>
    <w:rsid w:val="00C22AC8"/>
    <w:rsid w:val="00C40850"/>
    <w:rsid w:val="00C60459"/>
    <w:rsid w:val="00C76849"/>
    <w:rsid w:val="00C93680"/>
    <w:rsid w:val="00CB1719"/>
    <w:rsid w:val="00CB341C"/>
    <w:rsid w:val="00CB760A"/>
    <w:rsid w:val="00CE5C85"/>
    <w:rsid w:val="00D14BCC"/>
    <w:rsid w:val="00D40E66"/>
    <w:rsid w:val="00D5170B"/>
    <w:rsid w:val="00D52440"/>
    <w:rsid w:val="00D54E32"/>
    <w:rsid w:val="00D64D8D"/>
    <w:rsid w:val="00D6652B"/>
    <w:rsid w:val="00DA69EC"/>
    <w:rsid w:val="00DC47B5"/>
    <w:rsid w:val="00DD1BA7"/>
    <w:rsid w:val="00DE10A7"/>
    <w:rsid w:val="00DE461A"/>
    <w:rsid w:val="00DF2D9A"/>
    <w:rsid w:val="00E05AB9"/>
    <w:rsid w:val="00E743B2"/>
    <w:rsid w:val="00EA106A"/>
    <w:rsid w:val="00EB589A"/>
    <w:rsid w:val="00ED39BA"/>
    <w:rsid w:val="00F17384"/>
    <w:rsid w:val="00F25E7F"/>
    <w:rsid w:val="00F4521F"/>
    <w:rsid w:val="00F5385D"/>
    <w:rsid w:val="00F638E5"/>
    <w:rsid w:val="00F63B9E"/>
    <w:rsid w:val="00F82C6B"/>
    <w:rsid w:val="00FE6C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AC8"/>
    <w:pPr>
      <w:widowControl w:val="0"/>
      <w:jc w:val="both"/>
    </w:pPr>
  </w:style>
  <w:style w:type="paragraph" w:styleId="4">
    <w:name w:val="heading 4"/>
    <w:basedOn w:val="a"/>
    <w:next w:val="a"/>
    <w:link w:val="4Char"/>
    <w:qFormat/>
    <w:rsid w:val="00366A6C"/>
    <w:pPr>
      <w:keepNext/>
      <w:keepLines/>
      <w:numPr>
        <w:ilvl w:val="3"/>
        <w:numId w:val="1"/>
      </w:numPr>
      <w:spacing w:line="360" w:lineRule="auto"/>
      <w:ind w:left="0" w:firstLine="0"/>
      <w:outlineLvl w:val="3"/>
    </w:pPr>
    <w:rPr>
      <w:rFonts w:ascii="Calibri" w:eastAsia="黑体" w:hAnsi="Calibri" w:cs="Times New Roman"/>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27CED"/>
    <w:pPr>
      <w:ind w:firstLineChars="200" w:firstLine="420"/>
    </w:pPr>
  </w:style>
  <w:style w:type="table" w:styleId="a4">
    <w:name w:val="Table Grid"/>
    <w:basedOn w:val="a1"/>
    <w:uiPriority w:val="39"/>
    <w:rsid w:val="00A141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unhideWhenUsed/>
    <w:rsid w:val="0046422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464228"/>
    <w:rPr>
      <w:sz w:val="18"/>
      <w:szCs w:val="18"/>
    </w:rPr>
  </w:style>
  <w:style w:type="paragraph" w:styleId="a6">
    <w:name w:val="footer"/>
    <w:basedOn w:val="a"/>
    <w:link w:val="Char0"/>
    <w:uiPriority w:val="99"/>
    <w:unhideWhenUsed/>
    <w:rsid w:val="00464228"/>
    <w:pPr>
      <w:tabs>
        <w:tab w:val="center" w:pos="4153"/>
        <w:tab w:val="right" w:pos="8306"/>
      </w:tabs>
      <w:snapToGrid w:val="0"/>
      <w:jc w:val="left"/>
    </w:pPr>
    <w:rPr>
      <w:sz w:val="18"/>
      <w:szCs w:val="18"/>
    </w:rPr>
  </w:style>
  <w:style w:type="character" w:customStyle="1" w:styleId="Char0">
    <w:name w:val="页脚 Char"/>
    <w:basedOn w:val="a0"/>
    <w:link w:val="a6"/>
    <w:uiPriority w:val="99"/>
    <w:rsid w:val="00464228"/>
    <w:rPr>
      <w:sz w:val="18"/>
      <w:szCs w:val="18"/>
    </w:rPr>
  </w:style>
  <w:style w:type="paragraph" w:styleId="a7">
    <w:name w:val="caption"/>
    <w:aliases w:val="实德题注,题注 Char Char Char,题注 Char Char Char Char Char Char,题注 Char Char Char Char Char Char Char,题注 Char Char Char Char Char Char1 Char Char,题注 Char Char Char Char Char Char Char Char,题注1 Char Char,题注 Char Char Char Char"/>
    <w:basedOn w:val="a"/>
    <w:next w:val="a"/>
    <w:link w:val="Char1"/>
    <w:qFormat/>
    <w:rsid w:val="00C60459"/>
    <w:pPr>
      <w:jc w:val="center"/>
    </w:pPr>
    <w:rPr>
      <w:rFonts w:ascii="Times New Roman" w:eastAsia="黑体" w:hAnsi="Times New Roman" w:cs="Times New Roman"/>
      <w:sz w:val="24"/>
      <w:szCs w:val="20"/>
    </w:rPr>
  </w:style>
  <w:style w:type="character" w:customStyle="1" w:styleId="Char1">
    <w:name w:val="题注 Char"/>
    <w:aliases w:val="实德题注 Char,题注 Char Char Char Char1,题注 Char Char Char Char Char Char Char1,题注 Char Char Char Char Char Char Char Char1,题注 Char Char Char Char Char Char1 Char Char Char,题注 Char Char Char Char Char Char Char Char Char,题注1 Char Char Char"/>
    <w:link w:val="a7"/>
    <w:rsid w:val="00C60459"/>
    <w:rPr>
      <w:rFonts w:ascii="Times New Roman" w:eastAsia="黑体" w:hAnsi="Times New Roman" w:cs="Times New Roman"/>
      <w:sz w:val="24"/>
      <w:szCs w:val="20"/>
    </w:rPr>
  </w:style>
  <w:style w:type="character" w:customStyle="1" w:styleId="4Char">
    <w:name w:val="标题 4 Char"/>
    <w:basedOn w:val="a0"/>
    <w:link w:val="4"/>
    <w:rsid w:val="00366A6C"/>
    <w:rPr>
      <w:rFonts w:ascii="Calibri" w:eastAsia="黑体" w:hAnsi="Calibri" w:cs="Times New Roman"/>
      <w:bCs/>
      <w:sz w:val="28"/>
      <w:szCs w:val="28"/>
    </w:rPr>
  </w:style>
  <w:style w:type="character" w:customStyle="1" w:styleId="Char2">
    <w:name w:val="纯文本 Char"/>
    <w:link w:val="a8"/>
    <w:rsid w:val="00366A6C"/>
    <w:rPr>
      <w:rFonts w:ascii="宋体" w:hAnsi="Courier New" w:cs="Courier New"/>
      <w:szCs w:val="21"/>
    </w:rPr>
  </w:style>
  <w:style w:type="paragraph" w:styleId="a8">
    <w:name w:val="Plain Text"/>
    <w:basedOn w:val="a"/>
    <w:link w:val="Char2"/>
    <w:rsid w:val="00366A6C"/>
    <w:pPr>
      <w:spacing w:line="360" w:lineRule="auto"/>
    </w:pPr>
    <w:rPr>
      <w:rFonts w:ascii="宋体" w:hAnsi="Courier New" w:cs="Courier New"/>
      <w:szCs w:val="21"/>
    </w:rPr>
  </w:style>
  <w:style w:type="character" w:customStyle="1" w:styleId="Char10">
    <w:name w:val="纯文本 Char1"/>
    <w:basedOn w:val="a0"/>
    <w:uiPriority w:val="99"/>
    <w:semiHidden/>
    <w:rsid w:val="00366A6C"/>
    <w:rPr>
      <w:rFonts w:ascii="宋体" w:eastAsia="宋体" w:hAnsi="Courier New" w:cs="Courier New"/>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516214D-34E3-4586-B219-DC79C08B98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2</Pages>
  <Words>163</Words>
  <Characters>932</Characters>
  <Application>Microsoft Office Word</Application>
  <DocSecurity>0</DocSecurity>
  <Lines>7</Lines>
  <Paragraphs>2</Paragraphs>
  <ScaleCrop>false</ScaleCrop>
  <Company>Microsoft</Company>
  <LinksUpToDate>false</LinksUpToDate>
  <CharactersWithSpaces>1093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Zhen Wu</dc:creator>
  <cp:lastModifiedBy>msi</cp:lastModifiedBy>
  <cp:revision>65</cp:revision>
  <dcterms:created xsi:type="dcterms:W3CDTF">2017-08-14T07:03:00Z</dcterms:created>
  <dcterms:modified xsi:type="dcterms:W3CDTF">2021-11-18T06:40:00Z</dcterms:modified>
</cp:coreProperties>
</file>