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四川振鸿钢制品有限公司四川振鸿（二期）热浸锌项目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黑体"/>
          <w:b/>
          <w:sz w:val="28"/>
          <w:szCs w:val="28"/>
          <w:lang w:eastAsia="zh-CN"/>
        </w:rPr>
      </w:pPr>
      <w:r>
        <w:rPr>
          <w:rFonts w:eastAsia="黑体"/>
          <w:b/>
          <w:sz w:val="28"/>
          <w:szCs w:val="28"/>
        </w:rPr>
        <w:t>环境影响报告书</w:t>
      </w:r>
      <w:r>
        <w:rPr>
          <w:rFonts w:hint="eastAsia" w:eastAsia="黑体"/>
          <w:b/>
          <w:sz w:val="28"/>
          <w:szCs w:val="28"/>
          <w:lang w:eastAsia="zh-CN"/>
        </w:rPr>
        <w:t>报批前公示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《四川振鸿钢制品有限公司四川振鸿（二期）热浸锌项目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环境影响报告书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》（报批本）已形成，根据生态环境部2018年4月16日发布的《环境影响评价公众参与办法》（生态环境部令第4号文）有关规定，四川振鸿钢制品有限公司现将环境影响报告书全本进行公示，详见附件。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四川振鸿钢制品有限公司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2022年4月14日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03041"/>
    <w:rsid w:val="556450ED"/>
    <w:rsid w:val="5F4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nth-child(1)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195</Characters>
  <Lines>0</Lines>
  <Paragraphs>0</Paragraphs>
  <TotalTime>0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2020-05-29T00:56:00Z</dcterms:created>
  <dc:creator>Administrator</dc:creator>
  <cp:lastModifiedBy>剑</cp:lastModifiedBy>
  <dcterms:modified xsi:type="dcterms:W3CDTF">2022-04-14T05:56:29Z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BF709EDA9CBD43298EEF7CC1969D28BB</vt:lpwstr>
  </property>
</Properties>
</file>