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67" w:rsidRPr="00E935AE" w:rsidRDefault="00CD52C3" w:rsidP="00CD52C3">
      <w:pPr>
        <w:spacing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环保信息公开</w:t>
      </w:r>
    </w:p>
    <w:p w:rsidR="00AC3047" w:rsidRPr="00384367" w:rsidRDefault="00AC3047">
      <w:pPr>
        <w:rPr>
          <w:rFonts w:ascii="仿宋_GB2312" w:eastAsia="仿宋_GB2312"/>
          <w:sz w:val="32"/>
          <w:szCs w:val="32"/>
        </w:rPr>
      </w:pPr>
    </w:p>
    <w:p w:rsidR="000B44D2" w:rsidRPr="000B44D2" w:rsidRDefault="00D40D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宜宾市</w:t>
      </w:r>
      <w:r w:rsidR="00FE705F">
        <w:rPr>
          <w:rFonts w:ascii="仿宋_GB2312" w:eastAsia="仿宋_GB2312" w:hint="eastAsia"/>
          <w:sz w:val="32"/>
          <w:szCs w:val="32"/>
        </w:rPr>
        <w:t>生态环境局</w:t>
      </w:r>
      <w:r w:rsidR="000B44D2">
        <w:rPr>
          <w:rFonts w:ascii="仿宋_GB2312" w:eastAsia="仿宋_GB2312" w:hint="eastAsia"/>
          <w:sz w:val="32"/>
          <w:szCs w:val="32"/>
        </w:rPr>
        <w:t>：</w:t>
      </w:r>
    </w:p>
    <w:p w:rsidR="004922B9" w:rsidRDefault="004922B9" w:rsidP="004922B9">
      <w:pPr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我公司</w:t>
      </w:r>
      <w:r w:rsidR="00702507">
        <w:rPr>
          <w:rFonts w:ascii="仿宋_GB2312" w:eastAsia="仿宋_GB2312" w:hAnsi="黑体" w:hint="eastAsia"/>
          <w:color w:val="000000"/>
          <w:sz w:val="32"/>
          <w:szCs w:val="32"/>
        </w:rPr>
        <w:t>现有环保信息公开材料通过公司官方网站（www.sjjx.cn</w:t>
      </w:r>
      <w:r w:rsidR="00702507">
        <w:rPr>
          <w:rFonts w:ascii="仿宋_GB2312" w:eastAsia="仿宋_GB2312" w:hAnsi="黑体"/>
          <w:color w:val="000000"/>
          <w:sz w:val="32"/>
          <w:szCs w:val="32"/>
        </w:rPr>
        <w:t>）</w:t>
      </w:r>
      <w:r w:rsidR="00702507">
        <w:rPr>
          <w:rFonts w:ascii="仿宋_GB2312" w:eastAsia="仿宋_GB2312" w:hAnsi="黑体" w:hint="eastAsia"/>
          <w:color w:val="000000"/>
          <w:sz w:val="32"/>
          <w:szCs w:val="32"/>
        </w:rPr>
        <w:t>作为公</w:t>
      </w:r>
      <w:r w:rsidR="00AF389B">
        <w:rPr>
          <w:rFonts w:ascii="仿宋_GB2312" w:eastAsia="仿宋_GB2312" w:hAnsi="黑体" w:hint="eastAsia"/>
          <w:color w:val="000000"/>
          <w:sz w:val="32"/>
          <w:szCs w:val="32"/>
        </w:rPr>
        <w:t>布</w:t>
      </w:r>
      <w:r w:rsidR="00702507">
        <w:rPr>
          <w:rFonts w:ascii="仿宋_GB2312" w:eastAsia="仿宋_GB2312" w:hAnsi="黑体" w:hint="eastAsia"/>
          <w:color w:val="000000"/>
          <w:sz w:val="32"/>
          <w:szCs w:val="32"/>
        </w:rPr>
        <w:t>的平台</w:t>
      </w:r>
      <w:r w:rsidR="00AF389B">
        <w:rPr>
          <w:rFonts w:ascii="仿宋_GB2312" w:eastAsia="仿宋_GB2312" w:hAnsi="黑体" w:hint="eastAsia"/>
          <w:color w:val="000000"/>
          <w:sz w:val="32"/>
          <w:szCs w:val="32"/>
        </w:rPr>
        <w:t>向社会公开</w:t>
      </w:r>
      <w:r w:rsidR="00702507">
        <w:rPr>
          <w:rFonts w:ascii="仿宋_GB2312" w:eastAsia="仿宋_GB2312" w:hAnsi="黑体" w:hint="eastAsia"/>
          <w:color w:val="000000"/>
          <w:sz w:val="32"/>
          <w:szCs w:val="32"/>
        </w:rPr>
        <w:t>。公司高度重视网站的建设和管理工作，力争</w:t>
      </w:r>
      <w:r w:rsidR="0055736D">
        <w:rPr>
          <w:rFonts w:ascii="仿宋_GB2312" w:eastAsia="仿宋_GB2312" w:hAnsi="黑体" w:hint="eastAsia"/>
          <w:color w:val="000000"/>
          <w:sz w:val="32"/>
          <w:szCs w:val="32"/>
        </w:rPr>
        <w:t>在不涉及到国家军工秘密的范围内</w:t>
      </w:r>
      <w:r w:rsidR="00702507">
        <w:rPr>
          <w:rFonts w:ascii="仿宋_GB2312" w:eastAsia="仿宋_GB2312" w:hAnsi="黑体" w:hint="eastAsia"/>
          <w:color w:val="000000"/>
          <w:sz w:val="32"/>
          <w:szCs w:val="32"/>
        </w:rPr>
        <w:t>做到环保信息的公开化和透明化</w:t>
      </w:r>
      <w:r w:rsidR="0055736D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p w:rsidR="00FE705F" w:rsidRPr="00FE705F" w:rsidRDefault="00FE705F" w:rsidP="00FE705F">
      <w:pPr>
        <w:spacing w:line="600" w:lineRule="exact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FE705F">
        <w:rPr>
          <w:rFonts w:ascii="仿宋_GB2312" w:eastAsia="仿宋_GB2312" w:hAnsiTheme="minorEastAsia" w:hint="eastAsia"/>
          <w:bCs/>
          <w:sz w:val="32"/>
          <w:szCs w:val="32"/>
        </w:rPr>
        <w:t>公司多年来高度重视环境保护管理，建立了公司环境保护管理体系，成立了由公司主管副总经理任主任，总工程师、工会主席以及相关部门第一行政负责人任成员的环境保护委员会，设置了环境保护的管理机构（质量安全部），设部长1人，副部长2人，配备了1名专职的环保管理人员从事公司环境保护的管理工作，各基层单位和管理部室均指定了兼职技安环保员，各生产班组指定了兼职班组安全环保员，形成了公司环境保护工作的管理网络。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公司加强贯彻《中华人民共和国环境保护法》，严格执行国家环保法律法规，制定了《环境保护工作管理制度》、《危险废物管理制度》、《污水处理设施运行管理制度》等制度，《突发环境事件综合应急预案》以及相关的专项应急预案、现场处置预案，确保公司环境保护工作的正常有序开展。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（二）公司主要的污染源及污染物有：①大气污染物②水污染物③固体废弃物④噪声。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lastRenderedPageBreak/>
        <w:t>（三）环保监测检查情况及结论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公司通过《基础设施改造及节能减排改造》技改项目对表面处理车间及电镀废水处理系统改造、目前设置6套电镀废气净化装置、采用燃气锅炉替代原有燃煤锅炉。并于2018年底对喷漆房挥发性有机物废气的环保治理设施进行了更新，采用催化燃烧和</w:t>
      </w:r>
      <w:r w:rsidRPr="00FE705F">
        <w:rPr>
          <w:rFonts w:ascii="仿宋_GB2312" w:eastAsia="仿宋_GB2312" w:hAnsi="宋体" w:cs="仿宋" w:hint="eastAsia"/>
          <w:sz w:val="32"/>
          <w:szCs w:val="32"/>
        </w:rPr>
        <w:t>光催化氧化活性炭纤维吸附一体机</w:t>
      </w:r>
      <w:r w:rsidRPr="00FE705F">
        <w:rPr>
          <w:rFonts w:ascii="仿宋_GB2312" w:eastAsia="仿宋_GB2312" w:hAnsiTheme="minorEastAsia" w:cs="仿宋" w:hint="eastAsia"/>
          <w:sz w:val="32"/>
          <w:szCs w:val="32"/>
        </w:rPr>
        <w:t>对喷漆废气进行环保处理，严格保证达标排放。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公司委托有资质的环保检测公司对电镀废水进行日监测，严格做好监测工作。对车间排口废水取样监测，于取样当天将监测结果反馈公司，公司再根据监测结果决定排水与否。若监测结果达标，将废水外排；若不达标，将池子里的废水抽回酸碱废水调节池重新处理，坚决不将超标的废水外排。同时，公司在车间排口安装了视频监控及两台废水流量计，做好排放记录，确保公司严格执行国家法律规定，无偷排漏排现象。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从项目的验收监测数据及委托日监测数据来看，公司的废水基本达标排放，满足《电镀污染物排放标准》（GB21900-2008）；废气去除率99%，废气排放满足《电镀污染物排放标准》（GB21900-2008）表5标准限值要求。</w:t>
      </w:r>
    </w:p>
    <w:p w:rsidR="00FE705F" w:rsidRPr="00FE705F" w:rsidRDefault="00FE705F" w:rsidP="00FE705F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公司危险废物存放点地面均进行硬化防渗处理，周围设置了围堰、排水沟等，管理制度均已上墙，标识标示都已完善。危险废物有专人收集、管理并做好危废交接、储存台账</w:t>
      </w:r>
      <w:r w:rsidRPr="00FE705F">
        <w:rPr>
          <w:rFonts w:ascii="仿宋_GB2312" w:eastAsia="仿宋_GB2312" w:hAnsiTheme="minorEastAsia" w:hint="eastAsia"/>
          <w:sz w:val="32"/>
          <w:szCs w:val="32"/>
        </w:rPr>
        <w:lastRenderedPageBreak/>
        <w:t>管理，达到一定数量后，每年送有资质的危废处理单位处理。在平日的安全生产中，公司不定期的对危险废物库房进行检查，防范未然。</w:t>
      </w:r>
    </w:p>
    <w:p w:rsidR="003935C5" w:rsidRPr="00FE705F" w:rsidRDefault="00FE705F" w:rsidP="00FE70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E705F">
        <w:rPr>
          <w:rFonts w:ascii="仿宋_GB2312" w:eastAsia="仿宋_GB2312" w:hAnsiTheme="minorEastAsia" w:hint="eastAsia"/>
          <w:sz w:val="32"/>
          <w:szCs w:val="32"/>
        </w:rPr>
        <w:t>公司的各产噪设备经过车间隔声，设置独立放置间、加设底座减震和进风口软垫等隔声、减振措施后，能够有效削减噪声等级。从公司职业卫生评价及有害作业场所职业健康检测报告可知，公司现厂界噪声能够达到《工业企业厂界环境噪声排放标准》（GB12348-2008）2类标准限值。</w:t>
      </w:r>
    </w:p>
    <w:p w:rsidR="00FE705F" w:rsidRDefault="00FE705F" w:rsidP="00DA7EE5">
      <w:pPr>
        <w:spacing w:line="360" w:lineRule="auto"/>
        <w:ind w:firstLineChars="1150" w:firstLine="3680"/>
        <w:rPr>
          <w:rFonts w:ascii="仿宋_GB2312" w:eastAsia="仿宋_GB2312" w:hAnsi="宋体" w:hint="eastAsia"/>
          <w:bCs/>
          <w:sz w:val="32"/>
          <w:szCs w:val="32"/>
        </w:rPr>
      </w:pPr>
    </w:p>
    <w:p w:rsidR="00AA7400" w:rsidRDefault="00DA7EE5" w:rsidP="00DA7EE5">
      <w:pPr>
        <w:spacing w:line="360" w:lineRule="auto"/>
        <w:ind w:firstLineChars="1150" w:firstLine="36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宜宾三江机械有限责任公司</w:t>
      </w:r>
    </w:p>
    <w:p w:rsidR="00AA7400" w:rsidRPr="00CB5049" w:rsidRDefault="00DA7EE5" w:rsidP="00531949">
      <w:pPr>
        <w:spacing w:line="360" w:lineRule="auto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宋体"/>
          <w:bCs/>
          <w:sz w:val="32"/>
          <w:szCs w:val="32"/>
        </w:rPr>
        <w:t>20</w:t>
      </w:r>
      <w:r w:rsidR="00FE705F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/>
          <w:bCs/>
          <w:sz w:val="32"/>
          <w:szCs w:val="32"/>
        </w:rPr>
        <w:t>年</w:t>
      </w:r>
      <w:r w:rsidR="00FE705F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/>
          <w:bCs/>
          <w:sz w:val="32"/>
          <w:szCs w:val="32"/>
        </w:rPr>
        <w:t>2月</w:t>
      </w:r>
      <w:r w:rsidR="00FE705F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/>
          <w:bCs/>
          <w:sz w:val="32"/>
          <w:szCs w:val="32"/>
        </w:rPr>
        <w:t>日</w:t>
      </w:r>
    </w:p>
    <w:sectPr w:rsidR="00AA7400" w:rsidRPr="00CB5049" w:rsidSect="00BE46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97" w:rsidRDefault="00455197" w:rsidP="00E90BEF">
      <w:r>
        <w:separator/>
      </w:r>
    </w:p>
  </w:endnote>
  <w:endnote w:type="continuationSeparator" w:id="1">
    <w:p w:rsidR="00455197" w:rsidRDefault="00455197" w:rsidP="00E9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73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F128D" w:rsidRDefault="006F128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C7B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C7B46">
              <w:rPr>
                <w:b/>
                <w:sz w:val="24"/>
                <w:szCs w:val="24"/>
              </w:rPr>
              <w:fldChar w:fldCharType="separate"/>
            </w:r>
            <w:r w:rsidR="00FE705F">
              <w:rPr>
                <w:b/>
                <w:noProof/>
              </w:rPr>
              <w:t>1</w:t>
            </w:r>
            <w:r w:rsidR="00DC7B4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C7B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C7B46">
              <w:rPr>
                <w:b/>
                <w:sz w:val="24"/>
                <w:szCs w:val="24"/>
              </w:rPr>
              <w:fldChar w:fldCharType="separate"/>
            </w:r>
            <w:r w:rsidR="00FE705F">
              <w:rPr>
                <w:b/>
                <w:noProof/>
              </w:rPr>
              <w:t>3</w:t>
            </w:r>
            <w:r w:rsidR="00DC7B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128D" w:rsidRDefault="006F12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97" w:rsidRDefault="00455197" w:rsidP="00E90BEF">
      <w:r>
        <w:separator/>
      </w:r>
    </w:p>
  </w:footnote>
  <w:footnote w:type="continuationSeparator" w:id="1">
    <w:p w:rsidR="00455197" w:rsidRDefault="00455197" w:rsidP="00E9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F28"/>
    <w:rsid w:val="00005996"/>
    <w:rsid w:val="0002204E"/>
    <w:rsid w:val="00022680"/>
    <w:rsid w:val="00082CF6"/>
    <w:rsid w:val="000B44D2"/>
    <w:rsid w:val="000C21BA"/>
    <w:rsid w:val="000C72E0"/>
    <w:rsid w:val="000E275D"/>
    <w:rsid w:val="00125267"/>
    <w:rsid w:val="0016350A"/>
    <w:rsid w:val="00195A0C"/>
    <w:rsid w:val="001D7E22"/>
    <w:rsid w:val="0023256E"/>
    <w:rsid w:val="00234F94"/>
    <w:rsid w:val="00237404"/>
    <w:rsid w:val="002506AC"/>
    <w:rsid w:val="002D1FF0"/>
    <w:rsid w:val="002D2347"/>
    <w:rsid w:val="002E56A9"/>
    <w:rsid w:val="00303F7D"/>
    <w:rsid w:val="00307A60"/>
    <w:rsid w:val="003223A7"/>
    <w:rsid w:val="00324AB2"/>
    <w:rsid w:val="00372F47"/>
    <w:rsid w:val="00384367"/>
    <w:rsid w:val="00387973"/>
    <w:rsid w:val="00391176"/>
    <w:rsid w:val="003935C5"/>
    <w:rsid w:val="00396331"/>
    <w:rsid w:val="003B74CE"/>
    <w:rsid w:val="003D4193"/>
    <w:rsid w:val="003F1BD1"/>
    <w:rsid w:val="00401DB7"/>
    <w:rsid w:val="0044273D"/>
    <w:rsid w:val="00455197"/>
    <w:rsid w:val="0048018D"/>
    <w:rsid w:val="004922B9"/>
    <w:rsid w:val="004C607A"/>
    <w:rsid w:val="004D5E4A"/>
    <w:rsid w:val="004F0FC8"/>
    <w:rsid w:val="00522524"/>
    <w:rsid w:val="00531949"/>
    <w:rsid w:val="00545EAE"/>
    <w:rsid w:val="005514C9"/>
    <w:rsid w:val="0055736D"/>
    <w:rsid w:val="00577414"/>
    <w:rsid w:val="005833FF"/>
    <w:rsid w:val="005A31ED"/>
    <w:rsid w:val="005C4A92"/>
    <w:rsid w:val="005E75F1"/>
    <w:rsid w:val="005F1A62"/>
    <w:rsid w:val="00646C68"/>
    <w:rsid w:val="00656F28"/>
    <w:rsid w:val="00676B32"/>
    <w:rsid w:val="006B1CE9"/>
    <w:rsid w:val="006F128D"/>
    <w:rsid w:val="00702507"/>
    <w:rsid w:val="00725810"/>
    <w:rsid w:val="00760ACB"/>
    <w:rsid w:val="007639B7"/>
    <w:rsid w:val="00767CBE"/>
    <w:rsid w:val="00790925"/>
    <w:rsid w:val="007B0AED"/>
    <w:rsid w:val="007B57CD"/>
    <w:rsid w:val="007B5B38"/>
    <w:rsid w:val="007C4ACC"/>
    <w:rsid w:val="007E5CE4"/>
    <w:rsid w:val="00830530"/>
    <w:rsid w:val="00830E2F"/>
    <w:rsid w:val="008E02D1"/>
    <w:rsid w:val="008E6CE7"/>
    <w:rsid w:val="00934FBD"/>
    <w:rsid w:val="009C430B"/>
    <w:rsid w:val="009E106B"/>
    <w:rsid w:val="009E12F7"/>
    <w:rsid w:val="00A05A7A"/>
    <w:rsid w:val="00A7089F"/>
    <w:rsid w:val="00A96F5A"/>
    <w:rsid w:val="00AA7400"/>
    <w:rsid w:val="00AC3047"/>
    <w:rsid w:val="00AC55C1"/>
    <w:rsid w:val="00AD40D5"/>
    <w:rsid w:val="00AF33EA"/>
    <w:rsid w:val="00AF389B"/>
    <w:rsid w:val="00AF48E3"/>
    <w:rsid w:val="00AF5FF8"/>
    <w:rsid w:val="00B20DFA"/>
    <w:rsid w:val="00B3150C"/>
    <w:rsid w:val="00B41771"/>
    <w:rsid w:val="00BC15E5"/>
    <w:rsid w:val="00BE00B9"/>
    <w:rsid w:val="00BE4680"/>
    <w:rsid w:val="00C20350"/>
    <w:rsid w:val="00C33C7C"/>
    <w:rsid w:val="00C645CC"/>
    <w:rsid w:val="00C7239F"/>
    <w:rsid w:val="00C8746F"/>
    <w:rsid w:val="00CA11FC"/>
    <w:rsid w:val="00CB5049"/>
    <w:rsid w:val="00CD1405"/>
    <w:rsid w:val="00CD52C3"/>
    <w:rsid w:val="00CE0648"/>
    <w:rsid w:val="00D063AD"/>
    <w:rsid w:val="00D20EAB"/>
    <w:rsid w:val="00D32ABC"/>
    <w:rsid w:val="00D40D4F"/>
    <w:rsid w:val="00D772C2"/>
    <w:rsid w:val="00DA7EE5"/>
    <w:rsid w:val="00DB469A"/>
    <w:rsid w:val="00DC7B46"/>
    <w:rsid w:val="00DD4239"/>
    <w:rsid w:val="00DF5C80"/>
    <w:rsid w:val="00E07FDE"/>
    <w:rsid w:val="00E63D79"/>
    <w:rsid w:val="00E90BEF"/>
    <w:rsid w:val="00ED02BA"/>
    <w:rsid w:val="00EF4C19"/>
    <w:rsid w:val="00F15B18"/>
    <w:rsid w:val="00F405B0"/>
    <w:rsid w:val="00F452C5"/>
    <w:rsid w:val="00FA086B"/>
    <w:rsid w:val="00FA5C32"/>
    <w:rsid w:val="00FC26F9"/>
    <w:rsid w:val="00FD1200"/>
    <w:rsid w:val="00F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>中航工业三江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于志勇</dc:creator>
  <cp:keywords/>
  <dc:description/>
  <cp:lastModifiedBy>万宾</cp:lastModifiedBy>
  <cp:revision>2</cp:revision>
  <dcterms:created xsi:type="dcterms:W3CDTF">2020-12-01T01:59:00Z</dcterms:created>
  <dcterms:modified xsi:type="dcterms:W3CDTF">2020-12-01T01:59:00Z</dcterms:modified>
</cp:coreProperties>
</file>