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C" w:rsidRDefault="002A263B">
      <w:pPr>
        <w:jc w:val="center"/>
        <w:rPr>
          <w:rFonts w:ascii="宋体" w:hAnsi="宋体"/>
          <w:b/>
          <w:sz w:val="36"/>
          <w:szCs w:val="36"/>
        </w:rPr>
      </w:pPr>
      <w:r>
        <w:rPr>
          <w:rFonts w:ascii="宋体" w:hAnsi="宋体" w:hint="eastAsia"/>
          <w:b/>
          <w:sz w:val="36"/>
          <w:szCs w:val="36"/>
        </w:rPr>
        <w:t>拍 卖 公 告</w:t>
      </w:r>
    </w:p>
    <w:p w:rsidR="005537FC" w:rsidRDefault="002A263B">
      <w:pPr>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 受中国东方资产管理股份有限公司河南省分公司委托，我公司定于</w:t>
      </w:r>
      <w:r w:rsidR="00784B82">
        <w:rPr>
          <w:rFonts w:ascii="仿宋_GB2312" w:eastAsia="仿宋_GB2312" w:hAnsi="宋体" w:hint="eastAsia"/>
          <w:bCs/>
          <w:sz w:val="28"/>
          <w:szCs w:val="28"/>
        </w:rPr>
        <w:t>202</w:t>
      </w:r>
      <w:r w:rsidR="00784B82">
        <w:rPr>
          <w:rFonts w:ascii="仿宋_GB2312" w:eastAsia="仿宋_GB2312" w:hAnsi="宋体"/>
          <w:bCs/>
          <w:sz w:val="28"/>
          <w:szCs w:val="28"/>
        </w:rPr>
        <w:t>1</w:t>
      </w:r>
      <w:r>
        <w:rPr>
          <w:rFonts w:ascii="仿宋_GB2312" w:eastAsia="仿宋_GB2312" w:hAnsi="宋体" w:hint="eastAsia"/>
          <w:bCs/>
          <w:sz w:val="28"/>
          <w:szCs w:val="28"/>
        </w:rPr>
        <w:t>年</w:t>
      </w:r>
      <w:r w:rsidR="00784B82">
        <w:rPr>
          <w:rFonts w:ascii="仿宋_GB2312" w:eastAsia="仿宋_GB2312" w:hAnsi="宋体"/>
          <w:bCs/>
          <w:sz w:val="28"/>
          <w:szCs w:val="28"/>
        </w:rPr>
        <w:t>6</w:t>
      </w:r>
      <w:r>
        <w:rPr>
          <w:rFonts w:ascii="仿宋_GB2312" w:eastAsia="仿宋_GB2312" w:hAnsi="宋体" w:hint="eastAsia"/>
          <w:bCs/>
          <w:sz w:val="28"/>
          <w:szCs w:val="28"/>
        </w:rPr>
        <w:t>月</w:t>
      </w:r>
      <w:r w:rsidR="004E4CCF">
        <w:rPr>
          <w:rFonts w:ascii="仿宋_GB2312" w:eastAsia="仿宋_GB2312" w:hAnsi="宋体"/>
          <w:bCs/>
          <w:sz w:val="28"/>
          <w:szCs w:val="28"/>
        </w:rPr>
        <w:t>23</w:t>
      </w:r>
      <w:r>
        <w:rPr>
          <w:rFonts w:ascii="仿宋_GB2312" w:eastAsia="仿宋_GB2312" w:hAnsi="宋体" w:hint="eastAsia"/>
          <w:bCs/>
          <w:sz w:val="28"/>
          <w:szCs w:val="28"/>
        </w:rPr>
        <w:t>日上午10时，在本公司拍卖大厅公开整体拍卖如下标的：</w:t>
      </w:r>
    </w:p>
    <w:p w:rsidR="005537FC" w:rsidRDefault="002A263B">
      <w:pPr>
        <w:spacing w:line="360" w:lineRule="auto"/>
        <w:ind w:firstLineChars="200" w:firstLine="562"/>
        <w:rPr>
          <w:rFonts w:ascii="仿宋_GB2312" w:eastAsia="仿宋_GB2312" w:hAnsi="宋体"/>
          <w:bCs/>
          <w:sz w:val="28"/>
          <w:szCs w:val="28"/>
        </w:rPr>
      </w:pPr>
      <w:r>
        <w:rPr>
          <w:rFonts w:ascii="仿宋_GB2312" w:eastAsia="仿宋_GB2312" w:hAnsi="宋体" w:hint="eastAsia"/>
          <w:b/>
          <w:sz w:val="28"/>
          <w:szCs w:val="28"/>
        </w:rPr>
        <w:t>一、拍卖标的：</w:t>
      </w:r>
      <w:r>
        <w:rPr>
          <w:rFonts w:ascii="仿宋_GB2312" w:eastAsia="仿宋_GB2312" w:hAnsi="宋体" w:hint="eastAsia"/>
          <w:bCs/>
          <w:sz w:val="28"/>
          <w:szCs w:val="28"/>
        </w:rPr>
        <w:t>委托人持有的</w:t>
      </w:r>
      <w:r w:rsidR="00784B82" w:rsidRPr="00E26D3C">
        <w:rPr>
          <w:rFonts w:ascii="仿宋" w:eastAsia="仿宋" w:hAnsi="仿宋" w:cs="仿宋" w:hint="eastAsia"/>
          <w:color w:val="000000" w:themeColor="text1"/>
          <w:kern w:val="0"/>
          <w:sz w:val="28"/>
          <w:szCs w:val="28"/>
          <w:shd w:val="clear" w:color="auto" w:fill="FFFFFF"/>
          <w:lang w:bidi="ar"/>
        </w:rPr>
        <w:t>河南中方棉业有限公司等3户</w:t>
      </w:r>
      <w:r>
        <w:rPr>
          <w:rFonts w:ascii="仿宋_GB2312" w:eastAsia="仿宋_GB2312" w:hAnsi="宋体" w:hint="eastAsia"/>
          <w:bCs/>
          <w:sz w:val="28"/>
          <w:szCs w:val="28"/>
        </w:rPr>
        <w:t>不良债权及其从权利，截</w:t>
      </w:r>
      <w:r w:rsidR="00052EE9">
        <w:rPr>
          <w:rFonts w:ascii="仿宋_GB2312" w:eastAsia="仿宋_GB2312" w:hAnsi="宋体" w:hint="eastAsia"/>
          <w:bCs/>
          <w:sz w:val="28"/>
          <w:szCs w:val="28"/>
        </w:rPr>
        <w:t>至</w:t>
      </w:r>
      <w:r>
        <w:rPr>
          <w:rFonts w:ascii="仿宋_GB2312" w:eastAsia="仿宋_GB2312" w:hAnsi="宋体" w:hint="eastAsia"/>
          <w:bCs/>
          <w:sz w:val="28"/>
          <w:szCs w:val="28"/>
        </w:rPr>
        <w:t>202</w:t>
      </w:r>
      <w:r w:rsidR="00784B82">
        <w:rPr>
          <w:rFonts w:ascii="仿宋_GB2312" w:eastAsia="仿宋_GB2312" w:hAnsi="宋体"/>
          <w:bCs/>
          <w:sz w:val="28"/>
          <w:szCs w:val="28"/>
        </w:rPr>
        <w:t>1</w:t>
      </w:r>
      <w:r>
        <w:rPr>
          <w:rFonts w:ascii="仿宋_GB2312" w:eastAsia="仿宋_GB2312" w:hAnsi="宋体" w:hint="eastAsia"/>
          <w:bCs/>
          <w:sz w:val="28"/>
          <w:szCs w:val="28"/>
        </w:rPr>
        <w:t>年</w:t>
      </w:r>
      <w:r w:rsidR="00784B82">
        <w:rPr>
          <w:rFonts w:ascii="仿宋_GB2312" w:eastAsia="仿宋_GB2312" w:hAnsi="宋体"/>
          <w:bCs/>
          <w:sz w:val="28"/>
          <w:szCs w:val="28"/>
        </w:rPr>
        <w:t>5</w:t>
      </w:r>
      <w:r>
        <w:rPr>
          <w:rFonts w:ascii="仿宋_GB2312" w:eastAsia="仿宋_GB2312" w:hAnsi="宋体" w:hint="eastAsia"/>
          <w:bCs/>
          <w:sz w:val="28"/>
          <w:szCs w:val="28"/>
        </w:rPr>
        <w:t>月</w:t>
      </w:r>
      <w:r w:rsidR="00784B82">
        <w:rPr>
          <w:rFonts w:ascii="仿宋_GB2312" w:eastAsia="仿宋_GB2312" w:hAnsi="宋体"/>
          <w:bCs/>
          <w:sz w:val="28"/>
          <w:szCs w:val="28"/>
        </w:rPr>
        <w:t>2</w:t>
      </w:r>
      <w:r>
        <w:rPr>
          <w:rFonts w:ascii="仿宋_GB2312" w:eastAsia="仿宋_GB2312" w:hAnsi="宋体" w:hint="eastAsia"/>
          <w:bCs/>
          <w:sz w:val="28"/>
          <w:szCs w:val="28"/>
        </w:rPr>
        <w:t>0日，债权本金余额为人民币</w:t>
      </w:r>
      <w:r w:rsidR="00784B82" w:rsidRPr="00E26D3C">
        <w:rPr>
          <w:rFonts w:ascii="仿宋" w:eastAsia="仿宋" w:hAnsi="仿宋" w:cs="仿宋" w:hint="eastAsia"/>
          <w:color w:val="000000" w:themeColor="text1"/>
          <w:kern w:val="0"/>
          <w:sz w:val="28"/>
          <w:szCs w:val="28"/>
          <w:shd w:val="clear" w:color="auto" w:fill="FFFFFF"/>
          <w:lang w:bidi="ar"/>
        </w:rPr>
        <w:t>合计891,920,126.75元，利息合计227,830,171.19元（包括表内利息、罚息等），费用合计941,701.50元，本息费用合计1,120,691,999.44元。</w:t>
      </w:r>
      <w:r w:rsidR="00784B82" w:rsidRPr="00E02A3A">
        <w:rPr>
          <w:rFonts w:ascii="仿宋" w:eastAsia="仿宋" w:hAnsi="仿宋" w:cs="仿宋" w:hint="eastAsia"/>
          <w:b/>
          <w:color w:val="000000" w:themeColor="text1"/>
          <w:kern w:val="0"/>
          <w:sz w:val="28"/>
          <w:szCs w:val="28"/>
          <w:shd w:val="clear" w:color="auto" w:fill="FFFFFF"/>
          <w:lang w:bidi="ar"/>
        </w:rPr>
        <w:t>特别说明：基准日之后已回收的246,236元不在本次转让范围内，该回收款项归</w:t>
      </w:r>
      <w:r w:rsidR="004D16FE">
        <w:rPr>
          <w:rFonts w:ascii="仿宋" w:eastAsia="仿宋" w:hAnsi="仿宋" w:cs="仿宋" w:hint="eastAsia"/>
          <w:b/>
          <w:color w:val="000000" w:themeColor="text1"/>
          <w:kern w:val="0"/>
          <w:sz w:val="28"/>
          <w:szCs w:val="28"/>
          <w:shd w:val="clear" w:color="auto" w:fill="FFFFFF"/>
          <w:lang w:bidi="ar"/>
        </w:rPr>
        <w:t>委托人</w:t>
      </w:r>
      <w:r w:rsidR="00784B82" w:rsidRPr="00E02A3A">
        <w:rPr>
          <w:rFonts w:ascii="仿宋" w:eastAsia="仿宋" w:hAnsi="仿宋" w:cs="仿宋" w:hint="eastAsia"/>
          <w:b/>
          <w:color w:val="000000" w:themeColor="text1"/>
          <w:kern w:val="0"/>
          <w:sz w:val="28"/>
          <w:szCs w:val="28"/>
          <w:shd w:val="clear" w:color="auto" w:fill="FFFFFF"/>
          <w:lang w:bidi="ar"/>
        </w:rPr>
        <w:t>所有。</w:t>
      </w:r>
      <w:r w:rsidR="00052EE9">
        <w:rPr>
          <w:rFonts w:ascii="仿宋_GB2312" w:eastAsia="仿宋_GB2312" w:hAnsi="宋体" w:hint="eastAsia"/>
          <w:bCs/>
          <w:sz w:val="28"/>
          <w:szCs w:val="28"/>
        </w:rPr>
        <w:t>标的债权情况详见</w:t>
      </w:r>
      <w:r w:rsidR="00310FC3">
        <w:rPr>
          <w:rFonts w:ascii="仿宋_GB2312" w:eastAsia="仿宋_GB2312" w:hAnsi="宋体" w:hint="eastAsia"/>
          <w:bCs/>
          <w:sz w:val="28"/>
          <w:szCs w:val="28"/>
        </w:rPr>
        <w:t>附件</w:t>
      </w:r>
      <w:r w:rsidR="00052EE9">
        <w:rPr>
          <w:rFonts w:ascii="仿宋_GB2312" w:eastAsia="仿宋_GB2312" w:hAnsi="宋体" w:hint="eastAsia"/>
          <w:bCs/>
          <w:sz w:val="28"/>
          <w:szCs w:val="28"/>
        </w:rPr>
        <w:t>《</w:t>
      </w:r>
      <w:r w:rsidR="00052EE9" w:rsidRPr="00784B82">
        <w:rPr>
          <w:rFonts w:ascii="仿宋_GB2312" w:eastAsia="仿宋_GB2312" w:hAnsi="宋体" w:hint="eastAsia"/>
          <w:bCs/>
          <w:sz w:val="28"/>
          <w:szCs w:val="28"/>
        </w:rPr>
        <w:t>委托拍卖标的清单</w:t>
      </w:r>
      <w:r w:rsidR="00052EE9">
        <w:rPr>
          <w:rFonts w:ascii="仿宋_GB2312" w:eastAsia="仿宋_GB2312" w:hAnsi="宋体" w:hint="eastAsia"/>
          <w:bCs/>
          <w:sz w:val="28"/>
          <w:szCs w:val="28"/>
        </w:rPr>
        <w:t>》</w:t>
      </w:r>
      <w:r w:rsidR="00A53EB7">
        <w:rPr>
          <w:rFonts w:ascii="仿宋_GB2312" w:eastAsia="仿宋_GB2312" w:hAnsi="宋体" w:hint="eastAsia"/>
          <w:bCs/>
          <w:sz w:val="28"/>
          <w:szCs w:val="28"/>
        </w:rPr>
        <w:t>，</w:t>
      </w:r>
      <w:r w:rsidR="00A53EB7" w:rsidRPr="00784B82">
        <w:rPr>
          <w:rFonts w:ascii="仿宋_GB2312" w:eastAsia="仿宋_GB2312" w:hAnsi="宋体" w:hint="eastAsia"/>
          <w:bCs/>
          <w:sz w:val="28"/>
          <w:szCs w:val="28"/>
        </w:rPr>
        <w:t>本次拍卖采取资产包整体拍卖方式</w:t>
      </w:r>
      <w:r w:rsidR="00784B82">
        <w:rPr>
          <w:rFonts w:ascii="仿宋_GB2312" w:eastAsia="仿宋_GB2312" w:hAnsi="宋体" w:hint="eastAsia"/>
          <w:bCs/>
          <w:sz w:val="28"/>
          <w:szCs w:val="28"/>
        </w:rPr>
        <w:t>，</w:t>
      </w:r>
      <w:r>
        <w:rPr>
          <w:rFonts w:ascii="仿宋_GB2312" w:eastAsia="仿宋_GB2312" w:hAnsi="宋体" w:hint="eastAsia"/>
          <w:bCs/>
          <w:sz w:val="28"/>
          <w:szCs w:val="28"/>
        </w:rPr>
        <w:t>资产具体情况以</w:t>
      </w:r>
      <w:r w:rsidR="00A53EB7">
        <w:rPr>
          <w:rFonts w:ascii="仿宋_GB2312" w:eastAsia="仿宋_GB2312" w:hAnsi="宋体" w:hint="eastAsia"/>
          <w:bCs/>
          <w:sz w:val="28"/>
          <w:szCs w:val="28"/>
        </w:rPr>
        <w:t>交接时</w:t>
      </w:r>
      <w:r>
        <w:rPr>
          <w:rFonts w:ascii="仿宋_GB2312" w:eastAsia="仿宋_GB2312" w:hAnsi="宋体" w:hint="eastAsia"/>
          <w:bCs/>
          <w:sz w:val="28"/>
          <w:szCs w:val="28"/>
        </w:rPr>
        <w:t>资产档案为准</w:t>
      </w:r>
      <w:r w:rsidR="00052EE9">
        <w:rPr>
          <w:rFonts w:ascii="仿宋_GB2312" w:eastAsia="仿宋_GB2312" w:hAnsi="宋体" w:hint="eastAsia"/>
          <w:bCs/>
          <w:sz w:val="28"/>
          <w:szCs w:val="28"/>
        </w:rPr>
        <w:t>。</w:t>
      </w:r>
    </w:p>
    <w:p w:rsidR="005537FC" w:rsidRDefault="002A263B" w:rsidP="00784B82">
      <w:pPr>
        <w:pStyle w:val="New"/>
        <w:spacing w:line="360" w:lineRule="auto"/>
        <w:ind w:firstLineChars="200" w:firstLine="562"/>
        <w:jc w:val="left"/>
        <w:rPr>
          <w:rFonts w:ascii="仿宋" w:eastAsia="仿宋" w:hAnsi="仿宋" w:cs="仿宋"/>
          <w:sz w:val="28"/>
          <w:szCs w:val="28"/>
        </w:rPr>
      </w:pPr>
      <w:r>
        <w:rPr>
          <w:rFonts w:ascii="仿宋" w:eastAsia="仿宋" w:hAnsi="仿宋" w:cs="仿宋" w:hint="eastAsia"/>
          <w:b/>
          <w:sz w:val="28"/>
          <w:szCs w:val="28"/>
        </w:rPr>
        <w:t>二、标的展示时间与地点：</w:t>
      </w:r>
      <w:r>
        <w:rPr>
          <w:rFonts w:ascii="仿宋" w:eastAsia="仿宋" w:hAnsi="仿宋" w:cs="仿宋" w:hint="eastAsia"/>
          <w:bCs/>
          <w:sz w:val="28"/>
          <w:szCs w:val="28"/>
        </w:rPr>
        <w:t>自公告之日起至</w:t>
      </w:r>
      <w:r w:rsidR="00784B82">
        <w:rPr>
          <w:rFonts w:ascii="仿宋" w:eastAsia="仿宋" w:hAnsi="仿宋" w:cs="仿宋" w:hint="eastAsia"/>
          <w:bCs/>
          <w:sz w:val="28"/>
          <w:szCs w:val="28"/>
        </w:rPr>
        <w:t>202</w:t>
      </w:r>
      <w:r w:rsidR="00784B82">
        <w:rPr>
          <w:rFonts w:ascii="仿宋" w:eastAsia="仿宋" w:hAnsi="仿宋" w:cs="仿宋"/>
          <w:bCs/>
          <w:sz w:val="28"/>
          <w:szCs w:val="28"/>
        </w:rPr>
        <w:t>1</w:t>
      </w:r>
      <w:r>
        <w:rPr>
          <w:rFonts w:ascii="仿宋" w:eastAsia="仿宋" w:hAnsi="仿宋" w:cs="仿宋" w:hint="eastAsia"/>
          <w:bCs/>
          <w:sz w:val="28"/>
          <w:szCs w:val="28"/>
        </w:rPr>
        <w:t>年</w:t>
      </w:r>
      <w:r w:rsidR="00784B82">
        <w:rPr>
          <w:rFonts w:ascii="仿宋" w:eastAsia="仿宋" w:hAnsi="仿宋" w:cs="仿宋"/>
          <w:bCs/>
          <w:sz w:val="28"/>
          <w:szCs w:val="28"/>
        </w:rPr>
        <w:t>6</w:t>
      </w:r>
      <w:r>
        <w:rPr>
          <w:rFonts w:ascii="仿宋" w:eastAsia="仿宋" w:hAnsi="仿宋" w:cs="仿宋" w:hint="eastAsia"/>
          <w:bCs/>
          <w:sz w:val="28"/>
          <w:szCs w:val="28"/>
        </w:rPr>
        <w:t>月</w:t>
      </w:r>
      <w:r w:rsidR="004E4CCF">
        <w:rPr>
          <w:rFonts w:ascii="仿宋" w:eastAsia="仿宋" w:hAnsi="仿宋" w:cs="仿宋"/>
          <w:bCs/>
          <w:sz w:val="28"/>
          <w:szCs w:val="28"/>
        </w:rPr>
        <w:t>22</w:t>
      </w:r>
      <w:r>
        <w:rPr>
          <w:rFonts w:ascii="仿宋" w:eastAsia="仿宋" w:hAnsi="仿宋" w:cs="仿宋" w:hint="eastAsia"/>
          <w:bCs/>
          <w:sz w:val="28"/>
          <w:szCs w:val="28"/>
        </w:rPr>
        <w:t>日在标的所在地及本公司展示</w:t>
      </w:r>
      <w:r>
        <w:rPr>
          <w:rFonts w:ascii="仿宋" w:eastAsia="仿宋" w:hAnsi="仿宋" w:cs="仿宋" w:hint="eastAsia"/>
          <w:sz w:val="28"/>
          <w:szCs w:val="28"/>
        </w:rPr>
        <w:t>。</w:t>
      </w:r>
      <w:r w:rsidR="00052EE9">
        <w:rPr>
          <w:rFonts w:ascii="仿宋" w:eastAsia="仿宋" w:hAnsi="仿宋" w:cs="仿宋" w:hint="eastAsia"/>
          <w:sz w:val="28"/>
          <w:szCs w:val="28"/>
        </w:rPr>
        <w:t>拍卖展示期内，同时受理该标的资产处置的有关异议。对排斥、阻挠征询或异议的，</w:t>
      </w:r>
      <w:r w:rsidR="0011070B">
        <w:rPr>
          <w:rFonts w:ascii="仿宋" w:eastAsia="仿宋" w:hAnsi="仿宋" w:cs="仿宋" w:hint="eastAsia"/>
          <w:sz w:val="28"/>
          <w:szCs w:val="28"/>
        </w:rPr>
        <w:t>可向委托人举报。</w:t>
      </w:r>
    </w:p>
    <w:p w:rsidR="00694A65" w:rsidRPr="00212D07" w:rsidRDefault="00052EE9" w:rsidP="00694A65">
      <w:pPr>
        <w:pStyle w:val="a9"/>
        <w:spacing w:line="600" w:lineRule="exact"/>
        <w:ind w:firstLine="560"/>
        <w:rPr>
          <w:rFonts w:ascii="仿宋" w:eastAsia="仿宋" w:hAnsi="仿宋" w:cs="仿宋"/>
          <w:sz w:val="28"/>
          <w:szCs w:val="28"/>
        </w:rPr>
      </w:pPr>
      <w:r w:rsidRPr="00784B82">
        <w:rPr>
          <w:rFonts w:ascii="仿宋" w:eastAsia="仿宋" w:hAnsi="仿宋" w:cs="仿宋" w:hint="eastAsia"/>
          <w:bCs/>
          <w:sz w:val="28"/>
          <w:szCs w:val="28"/>
        </w:rPr>
        <w:t>三、</w:t>
      </w:r>
      <w:r w:rsidR="00694A65" w:rsidRPr="00784B82">
        <w:rPr>
          <w:rFonts w:ascii="仿宋" w:eastAsia="仿宋" w:hAnsi="仿宋" w:cs="仿宋" w:hint="eastAsia"/>
          <w:bCs/>
          <w:sz w:val="28"/>
          <w:szCs w:val="28"/>
        </w:rPr>
        <w:t>标的资产转让价款的支</w:t>
      </w:r>
      <w:r w:rsidR="00694A65" w:rsidRPr="00212D07">
        <w:rPr>
          <w:rFonts w:ascii="仿宋" w:eastAsia="仿宋" w:hAnsi="仿宋" w:cs="仿宋" w:hint="eastAsia"/>
          <w:sz w:val="28"/>
          <w:szCs w:val="28"/>
        </w:rPr>
        <w:t>付方式：</w:t>
      </w:r>
      <w:r w:rsidR="00212D07" w:rsidRPr="004B118B">
        <w:rPr>
          <w:rFonts w:ascii="仿宋" w:eastAsia="仿宋" w:hAnsi="仿宋" w:cs="仿宋" w:hint="eastAsia"/>
          <w:sz w:val="28"/>
          <w:szCs w:val="28"/>
        </w:rPr>
        <w:t>一次性付款优先，但允许买受人分期付款。具体支付细节详见《竞拍须知》，或另行向</w:t>
      </w:r>
      <w:r w:rsidR="00F60236">
        <w:rPr>
          <w:rFonts w:ascii="仿宋" w:eastAsia="仿宋" w:hAnsi="仿宋" w:cs="仿宋" w:hint="eastAsia"/>
          <w:sz w:val="28"/>
          <w:szCs w:val="28"/>
        </w:rPr>
        <w:t>委托人</w:t>
      </w:r>
      <w:bookmarkStart w:id="0" w:name="_GoBack"/>
      <w:bookmarkEnd w:id="0"/>
      <w:r w:rsidR="00212D07" w:rsidRPr="004B118B">
        <w:rPr>
          <w:rFonts w:ascii="仿宋" w:eastAsia="仿宋" w:hAnsi="仿宋" w:cs="仿宋" w:hint="eastAsia"/>
          <w:sz w:val="28"/>
          <w:szCs w:val="28"/>
        </w:rPr>
        <w:t>咨询。</w:t>
      </w:r>
    </w:p>
    <w:p w:rsidR="00052EE9" w:rsidRDefault="00694A65" w:rsidP="00212D07">
      <w:pPr>
        <w:pStyle w:val="a9"/>
        <w:spacing w:line="600" w:lineRule="exact"/>
        <w:ind w:firstLine="560"/>
        <w:rPr>
          <w:rFonts w:ascii="仿宋_GB2312" w:hAnsi="宋体"/>
          <w:bCs/>
          <w:sz w:val="28"/>
          <w:szCs w:val="28"/>
        </w:rPr>
      </w:pPr>
      <w:r w:rsidRPr="00212D07">
        <w:rPr>
          <w:rFonts w:ascii="仿宋" w:eastAsia="仿宋" w:hAnsi="仿宋" w:cs="仿宋" w:hint="eastAsia"/>
          <w:sz w:val="28"/>
          <w:szCs w:val="28"/>
        </w:rPr>
        <w:t>四、</w:t>
      </w:r>
      <w:r w:rsidR="00052EE9" w:rsidRPr="00212D07">
        <w:rPr>
          <w:rFonts w:ascii="仿宋" w:eastAsia="仿宋" w:hAnsi="仿宋" w:cs="仿宋" w:hint="eastAsia"/>
          <w:sz w:val="28"/>
          <w:szCs w:val="28"/>
        </w:rPr>
        <w:t>交易对象要求：该债权的交易对象须为在中国境内注册并合法存续的法人或者其他组织或具有完全民事行为能力的自然人。</w:t>
      </w:r>
      <w:r w:rsidR="0011070B" w:rsidRPr="00212D07">
        <w:rPr>
          <w:rFonts w:ascii="仿宋" w:eastAsia="仿宋" w:hAnsi="仿宋" w:cs="仿宋" w:hint="eastAsia"/>
          <w:sz w:val="28"/>
          <w:szCs w:val="28"/>
        </w:rPr>
        <w:t>但国家公务员、金融监管机构工作人员、政法干警、资产公司工作人员、原债务企业管理层以及参与资产处置工作的律师、会计师等中介机构</w:t>
      </w:r>
      <w:r w:rsidR="0011070B">
        <w:rPr>
          <w:rFonts w:ascii="仿宋_GB2312" w:hAnsi="宋体" w:hint="eastAsia"/>
          <w:bCs/>
          <w:sz w:val="28"/>
          <w:szCs w:val="28"/>
        </w:rPr>
        <w:t>等关联人不得竞买或变相竞买该资产。</w:t>
      </w:r>
    </w:p>
    <w:p w:rsidR="005537FC" w:rsidRDefault="002A263B">
      <w:pPr>
        <w:tabs>
          <w:tab w:val="left" w:pos="1575"/>
        </w:tabs>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欲参加竞买者（含优先购买权人），请于</w:t>
      </w:r>
      <w:r w:rsidR="00784B82">
        <w:rPr>
          <w:rFonts w:ascii="仿宋_GB2312" w:eastAsia="仿宋_GB2312" w:hAnsi="宋体" w:hint="eastAsia"/>
          <w:bCs/>
          <w:sz w:val="28"/>
          <w:szCs w:val="28"/>
        </w:rPr>
        <w:t>202</w:t>
      </w:r>
      <w:r w:rsidR="00784B82">
        <w:rPr>
          <w:rFonts w:ascii="仿宋_GB2312" w:eastAsia="仿宋_GB2312" w:hAnsi="宋体"/>
          <w:bCs/>
          <w:sz w:val="28"/>
          <w:szCs w:val="28"/>
        </w:rPr>
        <w:t>1</w:t>
      </w:r>
      <w:r>
        <w:rPr>
          <w:rFonts w:ascii="仿宋_GB2312" w:eastAsia="仿宋_GB2312" w:hAnsi="宋体" w:hint="eastAsia"/>
          <w:bCs/>
          <w:sz w:val="28"/>
          <w:szCs w:val="28"/>
        </w:rPr>
        <w:t>年</w:t>
      </w:r>
      <w:r w:rsidR="00784B82">
        <w:rPr>
          <w:rFonts w:ascii="仿宋_GB2312" w:eastAsia="仿宋_GB2312" w:hAnsi="宋体"/>
          <w:bCs/>
          <w:sz w:val="28"/>
          <w:szCs w:val="28"/>
        </w:rPr>
        <w:t>6</w:t>
      </w:r>
      <w:r>
        <w:rPr>
          <w:rFonts w:ascii="仿宋_GB2312" w:eastAsia="仿宋_GB2312" w:hAnsi="宋体" w:hint="eastAsia"/>
          <w:bCs/>
          <w:sz w:val="28"/>
          <w:szCs w:val="28"/>
        </w:rPr>
        <w:t>月</w:t>
      </w:r>
      <w:r w:rsidR="004E4CCF">
        <w:rPr>
          <w:rFonts w:ascii="仿宋_GB2312" w:eastAsia="仿宋_GB2312" w:hAnsi="宋体"/>
          <w:bCs/>
          <w:sz w:val="28"/>
          <w:szCs w:val="28"/>
        </w:rPr>
        <w:t>22</w:t>
      </w:r>
      <w:r>
        <w:rPr>
          <w:rFonts w:ascii="仿宋_GB2312" w:eastAsia="仿宋_GB2312" w:hAnsi="宋体" w:hint="eastAsia"/>
          <w:bCs/>
          <w:sz w:val="28"/>
          <w:szCs w:val="28"/>
        </w:rPr>
        <w:t>日下午16时前交纳竞买保证金</w:t>
      </w:r>
      <w:r w:rsidR="00784B82">
        <w:rPr>
          <w:rFonts w:ascii="仿宋_GB2312" w:eastAsia="仿宋_GB2312" w:hAnsi="宋体"/>
          <w:bCs/>
          <w:sz w:val="28"/>
          <w:szCs w:val="28"/>
        </w:rPr>
        <w:t>3225</w:t>
      </w:r>
      <w:r>
        <w:rPr>
          <w:rFonts w:ascii="仿宋_GB2312" w:eastAsia="仿宋_GB2312" w:hAnsi="宋体" w:hint="eastAsia"/>
          <w:bCs/>
          <w:sz w:val="28"/>
          <w:szCs w:val="28"/>
        </w:rPr>
        <w:t>万元整并携带有效证件到我公司办理竞买手续，未成交者保证金无息退还。</w:t>
      </w:r>
      <w:r>
        <w:rPr>
          <w:rFonts w:ascii="仿宋_GB2312" w:eastAsia="仿宋_GB2312" w:hAnsi="宋体" w:hint="eastAsia"/>
          <w:b/>
          <w:sz w:val="28"/>
          <w:szCs w:val="28"/>
        </w:rPr>
        <w:t>对该标的享有优先购买权者，应按时办理竞买</w:t>
      </w:r>
      <w:r>
        <w:rPr>
          <w:rFonts w:ascii="仿宋_GB2312" w:eastAsia="仿宋_GB2312" w:hAnsi="宋体" w:hint="eastAsia"/>
          <w:b/>
          <w:sz w:val="28"/>
          <w:szCs w:val="28"/>
        </w:rPr>
        <w:lastRenderedPageBreak/>
        <w:t>手续，逾期视为放弃权利。</w:t>
      </w:r>
    </w:p>
    <w:p w:rsidR="004E4CCF" w:rsidRDefault="004E4CCF" w:rsidP="004E4CCF">
      <w:pPr>
        <w:tabs>
          <w:tab w:val="left" w:pos="1575"/>
        </w:tabs>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报名地址：郑州市农科路38号金成国际广场5号楼东单元503</w:t>
      </w:r>
    </w:p>
    <w:p w:rsidR="005537FC" w:rsidRDefault="004E4CCF" w:rsidP="004E4CCF">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 xml:space="preserve">咨询电话： 13014555006  13733193808   0371-66986698 </w:t>
      </w:r>
      <w:r>
        <w:rPr>
          <w:rFonts w:ascii="仿宋_GB2312" w:eastAsia="仿宋_GB2312" w:hAnsi="宋体" w:hint="eastAsia"/>
          <w:bCs/>
          <w:sz w:val="28"/>
          <w:szCs w:val="28"/>
        </w:rPr>
        <w:br/>
      </w:r>
      <w:r w:rsidR="002A263B">
        <w:rPr>
          <w:rFonts w:ascii="仿宋_GB2312" w:eastAsia="仿宋_GB2312" w:hAnsi="宋体" w:hint="eastAsia"/>
          <w:bCs/>
          <w:sz w:val="28"/>
          <w:szCs w:val="28"/>
        </w:rPr>
        <w:t>中国东方资产管理股份有限公司河南省分公司纪检电话：0371-65744710</w:t>
      </w:r>
    </w:p>
    <w:p w:rsidR="00784B82" w:rsidRDefault="00784B82" w:rsidP="00310FC3">
      <w:pPr>
        <w:tabs>
          <w:tab w:val="left" w:pos="1575"/>
        </w:tabs>
        <w:snapToGrid w:val="0"/>
        <w:spacing w:line="360" w:lineRule="auto"/>
        <w:ind w:firstLineChars="200" w:firstLine="480"/>
        <w:rPr>
          <w:rFonts w:ascii="宋体" w:hAnsi="宋体"/>
          <w:sz w:val="24"/>
        </w:rPr>
      </w:pPr>
    </w:p>
    <w:p w:rsidR="005537FC" w:rsidRPr="00784B82" w:rsidRDefault="00310FC3" w:rsidP="00784B82">
      <w:pPr>
        <w:spacing w:line="360" w:lineRule="auto"/>
        <w:ind w:firstLineChars="200" w:firstLine="560"/>
        <w:jc w:val="left"/>
        <w:rPr>
          <w:rFonts w:ascii="仿宋_GB2312" w:eastAsia="仿宋_GB2312" w:hAnsi="宋体"/>
          <w:bCs/>
          <w:sz w:val="28"/>
          <w:szCs w:val="28"/>
        </w:rPr>
      </w:pPr>
      <w:r w:rsidRPr="00784B82">
        <w:rPr>
          <w:rFonts w:ascii="仿宋_GB2312" w:eastAsia="仿宋_GB2312" w:hAnsi="宋体" w:hint="eastAsia"/>
          <w:bCs/>
          <w:sz w:val="28"/>
          <w:szCs w:val="28"/>
        </w:rPr>
        <w:t>附件《委托拍卖标的清单》</w:t>
      </w:r>
    </w:p>
    <w:p w:rsidR="00310FC3" w:rsidRDefault="00310FC3" w:rsidP="00310FC3">
      <w:pPr>
        <w:tabs>
          <w:tab w:val="left" w:pos="1575"/>
        </w:tabs>
        <w:snapToGrid w:val="0"/>
        <w:spacing w:line="360" w:lineRule="auto"/>
        <w:ind w:firstLineChars="200" w:firstLine="560"/>
        <w:rPr>
          <w:rFonts w:ascii="仿宋_GB2312" w:eastAsia="仿宋_GB2312" w:hAnsi="宋体"/>
          <w:bCs/>
          <w:sz w:val="28"/>
          <w:szCs w:val="28"/>
        </w:rPr>
      </w:pPr>
    </w:p>
    <w:p w:rsidR="00784B82" w:rsidRDefault="00784B82" w:rsidP="00310FC3">
      <w:pPr>
        <w:tabs>
          <w:tab w:val="left" w:pos="1575"/>
        </w:tabs>
        <w:snapToGrid w:val="0"/>
        <w:spacing w:line="360" w:lineRule="auto"/>
        <w:ind w:firstLineChars="200" w:firstLine="560"/>
        <w:rPr>
          <w:rFonts w:ascii="仿宋_GB2312" w:eastAsia="仿宋_GB2312" w:hAnsi="宋体"/>
          <w:bCs/>
          <w:sz w:val="28"/>
          <w:szCs w:val="28"/>
        </w:rPr>
      </w:pPr>
    </w:p>
    <w:p w:rsidR="005537FC" w:rsidRDefault="002A263B">
      <w:pPr>
        <w:tabs>
          <w:tab w:val="left" w:pos="1575"/>
        </w:tabs>
        <w:snapToGrid w:val="0"/>
        <w:spacing w:line="360" w:lineRule="auto"/>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 xml:space="preserve"> 河南</w:t>
      </w:r>
      <w:r w:rsidR="00716B66">
        <w:rPr>
          <w:rFonts w:ascii="仿宋_GB2312" w:eastAsia="仿宋_GB2312" w:hAnsi="宋体" w:hint="eastAsia"/>
          <w:bCs/>
          <w:sz w:val="28"/>
          <w:szCs w:val="28"/>
        </w:rPr>
        <w:t>天成</w:t>
      </w:r>
      <w:r>
        <w:rPr>
          <w:rFonts w:ascii="仿宋_GB2312" w:eastAsia="仿宋_GB2312" w:hAnsi="宋体" w:hint="eastAsia"/>
          <w:bCs/>
          <w:sz w:val="28"/>
          <w:szCs w:val="28"/>
        </w:rPr>
        <w:t>拍卖有限公司</w:t>
      </w:r>
    </w:p>
    <w:p w:rsidR="005537FC" w:rsidRDefault="002A263B">
      <w:pPr>
        <w:tabs>
          <w:tab w:val="left" w:pos="1575"/>
        </w:tabs>
        <w:snapToGrid w:val="0"/>
        <w:spacing w:line="360" w:lineRule="auto"/>
        <w:ind w:firstLineChars="200" w:firstLine="560"/>
        <w:jc w:val="right"/>
        <w:rPr>
          <w:rFonts w:ascii="仿宋_GB2312" w:eastAsia="仿宋_GB2312" w:hAnsi="宋体"/>
          <w:bCs/>
          <w:sz w:val="24"/>
        </w:rPr>
      </w:pPr>
      <w:r>
        <w:rPr>
          <w:rFonts w:ascii="仿宋_GB2312" w:eastAsia="仿宋_GB2312" w:hAnsi="宋体" w:hint="eastAsia"/>
          <w:bCs/>
          <w:sz w:val="28"/>
          <w:szCs w:val="28"/>
        </w:rPr>
        <w:t xml:space="preserve">                 </w:t>
      </w:r>
      <w:r w:rsidR="00784B82">
        <w:rPr>
          <w:rFonts w:ascii="仿宋_GB2312" w:eastAsia="仿宋_GB2312" w:hAnsi="宋体" w:hint="eastAsia"/>
          <w:bCs/>
          <w:sz w:val="28"/>
          <w:szCs w:val="28"/>
        </w:rPr>
        <w:t>202</w:t>
      </w:r>
      <w:r w:rsidR="00784B82">
        <w:rPr>
          <w:rFonts w:ascii="仿宋_GB2312" w:eastAsia="仿宋_GB2312" w:hAnsi="宋体"/>
          <w:bCs/>
          <w:sz w:val="28"/>
          <w:szCs w:val="28"/>
        </w:rPr>
        <w:t>1</w:t>
      </w:r>
      <w:r>
        <w:rPr>
          <w:rFonts w:ascii="仿宋_GB2312" w:eastAsia="仿宋_GB2312" w:hAnsi="宋体" w:hint="eastAsia"/>
          <w:bCs/>
          <w:sz w:val="28"/>
          <w:szCs w:val="28"/>
        </w:rPr>
        <w:t>年</w:t>
      </w:r>
      <w:r w:rsidR="00784B82">
        <w:rPr>
          <w:rFonts w:ascii="仿宋_GB2312" w:eastAsia="仿宋_GB2312" w:hAnsi="宋体"/>
          <w:bCs/>
          <w:sz w:val="28"/>
          <w:szCs w:val="28"/>
        </w:rPr>
        <w:t>6</w:t>
      </w:r>
      <w:r>
        <w:rPr>
          <w:rFonts w:ascii="仿宋_GB2312" w:eastAsia="仿宋_GB2312" w:hAnsi="宋体" w:hint="eastAsia"/>
          <w:bCs/>
          <w:sz w:val="28"/>
          <w:szCs w:val="28"/>
        </w:rPr>
        <w:t>月</w:t>
      </w:r>
      <w:r w:rsidR="00784B82">
        <w:rPr>
          <w:rFonts w:ascii="仿宋_GB2312" w:eastAsia="仿宋_GB2312" w:hAnsi="宋体"/>
          <w:bCs/>
          <w:sz w:val="28"/>
          <w:szCs w:val="28"/>
        </w:rPr>
        <w:tab/>
      </w:r>
      <w:r w:rsidR="004E4CCF">
        <w:rPr>
          <w:rFonts w:ascii="仿宋_GB2312" w:eastAsia="仿宋_GB2312" w:hAnsi="宋体"/>
          <w:bCs/>
          <w:sz w:val="28"/>
          <w:szCs w:val="28"/>
        </w:rPr>
        <w:t>16</w:t>
      </w:r>
      <w:r>
        <w:rPr>
          <w:rFonts w:ascii="仿宋_GB2312" w:eastAsia="仿宋_GB2312" w:hAnsi="宋体" w:hint="eastAsia"/>
          <w:bCs/>
          <w:sz w:val="28"/>
          <w:szCs w:val="28"/>
        </w:rPr>
        <w:t xml:space="preserve">日   </w:t>
      </w:r>
      <w:r>
        <w:rPr>
          <w:rFonts w:ascii="仿宋_GB2312" w:eastAsia="仿宋_GB2312" w:hAnsi="宋体" w:hint="eastAsia"/>
          <w:bCs/>
          <w:sz w:val="24"/>
        </w:rPr>
        <w:t xml:space="preserve">                                 </w:t>
      </w:r>
    </w:p>
    <w:p w:rsidR="005537FC" w:rsidRDefault="005537FC"/>
    <w:p w:rsidR="00784B82" w:rsidRDefault="00784B82">
      <w:pPr>
        <w:sectPr w:rsidR="00784B82">
          <w:pgSz w:w="11906" w:h="16838"/>
          <w:pgMar w:top="1361" w:right="1474" w:bottom="1361" w:left="1531" w:header="851" w:footer="992" w:gutter="0"/>
          <w:cols w:space="720"/>
          <w:docGrid w:type="lines" w:linePitch="312"/>
        </w:sectPr>
      </w:pPr>
    </w:p>
    <w:p w:rsidR="00784B82" w:rsidRDefault="00784B82" w:rsidP="00784B82">
      <w:pPr>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lastRenderedPageBreak/>
        <w:t>附件：</w:t>
      </w:r>
      <w:r w:rsidRPr="002D2A7D">
        <w:rPr>
          <w:rFonts w:ascii="仿宋" w:eastAsia="仿宋" w:hAnsi="仿宋" w:cs="仿宋" w:hint="eastAsia"/>
          <w:color w:val="000000" w:themeColor="text1"/>
          <w:kern w:val="0"/>
          <w:sz w:val="28"/>
          <w:szCs w:val="28"/>
          <w:shd w:val="clear" w:color="auto" w:fill="FFFFFF"/>
          <w:lang w:bidi="ar"/>
        </w:rPr>
        <w:t>《委托拍卖标的清单》</w:t>
      </w:r>
      <w:r>
        <w:rPr>
          <w:rFonts w:ascii="仿宋" w:eastAsia="仿宋" w:hAnsi="仿宋" w:cs="仿宋" w:hint="eastAsia"/>
          <w:color w:val="000000" w:themeColor="text1"/>
          <w:kern w:val="0"/>
          <w:sz w:val="28"/>
          <w:szCs w:val="28"/>
          <w:shd w:val="clear" w:color="auto" w:fill="FFFFFF"/>
          <w:lang w:bidi="ar"/>
        </w:rPr>
        <w:t xml:space="preserve"> 基准日</w:t>
      </w:r>
      <w:r>
        <w:rPr>
          <w:rFonts w:ascii="仿宋" w:eastAsia="仿宋" w:hAnsi="仿宋" w:cs="仿宋"/>
          <w:color w:val="000000" w:themeColor="text1"/>
          <w:kern w:val="0"/>
          <w:sz w:val="28"/>
          <w:szCs w:val="28"/>
          <w:shd w:val="clear" w:color="auto" w:fill="FFFFFF"/>
          <w:lang w:bidi="ar"/>
        </w:rPr>
        <w:t>：</w:t>
      </w:r>
      <w:r>
        <w:rPr>
          <w:rFonts w:ascii="仿宋" w:eastAsia="仿宋" w:hAnsi="仿宋" w:cs="仿宋" w:hint="eastAsia"/>
          <w:color w:val="000000" w:themeColor="text1"/>
          <w:kern w:val="0"/>
          <w:sz w:val="28"/>
          <w:szCs w:val="28"/>
          <w:shd w:val="clear" w:color="auto" w:fill="FFFFFF"/>
          <w:lang w:bidi="ar"/>
        </w:rPr>
        <w:t>2021年5月20日</w:t>
      </w:r>
    </w:p>
    <w:tbl>
      <w:tblPr>
        <w:tblW w:w="5000" w:type="pct"/>
        <w:jc w:val="center"/>
        <w:tblLook w:val="04A0" w:firstRow="1" w:lastRow="0" w:firstColumn="1" w:lastColumn="0" w:noHBand="0" w:noVBand="1"/>
      </w:tblPr>
      <w:tblGrid>
        <w:gridCol w:w="426"/>
        <w:gridCol w:w="636"/>
        <w:gridCol w:w="1117"/>
        <w:gridCol w:w="1152"/>
        <w:gridCol w:w="769"/>
        <w:gridCol w:w="8766"/>
        <w:gridCol w:w="2748"/>
      </w:tblGrid>
      <w:tr w:rsidR="00784B82" w:rsidRPr="009164BC" w:rsidTr="00686817">
        <w:trPr>
          <w:trHeight w:val="296"/>
          <w:jc w:val="center"/>
        </w:trPr>
        <w:tc>
          <w:tcPr>
            <w:tcW w:w="136" w:type="pct"/>
            <w:vMerge w:val="restar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Pr>
                <w:rFonts w:ascii="方正仿宋简体" w:eastAsia="方正仿宋简体" w:hAnsi="方正仿宋" w:hint="eastAsia"/>
                <w:color w:val="000000"/>
                <w:szCs w:val="21"/>
              </w:rPr>
              <w:t>序号</w:t>
            </w:r>
          </w:p>
        </w:tc>
        <w:tc>
          <w:tcPr>
            <w:tcW w:w="204" w:type="pct"/>
            <w:vMerge w:val="restart"/>
            <w:tcBorders>
              <w:top w:val="single" w:sz="6" w:space="0" w:color="auto"/>
              <w:left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债务人</w:t>
            </w:r>
          </w:p>
        </w:tc>
        <w:tc>
          <w:tcPr>
            <w:tcW w:w="973" w:type="pct"/>
            <w:gridSpan w:val="3"/>
            <w:tcBorders>
              <w:top w:val="single" w:sz="6" w:space="0" w:color="auto"/>
              <w:left w:val="single" w:sz="6" w:space="0" w:color="auto"/>
              <w:bottom w:val="single" w:sz="4" w:space="0" w:color="auto"/>
              <w:right w:val="single" w:sz="6"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债权余额(万元)</w:t>
            </w:r>
          </w:p>
        </w:tc>
        <w:tc>
          <w:tcPr>
            <w:tcW w:w="2807" w:type="pct"/>
            <w:vMerge w:val="restar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抵押/债物</w:t>
            </w:r>
          </w:p>
        </w:tc>
        <w:tc>
          <w:tcPr>
            <w:tcW w:w="880" w:type="pct"/>
            <w:vMerge w:val="restar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保证人</w:t>
            </w:r>
          </w:p>
        </w:tc>
      </w:tr>
      <w:tr w:rsidR="00784B82" w:rsidRPr="009164BC" w:rsidTr="00686817">
        <w:trPr>
          <w:trHeight w:val="72"/>
          <w:jc w:val="center"/>
        </w:trPr>
        <w:tc>
          <w:tcPr>
            <w:tcW w:w="136" w:type="pct"/>
            <w:vMerge/>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widowControl/>
              <w:jc w:val="left"/>
              <w:rPr>
                <w:rFonts w:ascii="方正仿宋简体" w:eastAsia="方正仿宋简体" w:hAnsi="方正仿宋"/>
                <w:color w:val="000000"/>
                <w:szCs w:val="21"/>
              </w:rPr>
            </w:pPr>
          </w:p>
        </w:tc>
        <w:tc>
          <w:tcPr>
            <w:tcW w:w="204" w:type="pct"/>
            <w:vMerge/>
            <w:tcBorders>
              <w:left w:val="single" w:sz="6" w:space="0" w:color="auto"/>
              <w:bottom w:val="single" w:sz="6" w:space="0" w:color="auto"/>
              <w:right w:val="single" w:sz="6" w:space="0" w:color="auto"/>
            </w:tcBorders>
            <w:vAlign w:val="center"/>
          </w:tcPr>
          <w:p w:rsidR="00784B82" w:rsidRPr="009164BC" w:rsidRDefault="00784B82" w:rsidP="00686817">
            <w:pPr>
              <w:widowControl/>
              <w:jc w:val="left"/>
              <w:rPr>
                <w:rFonts w:ascii="方正仿宋简体" w:eastAsia="方正仿宋简体" w:hAnsi="方正仿宋"/>
                <w:color w:val="000000"/>
                <w:szCs w:val="21"/>
              </w:rPr>
            </w:pPr>
          </w:p>
        </w:tc>
        <w:tc>
          <w:tcPr>
            <w:tcW w:w="358" w:type="pct"/>
            <w:tcBorders>
              <w:top w:val="single" w:sz="4" w:space="0" w:color="auto"/>
              <w:left w:val="single" w:sz="6" w:space="0" w:color="auto"/>
              <w:bottom w:val="single" w:sz="6" w:space="0" w:color="auto"/>
              <w:right w:val="single" w:sz="4"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本金</w:t>
            </w:r>
          </w:p>
        </w:tc>
        <w:tc>
          <w:tcPr>
            <w:tcW w:w="369" w:type="pct"/>
            <w:tcBorders>
              <w:top w:val="single" w:sz="4" w:space="0" w:color="auto"/>
              <w:left w:val="single" w:sz="4" w:space="0" w:color="auto"/>
              <w:bottom w:val="single" w:sz="6" w:space="0" w:color="auto"/>
              <w:right w:val="single" w:sz="6" w:space="0" w:color="auto"/>
            </w:tcBorders>
            <w:vAlign w:val="center"/>
            <w:hideMark/>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利息</w:t>
            </w:r>
          </w:p>
        </w:tc>
        <w:tc>
          <w:tcPr>
            <w:tcW w:w="246" w:type="pct"/>
            <w:tcBorders>
              <w:top w:val="single" w:sz="6" w:space="0" w:color="auto"/>
              <w:left w:val="single" w:sz="6" w:space="0" w:color="auto"/>
              <w:bottom w:val="single" w:sz="6" w:space="0" w:color="auto"/>
              <w:right w:val="single" w:sz="6" w:space="0" w:color="auto"/>
            </w:tcBorders>
            <w:hideMark/>
          </w:tcPr>
          <w:p w:rsidR="00784B82" w:rsidRPr="009164BC" w:rsidRDefault="00784B82" w:rsidP="00686817">
            <w:pPr>
              <w:widowControl/>
              <w:jc w:val="left"/>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费用</w:t>
            </w:r>
          </w:p>
        </w:tc>
        <w:tc>
          <w:tcPr>
            <w:tcW w:w="2807" w:type="pct"/>
            <w:vMerge/>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widowControl/>
              <w:jc w:val="left"/>
              <w:rPr>
                <w:rFonts w:ascii="方正仿宋简体" w:eastAsia="方正仿宋简体" w:hAnsi="方正仿宋"/>
                <w:color w:val="000000"/>
                <w:szCs w:val="21"/>
              </w:rPr>
            </w:pPr>
          </w:p>
        </w:tc>
        <w:tc>
          <w:tcPr>
            <w:tcW w:w="880" w:type="pct"/>
            <w:vMerge/>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widowControl/>
              <w:jc w:val="left"/>
              <w:rPr>
                <w:rFonts w:ascii="方正仿宋简体" w:eastAsia="方正仿宋简体" w:hAnsi="方正仿宋"/>
                <w:color w:val="000000"/>
                <w:szCs w:val="21"/>
              </w:rPr>
            </w:pPr>
          </w:p>
        </w:tc>
      </w:tr>
      <w:tr w:rsidR="00784B82" w:rsidRPr="009164BC" w:rsidTr="00686817">
        <w:trPr>
          <w:trHeight w:val="288"/>
          <w:jc w:val="center"/>
        </w:trPr>
        <w:tc>
          <w:tcPr>
            <w:tcW w:w="136" w:type="pc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Pr>
                <w:rFonts w:ascii="方正仿宋简体" w:eastAsia="方正仿宋简体" w:hAnsi="方正仿宋" w:hint="eastAsia"/>
                <w:szCs w:val="21"/>
              </w:rPr>
              <w:t>1</w:t>
            </w:r>
          </w:p>
        </w:tc>
        <w:tc>
          <w:tcPr>
            <w:tcW w:w="204"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河南中方棉业有限公司</w:t>
            </w:r>
          </w:p>
        </w:tc>
        <w:tc>
          <w:tcPr>
            <w:tcW w:w="358" w:type="pct"/>
            <w:tcBorders>
              <w:top w:val="single" w:sz="6" w:space="0" w:color="auto"/>
              <w:left w:val="single" w:sz="6" w:space="0" w:color="auto"/>
              <w:bottom w:val="single" w:sz="6" w:space="0" w:color="auto"/>
              <w:right w:val="single" w:sz="4"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63,026.57</w:t>
            </w:r>
          </w:p>
        </w:tc>
        <w:tc>
          <w:tcPr>
            <w:tcW w:w="369" w:type="pct"/>
            <w:tcBorders>
              <w:top w:val="single" w:sz="6" w:space="0" w:color="auto"/>
              <w:left w:val="single" w:sz="4" w:space="0" w:color="auto"/>
              <w:bottom w:val="single" w:sz="6" w:space="0" w:color="auto"/>
              <w:right w:val="single" w:sz="6"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16,714.52</w:t>
            </w:r>
          </w:p>
        </w:tc>
        <w:tc>
          <w:tcPr>
            <w:tcW w:w="246" w:type="pc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11.43</w:t>
            </w:r>
          </w:p>
        </w:tc>
        <w:tc>
          <w:tcPr>
            <w:tcW w:w="2807" w:type="pc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抵押/债：位于扶沟县产业集聚区大李庄南s102线东侧、扶沟县大李庄收费站东侧两处的商业用地，面积总和：244,376.10平方米。</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位于扶沟县大李庄收费站东侧的工业用地21,104.20平方米。</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位于扶沟县工业园区s102线扶开公路东侧的商业房产，办公、宾馆 11,588.06平方米</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位于扶沟县工业园区s102线扶开公路东侧的工业房产，厂房、仓库 21,822.16平方米</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郑州市金水区花园路39号4号楼1层122.83平方米的商业房产。</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位于郑州市金水区花园路39号4号楼29层971.59平方米的办公用房。</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北京市海淀区北小马厂6号4层04商场1,570.80平方米的办公用房。</w:t>
            </w:r>
          </w:p>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中原银行股份有限公司股权953.9304万股股权。</w:t>
            </w:r>
          </w:p>
        </w:tc>
        <w:tc>
          <w:tcPr>
            <w:tcW w:w="880" w:type="pct"/>
            <w:tcBorders>
              <w:top w:val="single" w:sz="6" w:space="0" w:color="auto"/>
              <w:left w:val="single" w:sz="6" w:space="0" w:color="auto"/>
              <w:bottom w:val="single" w:sz="6" w:space="0" w:color="auto"/>
              <w:right w:val="single" w:sz="6" w:space="0" w:color="auto"/>
            </w:tcBorders>
            <w:vAlign w:val="center"/>
            <w:hideMark/>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szCs w:val="21"/>
              </w:rPr>
              <w:t>王胜利、张楠、河南中方实业（集团）股份有限公司、河南中汇实业集团有限公司、刘菊香</w:t>
            </w:r>
          </w:p>
        </w:tc>
      </w:tr>
      <w:tr w:rsidR="00784B82" w:rsidRPr="009164BC" w:rsidTr="00686817">
        <w:trPr>
          <w:trHeight w:val="288"/>
          <w:jc w:val="center"/>
        </w:trPr>
        <w:tc>
          <w:tcPr>
            <w:tcW w:w="136" w:type="pct"/>
            <w:tcBorders>
              <w:top w:val="single" w:sz="6" w:space="0" w:color="auto"/>
              <w:left w:val="single" w:sz="6" w:space="0" w:color="auto"/>
              <w:bottom w:val="single" w:sz="6" w:space="0" w:color="auto"/>
              <w:right w:val="single" w:sz="6" w:space="0" w:color="auto"/>
            </w:tcBorders>
            <w:vAlign w:val="center"/>
          </w:tcPr>
          <w:p w:rsidR="00784B82" w:rsidRDefault="00784B82" w:rsidP="00686817">
            <w:pPr>
              <w:snapToGrid w:val="0"/>
              <w:jc w:val="center"/>
              <w:rPr>
                <w:rFonts w:ascii="方正仿宋简体" w:eastAsia="方正仿宋简体" w:hAnsi="方正仿宋"/>
                <w:szCs w:val="21"/>
              </w:rPr>
            </w:pPr>
            <w:r>
              <w:rPr>
                <w:rFonts w:ascii="方正仿宋简体" w:eastAsia="方正仿宋简体" w:hAnsi="方正仿宋" w:hint="eastAsia"/>
                <w:szCs w:val="21"/>
              </w:rPr>
              <w:t>2</w:t>
            </w:r>
          </w:p>
        </w:tc>
        <w:tc>
          <w:tcPr>
            <w:tcW w:w="204"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snapToGrid w:val="0"/>
              <w:jc w:val="center"/>
              <w:rPr>
                <w:rFonts w:ascii="方正仿宋简体" w:eastAsia="方正仿宋简体" w:hAnsi="方正仿宋"/>
                <w:szCs w:val="21"/>
              </w:rPr>
            </w:pPr>
            <w:r w:rsidRPr="009164BC">
              <w:rPr>
                <w:rFonts w:ascii="方正仿宋简体" w:eastAsia="方正仿宋简体" w:hAnsi="方正仿宋" w:hint="eastAsia"/>
                <w:color w:val="000000"/>
                <w:szCs w:val="21"/>
              </w:rPr>
              <w:t>河南地沃农业开发有限公</w:t>
            </w:r>
            <w:r>
              <w:rPr>
                <w:rFonts w:ascii="方正仿宋简体" w:eastAsia="方正仿宋简体" w:hAnsi="方正仿宋" w:hint="eastAsia"/>
                <w:color w:val="000000"/>
                <w:szCs w:val="21"/>
              </w:rPr>
              <w:t>司</w:t>
            </w:r>
          </w:p>
        </w:tc>
        <w:tc>
          <w:tcPr>
            <w:tcW w:w="358" w:type="pct"/>
            <w:tcBorders>
              <w:top w:val="single" w:sz="6" w:space="0" w:color="auto"/>
              <w:left w:val="single" w:sz="6" w:space="0" w:color="auto"/>
              <w:bottom w:val="single" w:sz="6" w:space="0" w:color="auto"/>
              <w:right w:val="single" w:sz="4"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11,000.00</w:t>
            </w:r>
          </w:p>
        </w:tc>
        <w:tc>
          <w:tcPr>
            <w:tcW w:w="369" w:type="pct"/>
            <w:tcBorders>
              <w:top w:val="single" w:sz="6" w:space="0" w:color="auto"/>
              <w:left w:val="single" w:sz="4"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2,657.85</w:t>
            </w:r>
          </w:p>
        </w:tc>
        <w:tc>
          <w:tcPr>
            <w:tcW w:w="246"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69.95</w:t>
            </w:r>
          </w:p>
        </w:tc>
        <w:tc>
          <w:tcPr>
            <w:tcW w:w="2807"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由河南地沃农业开发有限公司名下位于郑州市金水区黄河路95号新田大厦9-10层901号的办公用房244.05㎡，郑房权证字第1301130321号。</w:t>
            </w:r>
          </w:p>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位于扶沟县谢村311国道北，土地证号为扶国用（2014）第016号工业用地41,484.80㎡（62.23亩），地上房屋16处，房产证号扶沟房权证城郊乡字第32105-32114号、32116-32121号，面积7,230.83㎡。</w:t>
            </w:r>
          </w:p>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由河南中方棉业有限公司名下所有的位于扶沟县城关镇大李庄南、S102线东产业聚集区2幢房产提供抵债，房产证号为扶沟房权证字第33530号及33537号，面积40,116.66㎡。</w:t>
            </w:r>
          </w:p>
        </w:tc>
        <w:tc>
          <w:tcPr>
            <w:tcW w:w="880"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由河南中汇实业集团有限公司、马健民、马秋丽提供连带保证</w:t>
            </w:r>
          </w:p>
        </w:tc>
      </w:tr>
      <w:tr w:rsidR="00784B82" w:rsidRPr="009164BC" w:rsidTr="00686817">
        <w:trPr>
          <w:trHeight w:val="288"/>
          <w:jc w:val="center"/>
        </w:trPr>
        <w:tc>
          <w:tcPr>
            <w:tcW w:w="136" w:type="pct"/>
            <w:tcBorders>
              <w:top w:val="single" w:sz="6" w:space="0" w:color="auto"/>
              <w:left w:val="single" w:sz="6" w:space="0" w:color="auto"/>
              <w:bottom w:val="single" w:sz="6" w:space="0" w:color="auto"/>
              <w:right w:val="single" w:sz="6" w:space="0" w:color="auto"/>
            </w:tcBorders>
            <w:vAlign w:val="center"/>
          </w:tcPr>
          <w:p w:rsidR="00784B82" w:rsidRDefault="00784B82" w:rsidP="00686817">
            <w:pPr>
              <w:snapToGrid w:val="0"/>
              <w:jc w:val="center"/>
              <w:rPr>
                <w:rFonts w:ascii="方正仿宋简体" w:eastAsia="方正仿宋简体" w:hAnsi="方正仿宋"/>
                <w:szCs w:val="21"/>
              </w:rPr>
            </w:pPr>
            <w:r>
              <w:rPr>
                <w:rFonts w:ascii="方正仿宋简体" w:eastAsia="方正仿宋简体" w:hAnsi="方正仿宋" w:hint="eastAsia"/>
                <w:szCs w:val="21"/>
              </w:rPr>
              <w:t>3</w:t>
            </w:r>
          </w:p>
        </w:tc>
        <w:tc>
          <w:tcPr>
            <w:tcW w:w="204"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淮阳恒安实业有限公司</w:t>
            </w:r>
          </w:p>
        </w:tc>
        <w:tc>
          <w:tcPr>
            <w:tcW w:w="358" w:type="pct"/>
            <w:tcBorders>
              <w:top w:val="single" w:sz="6" w:space="0" w:color="auto"/>
              <w:left w:val="single" w:sz="6" w:space="0" w:color="auto"/>
              <w:bottom w:val="single" w:sz="6" w:space="0" w:color="auto"/>
              <w:right w:val="single" w:sz="4"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15,165.45</w:t>
            </w:r>
          </w:p>
        </w:tc>
        <w:tc>
          <w:tcPr>
            <w:tcW w:w="369" w:type="pct"/>
            <w:tcBorders>
              <w:top w:val="single" w:sz="6" w:space="0" w:color="auto"/>
              <w:left w:val="single" w:sz="4"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3,410.65</w:t>
            </w:r>
          </w:p>
        </w:tc>
        <w:tc>
          <w:tcPr>
            <w:tcW w:w="246"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Pr>
                <w:rFonts w:ascii="方正仿宋简体" w:eastAsia="方正仿宋简体" w:hAnsi="方正仿宋"/>
                <w:color w:val="000000"/>
                <w:szCs w:val="21"/>
              </w:rPr>
              <w:t>12.79</w:t>
            </w:r>
          </w:p>
        </w:tc>
        <w:tc>
          <w:tcPr>
            <w:tcW w:w="2807"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1、淮阳恒安实业有限公司名下位于淮阳县工业园区工业三路工业土地及厂房，土地面积32,277㎡、72,484㎡，合计104,761㎡（157.30亩），房屋建筑物建筑面积合计46,322.39平方米，其中混合结构的建筑面积合计5,962.74平方米，钢结构的建筑面积合计40,359.65平方米。抵押金额11,000万元，不动产登记证明号：豫（2018）淮阳县不动产证明第0001482号、土地证号：淮国用（2010）第134号, 淮国用（2014）第017号；房产证号：河南房权证淮阳字第201424号至201435号、第200384号；</w:t>
            </w:r>
          </w:p>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2、2333台机器设备，抵押金额2,000万元，抵押登记证编号：淮工商抵字（2018）07号”</w:t>
            </w:r>
          </w:p>
        </w:tc>
        <w:tc>
          <w:tcPr>
            <w:tcW w:w="880"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1、13,000万元债权由石俊峰、张柯（配偶），石巨英、王培荣（配偶）提供连带责任保证担保；</w:t>
            </w:r>
          </w:p>
          <w:p w:rsidR="00784B82" w:rsidRPr="009164BC" w:rsidRDefault="00784B82" w:rsidP="00686817">
            <w:pPr>
              <w:jc w:val="center"/>
              <w:rPr>
                <w:rFonts w:ascii="方正仿宋简体" w:eastAsia="方正仿宋简体" w:hAnsi="方正仿宋"/>
                <w:color w:val="000000"/>
                <w:szCs w:val="21"/>
              </w:rPr>
            </w:pPr>
            <w:r w:rsidRPr="009164BC">
              <w:rPr>
                <w:rFonts w:ascii="方正仿宋简体" w:eastAsia="方正仿宋简体" w:hAnsi="方正仿宋" w:hint="eastAsia"/>
                <w:color w:val="000000"/>
                <w:szCs w:val="21"/>
              </w:rPr>
              <w:t>2、4,000万元债权由沈丘县振东纺织品原料有限公司，石俊峰，石巨英、王培荣（配偶）提供连带责任保证担保</w:t>
            </w:r>
          </w:p>
        </w:tc>
      </w:tr>
      <w:tr w:rsidR="00784B82" w:rsidRPr="009164BC" w:rsidTr="00686817">
        <w:trPr>
          <w:trHeight w:val="288"/>
          <w:jc w:val="center"/>
        </w:trPr>
        <w:tc>
          <w:tcPr>
            <w:tcW w:w="136" w:type="pct"/>
            <w:tcBorders>
              <w:top w:val="single" w:sz="6" w:space="0" w:color="auto"/>
              <w:left w:val="single" w:sz="6" w:space="0" w:color="auto"/>
              <w:bottom w:val="single" w:sz="6" w:space="0" w:color="auto"/>
              <w:right w:val="single" w:sz="6" w:space="0" w:color="auto"/>
            </w:tcBorders>
            <w:vAlign w:val="center"/>
          </w:tcPr>
          <w:p w:rsidR="00784B82" w:rsidRPr="00060B0A" w:rsidRDefault="00784B82" w:rsidP="00686817">
            <w:pPr>
              <w:snapToGrid w:val="0"/>
              <w:jc w:val="center"/>
              <w:rPr>
                <w:rFonts w:ascii="方正仿宋简体" w:eastAsia="方正仿宋简体" w:hAnsi="方正仿宋"/>
                <w:szCs w:val="21"/>
              </w:rPr>
            </w:pPr>
          </w:p>
        </w:tc>
        <w:tc>
          <w:tcPr>
            <w:tcW w:w="204"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Pr>
                <w:rFonts w:ascii="方正仿宋简体" w:eastAsia="方正仿宋简体" w:hAnsi="方正仿宋" w:hint="eastAsia"/>
                <w:color w:val="000000"/>
                <w:szCs w:val="21"/>
              </w:rPr>
              <w:t>合计</w:t>
            </w:r>
          </w:p>
        </w:tc>
        <w:tc>
          <w:tcPr>
            <w:tcW w:w="358" w:type="pct"/>
            <w:tcBorders>
              <w:top w:val="single" w:sz="6" w:space="0" w:color="auto"/>
              <w:left w:val="single" w:sz="6" w:space="0" w:color="auto"/>
              <w:bottom w:val="single" w:sz="6" w:space="0" w:color="auto"/>
              <w:right w:val="single" w:sz="4" w:space="0" w:color="auto"/>
            </w:tcBorders>
            <w:vAlign w:val="center"/>
          </w:tcPr>
          <w:p w:rsidR="00784B82" w:rsidRPr="009164BC" w:rsidRDefault="00784B82" w:rsidP="00686817">
            <w:pPr>
              <w:jc w:val="center"/>
              <w:rPr>
                <w:rFonts w:ascii="方正仿宋简体" w:eastAsia="方正仿宋简体" w:hAnsi="方正仿宋"/>
                <w:color w:val="000000"/>
                <w:szCs w:val="21"/>
              </w:rPr>
            </w:pPr>
            <w:r>
              <w:rPr>
                <w:rFonts w:ascii="方正仿宋简体" w:eastAsia="方正仿宋简体" w:hAnsi="方正仿宋"/>
                <w:color w:val="000000"/>
                <w:szCs w:val="21"/>
              </w:rPr>
              <w:fldChar w:fldCharType="begin"/>
            </w:r>
            <w:r>
              <w:rPr>
                <w:rFonts w:ascii="方正仿宋简体" w:eastAsia="方正仿宋简体" w:hAnsi="方正仿宋"/>
                <w:color w:val="000000"/>
                <w:szCs w:val="21"/>
              </w:rPr>
              <w:instrText xml:space="preserve"> </w:instrText>
            </w:r>
            <w:r>
              <w:rPr>
                <w:rFonts w:ascii="方正仿宋简体" w:eastAsia="方正仿宋简体" w:hAnsi="方正仿宋" w:hint="eastAsia"/>
                <w:color w:val="000000"/>
                <w:szCs w:val="21"/>
              </w:rPr>
              <w:instrText>=SUM(ABOVE)</w:instrText>
            </w:r>
            <w:r>
              <w:rPr>
                <w:rFonts w:ascii="方正仿宋简体" w:eastAsia="方正仿宋简体" w:hAnsi="方正仿宋"/>
                <w:color w:val="000000"/>
                <w:szCs w:val="21"/>
              </w:rPr>
              <w:instrText xml:space="preserve"> </w:instrText>
            </w:r>
            <w:r>
              <w:rPr>
                <w:rFonts w:ascii="方正仿宋简体" w:eastAsia="方正仿宋简体" w:hAnsi="方正仿宋"/>
                <w:color w:val="000000"/>
                <w:szCs w:val="21"/>
              </w:rPr>
              <w:fldChar w:fldCharType="separate"/>
            </w:r>
            <w:r>
              <w:rPr>
                <w:rFonts w:ascii="方正仿宋简体" w:eastAsia="方正仿宋简体" w:hAnsi="方正仿宋"/>
                <w:noProof/>
                <w:color w:val="000000"/>
                <w:szCs w:val="21"/>
              </w:rPr>
              <w:t>89,192.02</w:t>
            </w:r>
            <w:r>
              <w:rPr>
                <w:rFonts w:ascii="方正仿宋简体" w:eastAsia="方正仿宋简体" w:hAnsi="方正仿宋"/>
                <w:color w:val="000000"/>
                <w:szCs w:val="21"/>
              </w:rPr>
              <w:fldChar w:fldCharType="end"/>
            </w:r>
          </w:p>
        </w:tc>
        <w:tc>
          <w:tcPr>
            <w:tcW w:w="369" w:type="pct"/>
            <w:tcBorders>
              <w:top w:val="single" w:sz="6" w:space="0" w:color="auto"/>
              <w:left w:val="single" w:sz="4"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r>
              <w:rPr>
                <w:rFonts w:ascii="方正仿宋简体" w:eastAsia="方正仿宋简体" w:hAnsi="方正仿宋"/>
                <w:color w:val="000000"/>
                <w:szCs w:val="21"/>
              </w:rPr>
              <w:fldChar w:fldCharType="begin"/>
            </w:r>
            <w:r>
              <w:rPr>
                <w:rFonts w:ascii="方正仿宋简体" w:eastAsia="方正仿宋简体" w:hAnsi="方正仿宋"/>
                <w:color w:val="000000"/>
                <w:szCs w:val="21"/>
              </w:rPr>
              <w:instrText xml:space="preserve"> </w:instrText>
            </w:r>
            <w:r>
              <w:rPr>
                <w:rFonts w:ascii="方正仿宋简体" w:eastAsia="方正仿宋简体" w:hAnsi="方正仿宋" w:hint="eastAsia"/>
                <w:color w:val="000000"/>
                <w:szCs w:val="21"/>
              </w:rPr>
              <w:instrText>=SUM(ABOVE)</w:instrText>
            </w:r>
            <w:r>
              <w:rPr>
                <w:rFonts w:ascii="方正仿宋简体" w:eastAsia="方正仿宋简体" w:hAnsi="方正仿宋"/>
                <w:color w:val="000000"/>
                <w:szCs w:val="21"/>
              </w:rPr>
              <w:instrText xml:space="preserve"> </w:instrText>
            </w:r>
            <w:r>
              <w:rPr>
                <w:rFonts w:ascii="方正仿宋简体" w:eastAsia="方正仿宋简体" w:hAnsi="方正仿宋"/>
                <w:color w:val="000000"/>
                <w:szCs w:val="21"/>
              </w:rPr>
              <w:fldChar w:fldCharType="separate"/>
            </w:r>
            <w:r>
              <w:rPr>
                <w:rFonts w:ascii="方正仿宋简体" w:eastAsia="方正仿宋简体" w:hAnsi="方正仿宋"/>
                <w:noProof/>
                <w:color w:val="000000"/>
                <w:szCs w:val="21"/>
              </w:rPr>
              <w:t>22,783.02</w:t>
            </w:r>
            <w:r>
              <w:rPr>
                <w:rFonts w:ascii="方正仿宋简体" w:eastAsia="方正仿宋简体" w:hAnsi="方正仿宋"/>
                <w:color w:val="000000"/>
                <w:szCs w:val="21"/>
              </w:rPr>
              <w:fldChar w:fldCharType="end"/>
            </w:r>
          </w:p>
        </w:tc>
        <w:tc>
          <w:tcPr>
            <w:tcW w:w="246" w:type="pct"/>
            <w:tcBorders>
              <w:top w:val="single" w:sz="6" w:space="0" w:color="auto"/>
              <w:left w:val="single" w:sz="6" w:space="0" w:color="auto"/>
              <w:bottom w:val="single" w:sz="6" w:space="0" w:color="auto"/>
              <w:right w:val="single" w:sz="6" w:space="0" w:color="auto"/>
            </w:tcBorders>
            <w:vAlign w:val="center"/>
          </w:tcPr>
          <w:p w:rsidR="00784B82" w:rsidRDefault="00784B82" w:rsidP="00686817">
            <w:pPr>
              <w:jc w:val="center"/>
              <w:rPr>
                <w:rFonts w:ascii="方正仿宋简体" w:eastAsia="方正仿宋简体" w:hAnsi="方正仿宋"/>
                <w:color w:val="000000"/>
                <w:szCs w:val="21"/>
              </w:rPr>
            </w:pPr>
            <w:r>
              <w:rPr>
                <w:rFonts w:ascii="方正仿宋简体" w:eastAsia="方正仿宋简体" w:hAnsi="方正仿宋"/>
                <w:color w:val="000000"/>
                <w:szCs w:val="21"/>
              </w:rPr>
              <w:fldChar w:fldCharType="begin"/>
            </w:r>
            <w:r>
              <w:rPr>
                <w:rFonts w:ascii="方正仿宋简体" w:eastAsia="方正仿宋简体" w:hAnsi="方正仿宋"/>
                <w:color w:val="000000"/>
                <w:szCs w:val="21"/>
              </w:rPr>
              <w:instrText xml:space="preserve"> =SUM(ABOVE) </w:instrText>
            </w:r>
            <w:r>
              <w:rPr>
                <w:rFonts w:ascii="方正仿宋简体" w:eastAsia="方正仿宋简体" w:hAnsi="方正仿宋"/>
                <w:color w:val="000000"/>
                <w:szCs w:val="21"/>
              </w:rPr>
              <w:fldChar w:fldCharType="separate"/>
            </w:r>
            <w:r>
              <w:rPr>
                <w:rFonts w:ascii="方正仿宋简体" w:eastAsia="方正仿宋简体" w:hAnsi="方正仿宋"/>
                <w:noProof/>
                <w:color w:val="000000"/>
                <w:szCs w:val="21"/>
              </w:rPr>
              <w:t>94.17</w:t>
            </w:r>
            <w:r>
              <w:rPr>
                <w:rFonts w:ascii="方正仿宋简体" w:eastAsia="方正仿宋简体" w:hAnsi="方正仿宋"/>
                <w:color w:val="000000"/>
                <w:szCs w:val="21"/>
              </w:rPr>
              <w:fldChar w:fldCharType="end"/>
            </w:r>
          </w:p>
        </w:tc>
        <w:tc>
          <w:tcPr>
            <w:tcW w:w="2807"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p>
        </w:tc>
        <w:tc>
          <w:tcPr>
            <w:tcW w:w="880" w:type="pct"/>
            <w:tcBorders>
              <w:top w:val="single" w:sz="6" w:space="0" w:color="auto"/>
              <w:left w:val="single" w:sz="6" w:space="0" w:color="auto"/>
              <w:bottom w:val="single" w:sz="6" w:space="0" w:color="auto"/>
              <w:right w:val="single" w:sz="6" w:space="0" w:color="auto"/>
            </w:tcBorders>
            <w:vAlign w:val="center"/>
          </w:tcPr>
          <w:p w:rsidR="00784B82" w:rsidRPr="009164BC" w:rsidRDefault="00784B82" w:rsidP="00686817">
            <w:pPr>
              <w:jc w:val="center"/>
              <w:rPr>
                <w:rFonts w:ascii="方正仿宋简体" w:eastAsia="方正仿宋简体" w:hAnsi="方正仿宋"/>
                <w:color w:val="000000"/>
                <w:szCs w:val="21"/>
              </w:rPr>
            </w:pPr>
          </w:p>
        </w:tc>
      </w:tr>
    </w:tbl>
    <w:p w:rsidR="00784B82" w:rsidRDefault="00784B82" w:rsidP="00784B82">
      <w:r w:rsidRPr="00E02A3A">
        <w:rPr>
          <w:rFonts w:ascii="仿宋" w:eastAsia="仿宋" w:hAnsi="仿宋" w:cs="仿宋" w:hint="eastAsia"/>
          <w:b/>
          <w:color w:val="000000" w:themeColor="text1"/>
          <w:kern w:val="0"/>
          <w:sz w:val="28"/>
          <w:szCs w:val="28"/>
          <w:shd w:val="clear" w:color="auto" w:fill="FFFFFF"/>
          <w:lang w:bidi="ar"/>
        </w:rPr>
        <w:t>特别说明：基准日之后已回收的246,236元不在本次转让范围内，该回收款项归</w:t>
      </w:r>
      <w:r w:rsidR="004D16FE">
        <w:rPr>
          <w:rFonts w:ascii="仿宋" w:eastAsia="仿宋" w:hAnsi="仿宋" w:cs="仿宋" w:hint="eastAsia"/>
          <w:b/>
          <w:color w:val="000000" w:themeColor="text1"/>
          <w:kern w:val="0"/>
          <w:sz w:val="28"/>
          <w:szCs w:val="28"/>
          <w:shd w:val="clear" w:color="auto" w:fill="FFFFFF"/>
          <w:lang w:bidi="ar"/>
        </w:rPr>
        <w:t>委托人</w:t>
      </w:r>
      <w:r w:rsidRPr="00E02A3A">
        <w:rPr>
          <w:rFonts w:ascii="仿宋" w:eastAsia="仿宋" w:hAnsi="仿宋" w:cs="仿宋" w:hint="eastAsia"/>
          <w:b/>
          <w:color w:val="000000" w:themeColor="text1"/>
          <w:kern w:val="0"/>
          <w:sz w:val="28"/>
          <w:szCs w:val="28"/>
          <w:shd w:val="clear" w:color="auto" w:fill="FFFFFF"/>
          <w:lang w:bidi="ar"/>
        </w:rPr>
        <w:t>所有。</w:t>
      </w:r>
    </w:p>
    <w:p w:rsidR="005537FC" w:rsidRPr="00784B82" w:rsidRDefault="005537FC"/>
    <w:sectPr w:rsidR="005537FC" w:rsidRPr="00784B82" w:rsidSect="00C90DCE">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5B" w:rsidRDefault="000C0E5B" w:rsidP="00052EE9">
      <w:r>
        <w:separator/>
      </w:r>
    </w:p>
  </w:endnote>
  <w:endnote w:type="continuationSeparator" w:id="0">
    <w:p w:rsidR="000C0E5B" w:rsidRDefault="000C0E5B" w:rsidP="0005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仿宋">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5B" w:rsidRDefault="000C0E5B" w:rsidP="00052EE9">
      <w:r>
        <w:separator/>
      </w:r>
    </w:p>
  </w:footnote>
  <w:footnote w:type="continuationSeparator" w:id="0">
    <w:p w:rsidR="000C0E5B" w:rsidRDefault="000C0E5B" w:rsidP="0005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84EFB"/>
    <w:rsid w:val="00052EE9"/>
    <w:rsid w:val="00074CEC"/>
    <w:rsid w:val="00095428"/>
    <w:rsid w:val="000C0E5B"/>
    <w:rsid w:val="0011070B"/>
    <w:rsid w:val="00130D13"/>
    <w:rsid w:val="00212D07"/>
    <w:rsid w:val="00220DFF"/>
    <w:rsid w:val="002721DC"/>
    <w:rsid w:val="002A263B"/>
    <w:rsid w:val="00310FC3"/>
    <w:rsid w:val="003A2C6D"/>
    <w:rsid w:val="00421F81"/>
    <w:rsid w:val="004B5610"/>
    <w:rsid w:val="004D0443"/>
    <w:rsid w:val="004D16FE"/>
    <w:rsid w:val="004E4CCF"/>
    <w:rsid w:val="00507114"/>
    <w:rsid w:val="005537FC"/>
    <w:rsid w:val="00694A65"/>
    <w:rsid w:val="00716B66"/>
    <w:rsid w:val="00764929"/>
    <w:rsid w:val="00784B82"/>
    <w:rsid w:val="007A636E"/>
    <w:rsid w:val="009D5C42"/>
    <w:rsid w:val="00A53EB7"/>
    <w:rsid w:val="00B65721"/>
    <w:rsid w:val="00BB13A7"/>
    <w:rsid w:val="00D61D9C"/>
    <w:rsid w:val="00E11E9B"/>
    <w:rsid w:val="00E45162"/>
    <w:rsid w:val="00EB3C87"/>
    <w:rsid w:val="00F3606A"/>
    <w:rsid w:val="00F60236"/>
    <w:rsid w:val="00F97230"/>
    <w:rsid w:val="133A4F72"/>
    <w:rsid w:val="166E161E"/>
    <w:rsid w:val="288258E8"/>
    <w:rsid w:val="7498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01D308"/>
  <w15:docId w15:val="{59910CE6-9C36-4AF6-A274-BA33B17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pPr>
      <w:widowControl w:val="0"/>
      <w:jc w:val="both"/>
    </w:pPr>
    <w:rPr>
      <w:rFonts w:asciiTheme="minorHAnsi" w:eastAsiaTheme="minorEastAsia" w:hAnsiTheme="minorHAnsi" w:cstheme="minorBidi"/>
      <w:kern w:val="2"/>
      <w:sz w:val="21"/>
      <w:szCs w:val="22"/>
    </w:rPr>
  </w:style>
  <w:style w:type="paragraph" w:styleId="a3">
    <w:name w:val="Balloon Text"/>
    <w:basedOn w:val="a"/>
    <w:link w:val="a4"/>
    <w:rsid w:val="00052EE9"/>
    <w:rPr>
      <w:sz w:val="18"/>
      <w:szCs w:val="18"/>
    </w:rPr>
  </w:style>
  <w:style w:type="character" w:customStyle="1" w:styleId="a4">
    <w:name w:val="批注框文本 字符"/>
    <w:basedOn w:val="a0"/>
    <w:link w:val="a3"/>
    <w:rsid w:val="00052EE9"/>
    <w:rPr>
      <w:kern w:val="2"/>
      <w:sz w:val="18"/>
      <w:szCs w:val="18"/>
    </w:rPr>
  </w:style>
  <w:style w:type="paragraph" w:styleId="a5">
    <w:name w:val="header"/>
    <w:basedOn w:val="a"/>
    <w:link w:val="a6"/>
    <w:rsid w:val="00052E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52EE9"/>
    <w:rPr>
      <w:kern w:val="2"/>
      <w:sz w:val="18"/>
      <w:szCs w:val="18"/>
    </w:rPr>
  </w:style>
  <w:style w:type="paragraph" w:styleId="a7">
    <w:name w:val="footer"/>
    <w:basedOn w:val="a"/>
    <w:link w:val="a8"/>
    <w:rsid w:val="00052EE9"/>
    <w:pPr>
      <w:tabs>
        <w:tab w:val="center" w:pos="4153"/>
        <w:tab w:val="right" w:pos="8306"/>
      </w:tabs>
      <w:snapToGrid w:val="0"/>
      <w:jc w:val="left"/>
    </w:pPr>
    <w:rPr>
      <w:sz w:val="18"/>
      <w:szCs w:val="18"/>
    </w:rPr>
  </w:style>
  <w:style w:type="character" w:customStyle="1" w:styleId="a8">
    <w:name w:val="页脚 字符"/>
    <w:basedOn w:val="a0"/>
    <w:link w:val="a7"/>
    <w:rsid w:val="00052EE9"/>
    <w:rPr>
      <w:kern w:val="2"/>
      <w:sz w:val="18"/>
      <w:szCs w:val="18"/>
    </w:rPr>
  </w:style>
  <w:style w:type="paragraph" w:styleId="a9">
    <w:name w:val="Normal Indent"/>
    <w:basedOn w:val="a"/>
    <w:uiPriority w:val="99"/>
    <w:unhideWhenUsed/>
    <w:rsid w:val="00694A65"/>
    <w:pPr>
      <w:ind w:firstLineChars="200" w:firstLine="420"/>
    </w:pPr>
    <w:rPr>
      <w:rFonts w:eastAsia="仿宋_GB231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5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WPS_1513960261</dc:creator>
  <cp:lastModifiedBy>王威-河南</cp:lastModifiedBy>
  <cp:revision>19</cp:revision>
  <dcterms:created xsi:type="dcterms:W3CDTF">2020-12-01T07:11:00Z</dcterms:created>
  <dcterms:modified xsi:type="dcterms:W3CDTF">2021-06-15T06:55:00Z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